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8CC0" w14:textId="77777777" w:rsidR="00162CE2" w:rsidRPr="002606DB" w:rsidRDefault="00162CE2" w:rsidP="00056F35">
      <w:pPr>
        <w:pStyle w:val="a3"/>
        <w:adjustRightInd w:val="0"/>
        <w:snapToGrid w:val="0"/>
        <w:rPr>
          <w:snapToGrid w:val="0"/>
          <w:lang w:val="pt-PT"/>
        </w:rPr>
      </w:pPr>
    </w:p>
    <w:p w14:paraId="040E6FE7" w14:textId="77777777" w:rsidR="00162CE2" w:rsidRPr="002606DB" w:rsidRDefault="00162CE2" w:rsidP="00056F35">
      <w:pPr>
        <w:pStyle w:val="a3"/>
        <w:adjustRightInd w:val="0"/>
        <w:snapToGrid w:val="0"/>
        <w:rPr>
          <w:snapToGrid w:val="0"/>
          <w:lang w:val="pt-PT"/>
        </w:rPr>
      </w:pPr>
    </w:p>
    <w:p w14:paraId="38E7B5B4" w14:textId="77777777" w:rsidR="00162CE2" w:rsidRPr="002606DB" w:rsidRDefault="00162CE2" w:rsidP="00056F35">
      <w:pPr>
        <w:pStyle w:val="a3"/>
        <w:adjustRightInd w:val="0"/>
        <w:snapToGrid w:val="0"/>
        <w:rPr>
          <w:snapToGrid w:val="0"/>
          <w:lang w:val="pt-PT"/>
        </w:rPr>
      </w:pPr>
    </w:p>
    <w:p w14:paraId="2C328A7E" w14:textId="77777777" w:rsidR="00162CE2" w:rsidRPr="002606DB" w:rsidRDefault="00162CE2" w:rsidP="00056F35">
      <w:pPr>
        <w:pStyle w:val="a3"/>
        <w:adjustRightInd w:val="0"/>
        <w:snapToGrid w:val="0"/>
        <w:rPr>
          <w:snapToGrid w:val="0"/>
          <w:lang w:val="pt-PT"/>
        </w:rPr>
      </w:pPr>
    </w:p>
    <w:p w14:paraId="29F7BDEB" w14:textId="77777777" w:rsidR="00162CE2" w:rsidRPr="002606DB" w:rsidRDefault="00162CE2" w:rsidP="00056F35">
      <w:pPr>
        <w:pStyle w:val="a3"/>
        <w:adjustRightInd w:val="0"/>
        <w:snapToGrid w:val="0"/>
        <w:rPr>
          <w:snapToGrid w:val="0"/>
          <w:lang w:val="pt-PT"/>
        </w:rPr>
      </w:pPr>
    </w:p>
    <w:p w14:paraId="203DB86A" w14:textId="77777777" w:rsidR="00162CE2" w:rsidRPr="002606DB" w:rsidRDefault="00162CE2" w:rsidP="00056F35">
      <w:pPr>
        <w:pStyle w:val="a3"/>
        <w:adjustRightInd w:val="0"/>
        <w:snapToGrid w:val="0"/>
        <w:rPr>
          <w:snapToGrid w:val="0"/>
          <w:lang w:val="pt-PT"/>
        </w:rPr>
      </w:pPr>
    </w:p>
    <w:p w14:paraId="7AD87E64" w14:textId="77777777" w:rsidR="00162CE2" w:rsidRPr="002606DB" w:rsidRDefault="00162CE2" w:rsidP="00056F35">
      <w:pPr>
        <w:pStyle w:val="a3"/>
        <w:adjustRightInd w:val="0"/>
        <w:snapToGrid w:val="0"/>
        <w:rPr>
          <w:snapToGrid w:val="0"/>
          <w:lang w:val="pt-PT"/>
        </w:rPr>
      </w:pPr>
    </w:p>
    <w:p w14:paraId="5E75B1E5" w14:textId="77777777" w:rsidR="00162CE2" w:rsidRPr="002606DB" w:rsidRDefault="00162CE2" w:rsidP="00056F35">
      <w:pPr>
        <w:pStyle w:val="a3"/>
        <w:adjustRightInd w:val="0"/>
        <w:snapToGrid w:val="0"/>
        <w:rPr>
          <w:snapToGrid w:val="0"/>
          <w:lang w:val="pt-PT"/>
        </w:rPr>
      </w:pPr>
    </w:p>
    <w:p w14:paraId="643689DD" w14:textId="77777777" w:rsidR="00162CE2" w:rsidRPr="002606DB" w:rsidRDefault="00162CE2" w:rsidP="00056F35">
      <w:pPr>
        <w:pStyle w:val="a3"/>
        <w:adjustRightInd w:val="0"/>
        <w:snapToGrid w:val="0"/>
        <w:rPr>
          <w:snapToGrid w:val="0"/>
          <w:lang w:val="pt-PT"/>
        </w:rPr>
      </w:pPr>
    </w:p>
    <w:p w14:paraId="1B53BDCD" w14:textId="77777777" w:rsidR="00162CE2" w:rsidRPr="002606DB" w:rsidRDefault="00162CE2" w:rsidP="00056F35">
      <w:pPr>
        <w:pStyle w:val="a3"/>
        <w:adjustRightInd w:val="0"/>
        <w:snapToGrid w:val="0"/>
        <w:rPr>
          <w:snapToGrid w:val="0"/>
          <w:lang w:val="pt-PT"/>
        </w:rPr>
      </w:pPr>
    </w:p>
    <w:p w14:paraId="76A52521" w14:textId="77777777" w:rsidR="00162CE2" w:rsidRPr="002606DB" w:rsidRDefault="00162CE2" w:rsidP="00056F35">
      <w:pPr>
        <w:pStyle w:val="a3"/>
        <w:adjustRightInd w:val="0"/>
        <w:snapToGrid w:val="0"/>
        <w:rPr>
          <w:snapToGrid w:val="0"/>
          <w:lang w:val="pt-PT"/>
        </w:rPr>
      </w:pPr>
    </w:p>
    <w:p w14:paraId="388E6404" w14:textId="77777777" w:rsidR="00162CE2" w:rsidRPr="002606DB" w:rsidRDefault="00162CE2" w:rsidP="00056F35">
      <w:pPr>
        <w:pStyle w:val="a3"/>
        <w:adjustRightInd w:val="0"/>
        <w:snapToGrid w:val="0"/>
        <w:rPr>
          <w:snapToGrid w:val="0"/>
          <w:lang w:val="pt-PT"/>
        </w:rPr>
      </w:pPr>
    </w:p>
    <w:p w14:paraId="499FBF33" w14:textId="77777777" w:rsidR="00162CE2" w:rsidRPr="002606DB" w:rsidRDefault="00162CE2" w:rsidP="00056F35">
      <w:pPr>
        <w:pStyle w:val="a3"/>
        <w:adjustRightInd w:val="0"/>
        <w:snapToGrid w:val="0"/>
        <w:rPr>
          <w:snapToGrid w:val="0"/>
          <w:lang w:val="pt-PT"/>
        </w:rPr>
      </w:pPr>
    </w:p>
    <w:p w14:paraId="1076E7E3" w14:textId="77777777" w:rsidR="00162CE2" w:rsidRPr="002606DB" w:rsidRDefault="00162CE2" w:rsidP="00056F35">
      <w:pPr>
        <w:pStyle w:val="a3"/>
        <w:adjustRightInd w:val="0"/>
        <w:snapToGrid w:val="0"/>
        <w:rPr>
          <w:snapToGrid w:val="0"/>
          <w:lang w:val="pt-PT"/>
        </w:rPr>
      </w:pPr>
    </w:p>
    <w:p w14:paraId="3CAAB992" w14:textId="77777777" w:rsidR="00162CE2" w:rsidRPr="002606DB" w:rsidRDefault="00162CE2" w:rsidP="00056F35">
      <w:pPr>
        <w:pStyle w:val="a3"/>
        <w:adjustRightInd w:val="0"/>
        <w:snapToGrid w:val="0"/>
        <w:rPr>
          <w:snapToGrid w:val="0"/>
          <w:lang w:val="pt-PT"/>
        </w:rPr>
      </w:pPr>
    </w:p>
    <w:p w14:paraId="7C9DE22A" w14:textId="77777777" w:rsidR="00162CE2" w:rsidRPr="002606DB" w:rsidRDefault="00162CE2" w:rsidP="00056F35">
      <w:pPr>
        <w:pStyle w:val="a3"/>
        <w:adjustRightInd w:val="0"/>
        <w:snapToGrid w:val="0"/>
        <w:rPr>
          <w:snapToGrid w:val="0"/>
          <w:lang w:val="pt-PT"/>
        </w:rPr>
      </w:pPr>
    </w:p>
    <w:p w14:paraId="4FFA5413" w14:textId="77777777" w:rsidR="00162CE2" w:rsidRPr="002606DB" w:rsidRDefault="00162CE2" w:rsidP="00056F35">
      <w:pPr>
        <w:pStyle w:val="a3"/>
        <w:adjustRightInd w:val="0"/>
        <w:snapToGrid w:val="0"/>
        <w:rPr>
          <w:snapToGrid w:val="0"/>
          <w:lang w:val="pt-PT"/>
        </w:rPr>
      </w:pPr>
    </w:p>
    <w:p w14:paraId="51784F9E" w14:textId="77777777" w:rsidR="00162CE2" w:rsidRPr="002606DB" w:rsidRDefault="00162CE2" w:rsidP="00056F35">
      <w:pPr>
        <w:pStyle w:val="a3"/>
        <w:adjustRightInd w:val="0"/>
        <w:snapToGrid w:val="0"/>
        <w:rPr>
          <w:snapToGrid w:val="0"/>
          <w:lang w:val="pt-PT"/>
        </w:rPr>
      </w:pPr>
    </w:p>
    <w:p w14:paraId="0F933DC3" w14:textId="77777777" w:rsidR="00162CE2" w:rsidRPr="002606DB" w:rsidRDefault="00162CE2" w:rsidP="00056F35">
      <w:pPr>
        <w:pStyle w:val="a3"/>
        <w:adjustRightInd w:val="0"/>
        <w:snapToGrid w:val="0"/>
        <w:rPr>
          <w:snapToGrid w:val="0"/>
          <w:lang w:val="pt-PT"/>
        </w:rPr>
      </w:pPr>
    </w:p>
    <w:p w14:paraId="1EB521C2" w14:textId="77777777" w:rsidR="00162CE2" w:rsidRPr="002606DB" w:rsidRDefault="00162CE2" w:rsidP="00056F35">
      <w:pPr>
        <w:pStyle w:val="a3"/>
        <w:adjustRightInd w:val="0"/>
        <w:snapToGrid w:val="0"/>
        <w:rPr>
          <w:snapToGrid w:val="0"/>
          <w:lang w:val="pt-PT"/>
        </w:rPr>
      </w:pPr>
    </w:p>
    <w:p w14:paraId="25DCC0A2" w14:textId="77777777" w:rsidR="00162CE2" w:rsidRPr="002606DB" w:rsidRDefault="00162CE2" w:rsidP="00056F35">
      <w:pPr>
        <w:pStyle w:val="a3"/>
        <w:adjustRightInd w:val="0"/>
        <w:snapToGrid w:val="0"/>
        <w:rPr>
          <w:snapToGrid w:val="0"/>
          <w:lang w:val="pt-PT"/>
        </w:rPr>
      </w:pPr>
    </w:p>
    <w:p w14:paraId="20D6C053" w14:textId="77777777" w:rsidR="00162CE2" w:rsidRPr="002606DB" w:rsidRDefault="00162CE2" w:rsidP="00056F35">
      <w:pPr>
        <w:pStyle w:val="a3"/>
        <w:adjustRightInd w:val="0"/>
        <w:snapToGrid w:val="0"/>
        <w:rPr>
          <w:snapToGrid w:val="0"/>
          <w:lang w:val="pt-PT"/>
        </w:rPr>
      </w:pPr>
    </w:p>
    <w:p w14:paraId="699CEFD7" w14:textId="77777777" w:rsidR="00162CE2" w:rsidRPr="002606DB" w:rsidRDefault="00162CE2" w:rsidP="00056F35">
      <w:pPr>
        <w:pStyle w:val="a3"/>
        <w:adjustRightInd w:val="0"/>
        <w:snapToGrid w:val="0"/>
        <w:rPr>
          <w:snapToGrid w:val="0"/>
          <w:lang w:val="pt-PT"/>
        </w:rPr>
      </w:pPr>
    </w:p>
    <w:p w14:paraId="44A9F414" w14:textId="77777777" w:rsidR="00162CE2" w:rsidRPr="002606DB" w:rsidRDefault="00162CE2" w:rsidP="00056F35">
      <w:pPr>
        <w:adjustRightInd w:val="0"/>
        <w:snapToGrid w:val="0"/>
        <w:jc w:val="center"/>
        <w:rPr>
          <w:b/>
          <w:snapToGrid w:val="0"/>
          <w:lang w:val="pt-PT"/>
        </w:rPr>
      </w:pPr>
      <w:r w:rsidRPr="002606DB">
        <w:rPr>
          <w:b/>
          <w:snapToGrid w:val="0"/>
          <w:lang w:val="pt-PT"/>
        </w:rPr>
        <w:t>ANEXO I</w:t>
      </w:r>
    </w:p>
    <w:p w14:paraId="47058F76" w14:textId="77777777" w:rsidR="00162CE2" w:rsidRPr="002606DB" w:rsidRDefault="00162CE2" w:rsidP="00056F35">
      <w:pPr>
        <w:pStyle w:val="a3"/>
        <w:adjustRightInd w:val="0"/>
        <w:snapToGrid w:val="0"/>
        <w:rPr>
          <w:b/>
          <w:snapToGrid w:val="0"/>
          <w:lang w:val="pt-PT"/>
        </w:rPr>
      </w:pPr>
    </w:p>
    <w:p w14:paraId="3B5D86CC" w14:textId="26AA9103" w:rsidR="00162CE2" w:rsidRPr="002606DB" w:rsidRDefault="00162CE2" w:rsidP="00A149AF">
      <w:pPr>
        <w:pStyle w:val="TitleA"/>
        <w:outlineLvl w:val="0"/>
        <w:rPr>
          <w:lang w:val="pt-PT"/>
        </w:rPr>
      </w:pPr>
      <w:bookmarkStart w:id="0" w:name="RESUMO_DAS_CARACTERÍSTICAS_DO_MEDICAMENT"/>
      <w:bookmarkEnd w:id="0"/>
      <w:r w:rsidRPr="002606DB">
        <w:rPr>
          <w:lang w:val="pt-PT"/>
        </w:rPr>
        <w:t>RESUMO DAS CARACTERÍSTICAS DO MEDICAMENTO</w:t>
      </w:r>
    </w:p>
    <w:p w14:paraId="0E090D4A" w14:textId="77777777" w:rsidR="00162CE2" w:rsidRPr="002606DB" w:rsidRDefault="00162CE2" w:rsidP="00056F35">
      <w:pPr>
        <w:adjustRightInd w:val="0"/>
        <w:snapToGrid w:val="0"/>
        <w:jc w:val="center"/>
        <w:rPr>
          <w:snapToGrid w:val="0"/>
          <w:lang w:val="pt-PT"/>
        </w:rPr>
      </w:pPr>
    </w:p>
    <w:p w14:paraId="0C4F86CF" w14:textId="02698864" w:rsidR="00162CE2" w:rsidRPr="002606DB" w:rsidRDefault="00162CE2" w:rsidP="00417EC0">
      <w:pPr>
        <w:pStyle w:val="a4"/>
        <w:adjustRightInd w:val="0"/>
        <w:snapToGrid w:val="0"/>
        <w:ind w:left="0" w:firstLine="0"/>
        <w:rPr>
          <w:lang w:val="pt-PT"/>
        </w:rPr>
      </w:pPr>
      <w:r w:rsidRPr="002606DB">
        <w:rPr>
          <w:b/>
          <w:snapToGrid w:val="0"/>
          <w:lang w:val="pt-PT"/>
        </w:rPr>
        <w:br w:type="page"/>
      </w:r>
      <w:r w:rsidR="00136A34">
        <w:rPr>
          <w:noProof/>
          <w:lang w:val="pt-PT" w:eastAsia="pt-PT"/>
        </w:rPr>
        <w:lastRenderedPageBreak/>
        <w:drawing>
          <wp:inline distT="0" distB="0" distL="0" distR="0" wp14:anchorId="07553748" wp14:editId="1F39AB33">
            <wp:extent cx="203200" cy="17780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r w:rsidRPr="002606DB">
        <w:rPr>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61F36C25" w14:textId="77777777" w:rsidR="00162CE2" w:rsidRPr="007155C0" w:rsidRDefault="00162CE2" w:rsidP="00417EC0">
      <w:pPr>
        <w:pStyle w:val="a4"/>
        <w:adjustRightInd w:val="0"/>
        <w:snapToGrid w:val="0"/>
        <w:ind w:left="0" w:firstLine="0"/>
        <w:rPr>
          <w:b/>
          <w:snapToGrid w:val="0"/>
          <w:lang w:val="pt-PT"/>
        </w:rPr>
      </w:pPr>
    </w:p>
    <w:p w14:paraId="5288A314" w14:textId="77777777" w:rsidR="00162CE2" w:rsidRPr="002606DB" w:rsidRDefault="00162CE2" w:rsidP="00417EC0">
      <w:pPr>
        <w:pStyle w:val="a4"/>
        <w:adjustRightInd w:val="0"/>
        <w:snapToGrid w:val="0"/>
        <w:ind w:left="0" w:firstLine="0"/>
        <w:rPr>
          <w:b/>
          <w:snapToGrid w:val="0"/>
          <w:lang w:val="pt-PT"/>
        </w:rPr>
      </w:pPr>
    </w:p>
    <w:p w14:paraId="5EE515B9" w14:textId="77777777" w:rsidR="00162CE2" w:rsidRPr="002606DB" w:rsidRDefault="00162CE2" w:rsidP="00A149AF">
      <w:pPr>
        <w:pStyle w:val="1"/>
        <w:adjustRightInd w:val="0"/>
        <w:snapToGrid w:val="0"/>
        <w:ind w:left="0"/>
        <w:rPr>
          <w:b w:val="0"/>
          <w:snapToGrid w:val="0"/>
          <w:lang w:val="pt-PT"/>
        </w:rPr>
      </w:pPr>
      <w:r w:rsidRPr="002606DB">
        <w:rPr>
          <w:snapToGrid w:val="0"/>
          <w:lang w:val="pt-PT"/>
        </w:rPr>
        <w:t>1.</w:t>
      </w:r>
      <w:r w:rsidRPr="002606DB">
        <w:rPr>
          <w:snapToGrid w:val="0"/>
          <w:lang w:val="pt-PT"/>
        </w:rPr>
        <w:tab/>
        <w:t>NOME DO MEDICAMENTO</w:t>
      </w:r>
    </w:p>
    <w:p w14:paraId="157F43C9" w14:textId="77777777" w:rsidR="00162CE2" w:rsidRPr="002606DB" w:rsidRDefault="00162CE2" w:rsidP="00056F35">
      <w:pPr>
        <w:pStyle w:val="a3"/>
        <w:adjustRightInd w:val="0"/>
        <w:snapToGrid w:val="0"/>
        <w:rPr>
          <w:b/>
          <w:snapToGrid w:val="0"/>
          <w:lang w:val="pt-PT"/>
        </w:rPr>
      </w:pPr>
    </w:p>
    <w:p w14:paraId="4E5826DF" w14:textId="0AC6BD85" w:rsidR="00162CE2" w:rsidRPr="00AF53B7" w:rsidRDefault="00FB2483" w:rsidP="00056F35">
      <w:pPr>
        <w:pStyle w:val="a3"/>
        <w:adjustRightInd w:val="0"/>
        <w:snapToGrid w:val="0"/>
        <w:rPr>
          <w:rFonts w:eastAsia="맑은 고딕"/>
          <w:snapToGrid w:val="0"/>
          <w:lang w:val="pt-PT" w:eastAsia="ko-KR"/>
        </w:rPr>
      </w:pPr>
      <w:r>
        <w:rPr>
          <w:color w:val="000000"/>
          <w:lang w:val="fr-CA"/>
        </w:rPr>
        <w:t>Vegzelma</w:t>
      </w:r>
      <w:r w:rsidR="00162CE2" w:rsidRPr="002606DB">
        <w:rPr>
          <w:snapToGrid w:val="0"/>
          <w:lang w:val="pt-PT"/>
        </w:rPr>
        <w:t xml:space="preserve"> 25 mg/ml concentrado para solução para perfusão</w:t>
      </w:r>
      <w:r w:rsidR="00AF53B7">
        <w:rPr>
          <w:rFonts w:eastAsia="맑은 고딕" w:hint="eastAsia"/>
          <w:snapToGrid w:val="0"/>
          <w:lang w:val="pt-PT" w:eastAsia="ko-KR"/>
        </w:rPr>
        <w:t>.</w:t>
      </w:r>
    </w:p>
    <w:p w14:paraId="26D82356" w14:textId="77777777" w:rsidR="00162CE2" w:rsidRPr="002606DB" w:rsidRDefault="00162CE2" w:rsidP="00056F35">
      <w:pPr>
        <w:pStyle w:val="a3"/>
        <w:adjustRightInd w:val="0"/>
        <w:snapToGrid w:val="0"/>
        <w:rPr>
          <w:snapToGrid w:val="0"/>
          <w:lang w:val="pt-PT"/>
        </w:rPr>
      </w:pPr>
    </w:p>
    <w:p w14:paraId="4CD06A6A" w14:textId="77777777" w:rsidR="00162CE2" w:rsidRPr="002606DB" w:rsidRDefault="00162CE2" w:rsidP="00056F35">
      <w:pPr>
        <w:pStyle w:val="a3"/>
        <w:adjustRightInd w:val="0"/>
        <w:snapToGrid w:val="0"/>
        <w:rPr>
          <w:snapToGrid w:val="0"/>
          <w:lang w:val="pt-PT"/>
        </w:rPr>
      </w:pPr>
    </w:p>
    <w:p w14:paraId="728F4BFB" w14:textId="77777777" w:rsidR="00162CE2" w:rsidRPr="002606DB" w:rsidRDefault="00162CE2" w:rsidP="00552771">
      <w:pPr>
        <w:pStyle w:val="1"/>
        <w:adjustRightInd w:val="0"/>
        <w:snapToGrid w:val="0"/>
        <w:ind w:left="0"/>
        <w:rPr>
          <w:snapToGrid w:val="0"/>
          <w:lang w:val="pt-PT"/>
        </w:rPr>
      </w:pPr>
      <w:r w:rsidRPr="00A45F3F">
        <w:rPr>
          <w:snapToGrid w:val="0"/>
          <w:w w:val="101"/>
          <w:lang w:val="fr-CA"/>
        </w:rPr>
        <w:t>2.</w:t>
      </w:r>
      <w:r w:rsidRPr="00A45F3F">
        <w:rPr>
          <w:snapToGrid w:val="0"/>
          <w:w w:val="101"/>
          <w:lang w:val="fr-CA"/>
        </w:rPr>
        <w:tab/>
      </w:r>
      <w:r w:rsidRPr="002606DB">
        <w:rPr>
          <w:snapToGrid w:val="0"/>
          <w:lang w:val="pt-PT"/>
        </w:rPr>
        <w:t>COMPOSIÇÃO QUALITATIVA E QUANTITATIVA</w:t>
      </w:r>
    </w:p>
    <w:p w14:paraId="7E62D677" w14:textId="77777777" w:rsidR="00162CE2" w:rsidRPr="002606DB" w:rsidRDefault="00162CE2" w:rsidP="00056F35">
      <w:pPr>
        <w:pStyle w:val="a3"/>
        <w:adjustRightInd w:val="0"/>
        <w:snapToGrid w:val="0"/>
        <w:rPr>
          <w:b/>
          <w:snapToGrid w:val="0"/>
          <w:lang w:val="pt-PT"/>
        </w:rPr>
      </w:pPr>
    </w:p>
    <w:p w14:paraId="30CA7DDB" w14:textId="589D3F74" w:rsidR="00162CE2" w:rsidRPr="002606DB" w:rsidRDefault="00162CE2" w:rsidP="00056F35">
      <w:pPr>
        <w:pStyle w:val="a3"/>
        <w:adjustRightInd w:val="0"/>
        <w:snapToGrid w:val="0"/>
        <w:rPr>
          <w:snapToGrid w:val="0"/>
          <w:lang w:val="pt-PT"/>
        </w:rPr>
      </w:pPr>
      <w:r w:rsidRPr="002606DB">
        <w:rPr>
          <w:snapToGrid w:val="0"/>
          <w:lang w:val="pt-PT"/>
        </w:rPr>
        <w:t>Cada ml de concentrado contém 25 mg de bevacizumab*.</w:t>
      </w:r>
    </w:p>
    <w:p w14:paraId="634B0051" w14:textId="21560D6A" w:rsidR="00162CE2" w:rsidRPr="002606DB" w:rsidRDefault="00162CE2" w:rsidP="00056F35">
      <w:pPr>
        <w:pStyle w:val="a3"/>
        <w:adjustRightInd w:val="0"/>
        <w:snapToGrid w:val="0"/>
        <w:rPr>
          <w:snapToGrid w:val="0"/>
          <w:lang w:val="pt-PT"/>
        </w:rPr>
      </w:pPr>
      <w:r w:rsidRPr="002606DB">
        <w:rPr>
          <w:snapToGrid w:val="0"/>
          <w:lang w:val="pt-PT"/>
        </w:rPr>
        <w:t xml:space="preserve">Cada frasco para injetáveis de 4 ml contém 100 mg de bevacizumab. </w:t>
      </w:r>
    </w:p>
    <w:p w14:paraId="4F580163" w14:textId="1B267C59" w:rsidR="00162CE2" w:rsidRPr="002606DB" w:rsidRDefault="00162CE2" w:rsidP="00056F35">
      <w:pPr>
        <w:pStyle w:val="a3"/>
        <w:adjustRightInd w:val="0"/>
        <w:snapToGrid w:val="0"/>
        <w:rPr>
          <w:snapToGrid w:val="0"/>
          <w:lang w:val="pt-PT"/>
        </w:rPr>
      </w:pPr>
      <w:r w:rsidRPr="002606DB">
        <w:rPr>
          <w:snapToGrid w:val="0"/>
          <w:lang w:val="pt-PT"/>
        </w:rPr>
        <w:t xml:space="preserve">Cada frasco para injetáveis de 16 ml contém 400 mg de bevacizumab. </w:t>
      </w:r>
    </w:p>
    <w:p w14:paraId="7E3A0442" w14:textId="2E7D2E3C" w:rsidR="00162CE2" w:rsidRPr="002606DB" w:rsidRDefault="00162CE2" w:rsidP="00056F35">
      <w:pPr>
        <w:pStyle w:val="a3"/>
        <w:adjustRightInd w:val="0"/>
        <w:snapToGrid w:val="0"/>
        <w:rPr>
          <w:snapToGrid w:val="0"/>
          <w:lang w:val="pt-PT"/>
        </w:rPr>
      </w:pPr>
      <w:r w:rsidRPr="002606DB">
        <w:rPr>
          <w:snapToGrid w:val="0"/>
          <w:lang w:val="pt-PT"/>
        </w:rPr>
        <w:t>Para diluição e outras recomendações de manuseamento, ver secção 6.6.</w:t>
      </w:r>
    </w:p>
    <w:p w14:paraId="12C25B41" w14:textId="77777777" w:rsidR="00162CE2" w:rsidRPr="002606DB" w:rsidRDefault="00162CE2" w:rsidP="00056F35">
      <w:pPr>
        <w:pStyle w:val="a3"/>
        <w:adjustRightInd w:val="0"/>
        <w:snapToGrid w:val="0"/>
        <w:rPr>
          <w:snapToGrid w:val="0"/>
          <w:lang w:val="pt-PT"/>
        </w:rPr>
      </w:pPr>
    </w:p>
    <w:p w14:paraId="45338915" w14:textId="77777777" w:rsidR="00162CE2" w:rsidRPr="002606DB" w:rsidRDefault="00162CE2" w:rsidP="00056F35">
      <w:pPr>
        <w:pStyle w:val="a3"/>
        <w:adjustRightInd w:val="0"/>
        <w:snapToGrid w:val="0"/>
        <w:rPr>
          <w:snapToGrid w:val="0"/>
          <w:lang w:val="pt-PT"/>
        </w:rPr>
      </w:pPr>
      <w:r w:rsidRPr="002606DB">
        <w:rPr>
          <w:snapToGrid w:val="0"/>
          <w:lang w:val="pt-PT"/>
        </w:rPr>
        <w:t>*Bevacizumab é um anticorpo monoclonal recombinante humanizado produzido por tecnologia de ADN em células de ovário de hamster chinês.</w:t>
      </w:r>
    </w:p>
    <w:p w14:paraId="651EB482" w14:textId="77777777" w:rsidR="00162CE2" w:rsidRPr="002606DB" w:rsidRDefault="00162CE2" w:rsidP="00056F35">
      <w:pPr>
        <w:pStyle w:val="a3"/>
        <w:adjustRightInd w:val="0"/>
        <w:snapToGrid w:val="0"/>
        <w:rPr>
          <w:snapToGrid w:val="0"/>
          <w:lang w:val="pt-PT"/>
        </w:rPr>
      </w:pPr>
    </w:p>
    <w:p w14:paraId="5AC53A45" w14:textId="77777777" w:rsidR="00C25AC8" w:rsidRPr="00A45F3F" w:rsidRDefault="00C25AC8" w:rsidP="00C25AC8">
      <w:pPr>
        <w:widowControl/>
        <w:adjustRightInd w:val="0"/>
        <w:snapToGrid w:val="0"/>
        <w:rPr>
          <w:rFonts w:eastAsia="맑은 고딕"/>
          <w:u w:val="single"/>
          <w:lang w:val="fr-CA" w:eastAsia="ko-KR"/>
        </w:rPr>
      </w:pPr>
      <w:bookmarkStart w:id="1" w:name="_Hlk190180775"/>
      <w:r w:rsidRPr="00A45F3F">
        <w:rPr>
          <w:u w:val="single"/>
          <w:lang w:val="fr-CA" w:eastAsia="ko-KR"/>
        </w:rPr>
        <w:t>Excipiente com efeito conhecido</w:t>
      </w:r>
    </w:p>
    <w:p w14:paraId="1CC56F04" w14:textId="2024B214" w:rsidR="00C25AC8" w:rsidRPr="002606DB" w:rsidRDefault="00C25AC8" w:rsidP="00C25AC8">
      <w:pPr>
        <w:pStyle w:val="a3"/>
        <w:adjustRightInd w:val="0"/>
        <w:snapToGrid w:val="0"/>
        <w:rPr>
          <w:snapToGrid w:val="0"/>
          <w:lang w:val="pt-PT"/>
        </w:rPr>
      </w:pPr>
      <w:r w:rsidRPr="002606DB">
        <w:rPr>
          <w:snapToGrid w:val="0"/>
          <w:lang w:val="pt-PT"/>
        </w:rPr>
        <w:t xml:space="preserve">Cada frasco para injetáveis de 4 ml contém </w:t>
      </w:r>
      <w:r>
        <w:rPr>
          <w:rFonts w:eastAsia="맑은 고딕" w:hint="eastAsia"/>
          <w:snapToGrid w:val="0"/>
          <w:lang w:val="pt-PT" w:eastAsia="ko-KR"/>
        </w:rPr>
        <w:t>1,6</w:t>
      </w:r>
      <w:r w:rsidRPr="002606DB">
        <w:rPr>
          <w:snapToGrid w:val="0"/>
          <w:lang w:val="pt-PT"/>
        </w:rPr>
        <w:t xml:space="preserve"> mg de </w:t>
      </w:r>
      <w:r w:rsidRPr="00C25AC8">
        <w:rPr>
          <w:snapToGrid w:val="0"/>
          <w:lang w:val="pt-PT"/>
        </w:rPr>
        <w:t xml:space="preserve">polissorbato </w:t>
      </w:r>
      <w:r>
        <w:rPr>
          <w:rFonts w:eastAsia="맑은 고딕" w:hint="eastAsia"/>
          <w:snapToGrid w:val="0"/>
          <w:lang w:val="pt-PT" w:eastAsia="ko-KR"/>
        </w:rPr>
        <w:t>20</w:t>
      </w:r>
      <w:r w:rsidRPr="002606DB">
        <w:rPr>
          <w:snapToGrid w:val="0"/>
          <w:lang w:val="pt-PT"/>
        </w:rPr>
        <w:t xml:space="preserve">. </w:t>
      </w:r>
    </w:p>
    <w:p w14:paraId="5D409C55" w14:textId="2422576B" w:rsidR="00C25AC8" w:rsidRPr="002606DB" w:rsidRDefault="00C25AC8" w:rsidP="00C25AC8">
      <w:pPr>
        <w:pStyle w:val="a3"/>
        <w:adjustRightInd w:val="0"/>
        <w:snapToGrid w:val="0"/>
        <w:rPr>
          <w:snapToGrid w:val="0"/>
          <w:lang w:val="pt-PT"/>
        </w:rPr>
      </w:pPr>
      <w:r w:rsidRPr="002606DB">
        <w:rPr>
          <w:snapToGrid w:val="0"/>
          <w:lang w:val="pt-PT"/>
        </w:rPr>
        <w:t xml:space="preserve">Cada frasco para injetáveis de 16 ml contém </w:t>
      </w:r>
      <w:r>
        <w:rPr>
          <w:rFonts w:eastAsia="맑은 고딕" w:hint="eastAsia"/>
          <w:snapToGrid w:val="0"/>
          <w:lang w:val="pt-PT" w:eastAsia="ko-KR"/>
        </w:rPr>
        <w:t>6,4</w:t>
      </w:r>
      <w:r w:rsidRPr="002606DB">
        <w:rPr>
          <w:snapToGrid w:val="0"/>
          <w:lang w:val="pt-PT"/>
        </w:rPr>
        <w:t xml:space="preserve"> mg de </w:t>
      </w:r>
      <w:r w:rsidRPr="00C25AC8">
        <w:rPr>
          <w:snapToGrid w:val="0"/>
          <w:lang w:val="pt-PT"/>
        </w:rPr>
        <w:t xml:space="preserve">polissorbato </w:t>
      </w:r>
      <w:r>
        <w:rPr>
          <w:rFonts w:eastAsia="맑은 고딕" w:hint="eastAsia"/>
          <w:snapToGrid w:val="0"/>
          <w:lang w:val="pt-PT" w:eastAsia="ko-KR"/>
        </w:rPr>
        <w:t>20</w:t>
      </w:r>
      <w:r w:rsidRPr="002606DB">
        <w:rPr>
          <w:snapToGrid w:val="0"/>
          <w:lang w:val="pt-PT"/>
        </w:rPr>
        <w:t xml:space="preserve">. </w:t>
      </w:r>
    </w:p>
    <w:bookmarkEnd w:id="1"/>
    <w:p w14:paraId="4B614F37" w14:textId="77777777" w:rsidR="00C25AC8" w:rsidRPr="00A45F3F" w:rsidRDefault="00C25AC8" w:rsidP="00056F35">
      <w:pPr>
        <w:pStyle w:val="a3"/>
        <w:adjustRightInd w:val="0"/>
        <w:snapToGrid w:val="0"/>
        <w:rPr>
          <w:rFonts w:eastAsia="맑은 고딕"/>
          <w:snapToGrid w:val="0"/>
          <w:lang w:val="fr-CA" w:eastAsia="ko-KR"/>
        </w:rPr>
      </w:pPr>
    </w:p>
    <w:p w14:paraId="65FFBCCF" w14:textId="6F026ECB" w:rsidR="00162CE2" w:rsidRPr="002606DB" w:rsidRDefault="00162CE2" w:rsidP="00056F35">
      <w:pPr>
        <w:pStyle w:val="a3"/>
        <w:adjustRightInd w:val="0"/>
        <w:snapToGrid w:val="0"/>
        <w:rPr>
          <w:snapToGrid w:val="0"/>
          <w:lang w:val="pt-PT"/>
        </w:rPr>
      </w:pPr>
      <w:r w:rsidRPr="002606DB">
        <w:rPr>
          <w:snapToGrid w:val="0"/>
          <w:lang w:val="pt-PT"/>
        </w:rPr>
        <w:t>Lista completa de excipientes, ver secção 6.1.</w:t>
      </w:r>
    </w:p>
    <w:p w14:paraId="1EFB4C62" w14:textId="77777777" w:rsidR="00162CE2" w:rsidRPr="002606DB" w:rsidRDefault="00162CE2" w:rsidP="00056F35">
      <w:pPr>
        <w:pStyle w:val="a3"/>
        <w:adjustRightInd w:val="0"/>
        <w:snapToGrid w:val="0"/>
        <w:rPr>
          <w:snapToGrid w:val="0"/>
          <w:lang w:val="pt-PT"/>
        </w:rPr>
      </w:pPr>
    </w:p>
    <w:p w14:paraId="29AE16C2" w14:textId="77777777" w:rsidR="00162CE2" w:rsidRPr="002606DB" w:rsidRDefault="00162CE2" w:rsidP="00056F35">
      <w:pPr>
        <w:pStyle w:val="a3"/>
        <w:adjustRightInd w:val="0"/>
        <w:snapToGrid w:val="0"/>
        <w:rPr>
          <w:snapToGrid w:val="0"/>
          <w:lang w:val="pt-PT"/>
        </w:rPr>
      </w:pPr>
    </w:p>
    <w:p w14:paraId="16ABCB13" w14:textId="77777777" w:rsidR="00162CE2" w:rsidRPr="002606DB" w:rsidRDefault="00162CE2" w:rsidP="00552771">
      <w:pPr>
        <w:pStyle w:val="a4"/>
        <w:adjustRightInd w:val="0"/>
        <w:snapToGrid w:val="0"/>
        <w:ind w:left="567" w:hanging="567"/>
        <w:rPr>
          <w:b/>
          <w:snapToGrid w:val="0"/>
          <w:lang w:val="pt-PT"/>
        </w:rPr>
      </w:pPr>
      <w:r w:rsidRPr="007155C0">
        <w:rPr>
          <w:b/>
          <w:bCs/>
          <w:snapToGrid w:val="0"/>
          <w:w w:val="101"/>
          <w:lang w:val="pt-PT"/>
        </w:rPr>
        <w:t>3.</w:t>
      </w:r>
      <w:r w:rsidRPr="007155C0">
        <w:rPr>
          <w:b/>
          <w:bCs/>
          <w:snapToGrid w:val="0"/>
          <w:w w:val="101"/>
          <w:lang w:val="pt-PT"/>
        </w:rPr>
        <w:tab/>
      </w:r>
      <w:r w:rsidRPr="002606DB">
        <w:rPr>
          <w:b/>
          <w:snapToGrid w:val="0"/>
          <w:lang w:val="pt-PT"/>
        </w:rPr>
        <w:t>FORMA FARMACÊUTICA</w:t>
      </w:r>
    </w:p>
    <w:p w14:paraId="579A4D07" w14:textId="77777777" w:rsidR="00162CE2" w:rsidRPr="002606DB" w:rsidRDefault="00162CE2" w:rsidP="00056F35">
      <w:pPr>
        <w:pStyle w:val="a3"/>
        <w:adjustRightInd w:val="0"/>
        <w:snapToGrid w:val="0"/>
        <w:rPr>
          <w:b/>
          <w:snapToGrid w:val="0"/>
          <w:lang w:val="pt-PT"/>
        </w:rPr>
      </w:pPr>
    </w:p>
    <w:p w14:paraId="5589D710" w14:textId="77777777" w:rsidR="00162CE2" w:rsidRPr="002606DB" w:rsidRDefault="00162CE2" w:rsidP="00056F35">
      <w:pPr>
        <w:pStyle w:val="a3"/>
        <w:adjustRightInd w:val="0"/>
        <w:snapToGrid w:val="0"/>
        <w:rPr>
          <w:snapToGrid w:val="0"/>
          <w:lang w:val="pt-PT"/>
        </w:rPr>
      </w:pPr>
      <w:r w:rsidRPr="002606DB">
        <w:rPr>
          <w:snapToGrid w:val="0"/>
          <w:lang w:val="pt-PT"/>
        </w:rPr>
        <w:t>Concentrado para solução para perfusão.</w:t>
      </w:r>
    </w:p>
    <w:p w14:paraId="240C72A1" w14:textId="77777777" w:rsidR="00162CE2" w:rsidRPr="002606DB" w:rsidRDefault="00162CE2" w:rsidP="00056F35">
      <w:pPr>
        <w:pStyle w:val="a3"/>
        <w:adjustRightInd w:val="0"/>
        <w:snapToGrid w:val="0"/>
        <w:rPr>
          <w:snapToGrid w:val="0"/>
          <w:lang w:val="pt-PT"/>
        </w:rPr>
      </w:pPr>
    </w:p>
    <w:p w14:paraId="0C9660F6" w14:textId="77777777" w:rsidR="00162CE2" w:rsidRPr="002606DB" w:rsidRDefault="00162CE2" w:rsidP="00056F35">
      <w:pPr>
        <w:pStyle w:val="a3"/>
        <w:adjustRightInd w:val="0"/>
        <w:snapToGrid w:val="0"/>
        <w:rPr>
          <w:snapToGrid w:val="0"/>
          <w:lang w:val="pt-PT"/>
        </w:rPr>
      </w:pPr>
      <w:r w:rsidRPr="002606DB">
        <w:rPr>
          <w:snapToGrid w:val="0"/>
          <w:lang w:val="pt-PT"/>
        </w:rPr>
        <w:t>Líquido transparente a ligeiramente opalescente, incolor a castanho claro</w:t>
      </w:r>
    </w:p>
    <w:p w14:paraId="00126203" w14:textId="77777777" w:rsidR="00162CE2" w:rsidRPr="002606DB" w:rsidRDefault="00162CE2" w:rsidP="00056F35">
      <w:pPr>
        <w:pStyle w:val="a3"/>
        <w:adjustRightInd w:val="0"/>
        <w:snapToGrid w:val="0"/>
        <w:rPr>
          <w:snapToGrid w:val="0"/>
          <w:lang w:val="pt-PT"/>
        </w:rPr>
      </w:pPr>
    </w:p>
    <w:p w14:paraId="5C46B9BF" w14:textId="77777777" w:rsidR="00162CE2" w:rsidRPr="002606DB" w:rsidRDefault="00162CE2" w:rsidP="00056F35">
      <w:pPr>
        <w:pStyle w:val="a3"/>
        <w:adjustRightInd w:val="0"/>
        <w:snapToGrid w:val="0"/>
        <w:rPr>
          <w:snapToGrid w:val="0"/>
          <w:lang w:val="pt-PT"/>
        </w:rPr>
      </w:pPr>
    </w:p>
    <w:p w14:paraId="2050B81F" w14:textId="77777777" w:rsidR="00162CE2" w:rsidRPr="002606DB" w:rsidRDefault="00162CE2" w:rsidP="00552771">
      <w:pPr>
        <w:pStyle w:val="a4"/>
        <w:adjustRightInd w:val="0"/>
        <w:snapToGrid w:val="0"/>
        <w:ind w:left="567" w:hanging="567"/>
        <w:rPr>
          <w:b/>
          <w:snapToGrid w:val="0"/>
          <w:lang w:val="pt-PT"/>
        </w:rPr>
      </w:pPr>
      <w:r w:rsidRPr="007155C0">
        <w:rPr>
          <w:b/>
          <w:bCs/>
          <w:snapToGrid w:val="0"/>
          <w:w w:val="101"/>
          <w:lang w:val="pt-PT"/>
        </w:rPr>
        <w:t>4.</w:t>
      </w:r>
      <w:r w:rsidRPr="007155C0">
        <w:rPr>
          <w:b/>
          <w:bCs/>
          <w:snapToGrid w:val="0"/>
          <w:w w:val="101"/>
          <w:lang w:val="pt-PT"/>
        </w:rPr>
        <w:tab/>
      </w:r>
      <w:r w:rsidRPr="002606DB">
        <w:rPr>
          <w:b/>
          <w:snapToGrid w:val="0"/>
          <w:lang w:val="pt-PT"/>
        </w:rPr>
        <w:t>INFORMAÇÕES CLÍNICAS</w:t>
      </w:r>
    </w:p>
    <w:p w14:paraId="53B4354F" w14:textId="77777777" w:rsidR="00162CE2" w:rsidRPr="002606DB" w:rsidRDefault="00162CE2" w:rsidP="00056F35">
      <w:pPr>
        <w:pStyle w:val="a3"/>
        <w:adjustRightInd w:val="0"/>
        <w:snapToGrid w:val="0"/>
        <w:rPr>
          <w:b/>
          <w:snapToGrid w:val="0"/>
          <w:lang w:val="pt-PT"/>
        </w:rPr>
      </w:pPr>
    </w:p>
    <w:p w14:paraId="436DEC71" w14:textId="77777777" w:rsidR="00162CE2" w:rsidRPr="002606DB" w:rsidRDefault="00162CE2" w:rsidP="00552771">
      <w:pPr>
        <w:pStyle w:val="2"/>
        <w:adjustRightInd w:val="0"/>
        <w:snapToGrid w:val="0"/>
        <w:ind w:left="567" w:hanging="567"/>
        <w:rPr>
          <w:snapToGrid w:val="0"/>
          <w:lang w:val="pt-PT"/>
        </w:rPr>
      </w:pPr>
      <w:r w:rsidRPr="007155C0">
        <w:rPr>
          <w:snapToGrid w:val="0"/>
          <w:spacing w:val="-6"/>
          <w:w w:val="101"/>
          <w:lang w:val="pt-PT"/>
        </w:rPr>
        <w:t>4.1</w:t>
      </w:r>
      <w:r w:rsidRPr="007155C0">
        <w:rPr>
          <w:snapToGrid w:val="0"/>
          <w:spacing w:val="-6"/>
          <w:w w:val="101"/>
          <w:lang w:val="pt-PT"/>
        </w:rPr>
        <w:tab/>
      </w:r>
      <w:r w:rsidRPr="002606DB">
        <w:rPr>
          <w:snapToGrid w:val="0"/>
          <w:lang w:val="pt-PT"/>
        </w:rPr>
        <w:t>Indicações terapêuticas</w:t>
      </w:r>
    </w:p>
    <w:p w14:paraId="6B149599" w14:textId="77777777" w:rsidR="00162CE2" w:rsidRPr="002606DB" w:rsidRDefault="00162CE2" w:rsidP="00056F35">
      <w:pPr>
        <w:pStyle w:val="a3"/>
        <w:adjustRightInd w:val="0"/>
        <w:snapToGrid w:val="0"/>
        <w:rPr>
          <w:b/>
          <w:snapToGrid w:val="0"/>
          <w:lang w:val="pt-PT"/>
        </w:rPr>
      </w:pPr>
    </w:p>
    <w:p w14:paraId="0FBBF3AA" w14:textId="239722B6"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em associação com quimioterapia </w:t>
      </w:r>
      <w:r w:rsidR="00092148">
        <w:rPr>
          <w:snapToGrid w:val="0"/>
          <w:lang w:val="pt-PT"/>
        </w:rPr>
        <w:t>baseada em</w:t>
      </w:r>
      <w:r w:rsidR="00162CE2" w:rsidRPr="002606DB">
        <w:rPr>
          <w:snapToGrid w:val="0"/>
          <w:lang w:val="pt-PT"/>
        </w:rPr>
        <w:t xml:space="preserve"> fluoropirimidinas, está indicado no tratamento de doentes adultos com carcinoma metastizado do cólon ou do reto.</w:t>
      </w:r>
    </w:p>
    <w:p w14:paraId="387F7595" w14:textId="77777777" w:rsidR="00162CE2" w:rsidRPr="002606DB" w:rsidRDefault="00162CE2" w:rsidP="00056F35">
      <w:pPr>
        <w:pStyle w:val="a3"/>
        <w:adjustRightInd w:val="0"/>
        <w:snapToGrid w:val="0"/>
        <w:rPr>
          <w:snapToGrid w:val="0"/>
          <w:lang w:val="pt-PT"/>
        </w:rPr>
      </w:pPr>
    </w:p>
    <w:p w14:paraId="0CCEB125" w14:textId="781B6486"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em associação com paclitaxel, está indicado no tratamento de primeira linha de doentes adultos com cancro da mama metastizado. Para informação adicional acerca da determinação do recetor-2 do fator de crescimento epidérmico humano (HER2)</w:t>
      </w:r>
      <w:r w:rsidR="00332D17" w:rsidRPr="008E19BD">
        <w:rPr>
          <w:bCs/>
        </w:rPr>
        <w:t>,</w:t>
      </w:r>
      <w:r w:rsidR="00162CE2" w:rsidRPr="002606DB">
        <w:rPr>
          <w:snapToGrid w:val="0"/>
          <w:lang w:val="pt-PT"/>
        </w:rPr>
        <w:t xml:space="preserve"> por favor consulte a secção 5.1.</w:t>
      </w:r>
    </w:p>
    <w:p w14:paraId="706E8E03" w14:textId="77777777" w:rsidR="00162CE2" w:rsidRPr="002606DB" w:rsidRDefault="00162CE2" w:rsidP="00056F35">
      <w:pPr>
        <w:pStyle w:val="a3"/>
        <w:adjustRightInd w:val="0"/>
        <w:snapToGrid w:val="0"/>
        <w:rPr>
          <w:snapToGrid w:val="0"/>
          <w:lang w:val="pt-PT"/>
        </w:rPr>
      </w:pPr>
    </w:p>
    <w:p w14:paraId="5C4B046C" w14:textId="73A31531"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em associação com capecitabina, está indicado na primeira linha do tratamento de doentes adultos com cancro da mama metastizado, nos quais o tratamento com outras opções de quimioterapia, incluindo taxanos ou antraciclinas, não é considerado apropriado. Doentes tratados com taxanos e regimes contendo antraciclinas em contexto adjuvante nos últimos 12 meses devem ser excluídos do tratamento com </w:t>
      </w:r>
      <w:r>
        <w:rPr>
          <w:snapToGrid w:val="0"/>
          <w:lang w:val="pt-PT"/>
        </w:rPr>
        <w:t>Vegzelma</w:t>
      </w:r>
      <w:r w:rsidR="00162CE2" w:rsidRPr="002606DB">
        <w:rPr>
          <w:snapToGrid w:val="0"/>
          <w:lang w:val="pt-PT"/>
        </w:rPr>
        <w:t xml:space="preserve"> em associação com capecitabina. Para informação adicional acerca da determinação do HER2</w:t>
      </w:r>
      <w:r w:rsidR="006E0728" w:rsidRPr="008E19BD">
        <w:rPr>
          <w:bCs/>
        </w:rPr>
        <w:t>,</w:t>
      </w:r>
      <w:r w:rsidR="00162CE2" w:rsidRPr="002606DB">
        <w:rPr>
          <w:snapToGrid w:val="0"/>
          <w:lang w:val="pt-PT"/>
        </w:rPr>
        <w:t xml:space="preserve"> por favor consulte a secção 5.1.</w:t>
      </w:r>
    </w:p>
    <w:p w14:paraId="44F57C79" w14:textId="77777777" w:rsidR="00162CE2" w:rsidRPr="002606DB" w:rsidRDefault="00162CE2" w:rsidP="00056F35">
      <w:pPr>
        <w:pStyle w:val="a3"/>
        <w:adjustRightInd w:val="0"/>
        <w:snapToGrid w:val="0"/>
        <w:rPr>
          <w:snapToGrid w:val="0"/>
          <w:lang w:val="pt-PT"/>
        </w:rPr>
      </w:pPr>
    </w:p>
    <w:p w14:paraId="18B5149D" w14:textId="5270E0F3" w:rsidR="00162CE2" w:rsidRPr="002606DB" w:rsidRDefault="00FB2483" w:rsidP="00EA7A1C">
      <w:pPr>
        <w:pStyle w:val="a3"/>
        <w:adjustRightInd w:val="0"/>
        <w:snapToGrid w:val="0"/>
        <w:ind w:right="-422"/>
        <w:rPr>
          <w:snapToGrid w:val="0"/>
          <w:lang w:val="pt-PT"/>
        </w:rPr>
      </w:pPr>
      <w:r>
        <w:rPr>
          <w:color w:val="000000"/>
          <w:lang w:val="pt-PT"/>
        </w:rPr>
        <w:t>Vegzelma</w:t>
      </w:r>
      <w:r w:rsidR="00162CE2" w:rsidRPr="002606DB">
        <w:rPr>
          <w:snapToGrid w:val="0"/>
          <w:lang w:val="pt-PT"/>
        </w:rPr>
        <w:t xml:space="preserve">, em associação com quimioterapia </w:t>
      </w:r>
      <w:r w:rsidR="00966331">
        <w:rPr>
          <w:snapToGrid w:val="0"/>
          <w:lang w:val="pt-PT"/>
        </w:rPr>
        <w:t>baseada em</w:t>
      </w:r>
      <w:r w:rsidR="00162CE2" w:rsidRPr="002606DB">
        <w:rPr>
          <w:snapToGrid w:val="0"/>
          <w:lang w:val="pt-PT"/>
        </w:rPr>
        <w:t xml:space="preserve"> compostos de platina, está indicado no tratamento de primeira linha de doentes adultos com cancro do pulmão de células não pequenas</w:t>
      </w:r>
      <w:r w:rsidR="00655389">
        <w:rPr>
          <w:snapToGrid w:val="0"/>
          <w:lang w:val="pt-PT"/>
        </w:rPr>
        <w:t xml:space="preserve"> (NSCLC)</w:t>
      </w:r>
      <w:r w:rsidR="00162CE2" w:rsidRPr="002606DB">
        <w:rPr>
          <w:snapToGrid w:val="0"/>
          <w:lang w:val="pt-PT"/>
        </w:rPr>
        <w:t>, irressecável, avançado, metastizado ou recidivado, excluindo histologia com predomínio pavimentocelular.</w:t>
      </w:r>
    </w:p>
    <w:p w14:paraId="75E478AA" w14:textId="77777777" w:rsidR="00162CE2" w:rsidRPr="002606DB" w:rsidRDefault="00162CE2" w:rsidP="00056F35">
      <w:pPr>
        <w:pStyle w:val="a3"/>
        <w:adjustRightInd w:val="0"/>
        <w:snapToGrid w:val="0"/>
        <w:rPr>
          <w:snapToGrid w:val="0"/>
          <w:lang w:val="pt-PT"/>
        </w:rPr>
      </w:pPr>
    </w:p>
    <w:p w14:paraId="58F60359" w14:textId="4F72B6B3"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em associação com erlotinib, está indicado no tratamento de primeira linha de doentes </w:t>
      </w:r>
      <w:r w:rsidR="00162CE2" w:rsidRPr="002606DB">
        <w:rPr>
          <w:snapToGrid w:val="0"/>
          <w:lang w:val="pt-PT"/>
        </w:rPr>
        <w:lastRenderedPageBreak/>
        <w:t xml:space="preserve">adultos com </w:t>
      </w:r>
      <w:r w:rsidR="0017569B">
        <w:rPr>
          <w:snapToGrid w:val="0"/>
          <w:lang w:val="pt-PT"/>
        </w:rPr>
        <w:t>NSCLC</w:t>
      </w:r>
      <w:r w:rsidR="0017569B" w:rsidRPr="002606DB" w:rsidDel="0017569B">
        <w:rPr>
          <w:snapToGrid w:val="0"/>
          <w:lang w:val="pt-PT"/>
        </w:rPr>
        <w:t xml:space="preserve"> </w:t>
      </w:r>
      <w:r w:rsidR="00162CE2" w:rsidRPr="002606DB">
        <w:rPr>
          <w:snapToGrid w:val="0"/>
          <w:lang w:val="pt-PT"/>
        </w:rPr>
        <w:t xml:space="preserve">não </w:t>
      </w:r>
      <w:r w:rsidR="00A20984">
        <w:rPr>
          <w:snapToGrid w:val="0"/>
          <w:lang w:val="pt-PT"/>
        </w:rPr>
        <w:t>pavimentocelular</w:t>
      </w:r>
      <w:r w:rsidR="00162CE2" w:rsidRPr="002606DB">
        <w:rPr>
          <w:snapToGrid w:val="0"/>
          <w:lang w:val="pt-PT"/>
        </w:rPr>
        <w:t>, avançado irressecável, metastizado ou recidivado, com mutações ativadoras do Recetor do Fator de Crescimento Epidérmico (EGFR) (ver secção 5.1).</w:t>
      </w:r>
    </w:p>
    <w:p w14:paraId="70EB5541" w14:textId="77777777" w:rsidR="00162CE2" w:rsidRPr="002606DB" w:rsidRDefault="00162CE2" w:rsidP="00056F35">
      <w:pPr>
        <w:pStyle w:val="a3"/>
        <w:adjustRightInd w:val="0"/>
        <w:snapToGrid w:val="0"/>
        <w:rPr>
          <w:snapToGrid w:val="0"/>
          <w:lang w:val="pt-PT"/>
        </w:rPr>
      </w:pPr>
    </w:p>
    <w:p w14:paraId="0F329C59" w14:textId="7ED7C47E"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em associação com interferão alfa</w:t>
      </w:r>
      <w:r w:rsidR="00F27752" w:rsidRPr="002606DB">
        <w:rPr>
          <w:snapToGrid w:val="0"/>
          <w:lang w:val="pt-PT"/>
        </w:rPr>
        <w:noBreakHyphen/>
      </w:r>
      <w:r w:rsidR="00162CE2" w:rsidRPr="002606DB">
        <w:rPr>
          <w:snapToGrid w:val="0"/>
          <w:lang w:val="pt-PT"/>
        </w:rPr>
        <w:t>2a, está indicado no tratamento de primeira linha de doentes adultos com cancro de células renais avançado e/ou metastizado.</w:t>
      </w:r>
    </w:p>
    <w:p w14:paraId="23A4AE04" w14:textId="77777777" w:rsidR="00162CE2" w:rsidRPr="002606DB" w:rsidRDefault="00162CE2" w:rsidP="00056F35">
      <w:pPr>
        <w:adjustRightInd w:val="0"/>
        <w:snapToGrid w:val="0"/>
        <w:rPr>
          <w:snapToGrid w:val="0"/>
          <w:lang w:val="pt-PT"/>
        </w:rPr>
      </w:pPr>
    </w:p>
    <w:p w14:paraId="7FB4A551" w14:textId="369A2350"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em associação com carboplatina e paclitaxel, está indicado no tratamento de primeira linha de doentes adultos com cancro epitelial do ovário, da trompa de Falópio ou cancro peritoneal primário, avançados (estadios </w:t>
      </w:r>
      <w:r w:rsidR="00162CE2" w:rsidRPr="002606DB">
        <w:rPr>
          <w:i/>
          <w:snapToGrid w:val="0"/>
          <w:lang w:val="pt-PT"/>
        </w:rPr>
        <w:t xml:space="preserve">International Federation of Gynecology and Obstetrics </w:t>
      </w:r>
      <w:r w:rsidR="00162CE2" w:rsidRPr="002606DB">
        <w:rPr>
          <w:snapToGrid w:val="0"/>
          <w:lang w:val="pt-PT"/>
        </w:rPr>
        <w:t>(FIGO) III B, III C e IV) (ver secção 5.1).</w:t>
      </w:r>
    </w:p>
    <w:p w14:paraId="50371AC6" w14:textId="77777777" w:rsidR="00162CE2" w:rsidRPr="002606DB" w:rsidRDefault="00162CE2" w:rsidP="00056F35">
      <w:pPr>
        <w:pStyle w:val="a3"/>
        <w:adjustRightInd w:val="0"/>
        <w:snapToGrid w:val="0"/>
        <w:rPr>
          <w:snapToGrid w:val="0"/>
          <w:lang w:val="pt-PT"/>
        </w:rPr>
      </w:pPr>
    </w:p>
    <w:p w14:paraId="6D0AEBA1" w14:textId="5249928C"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em associação com carboplatina e gemcitabina ou em associação com carboplatina e paclitaxel, está indicado no tratamento de doentes adultos com uma primeira recorrência de cancro epitelial do ovário, da trompa de Falópio ou cancro peritoneal primário, sensíveis a platina, que não receberam terapêutica prévia com bevacizumab ou outros inibidores do fator de crescimento endotelial vascular (VEGF) ou agentes dirigidos ao recetor do VEGF.</w:t>
      </w:r>
    </w:p>
    <w:p w14:paraId="56FE6730" w14:textId="77777777" w:rsidR="00162CE2" w:rsidRPr="002606DB" w:rsidRDefault="00162CE2" w:rsidP="00056F35">
      <w:pPr>
        <w:pStyle w:val="a3"/>
        <w:adjustRightInd w:val="0"/>
        <w:snapToGrid w:val="0"/>
        <w:rPr>
          <w:snapToGrid w:val="0"/>
          <w:lang w:val="pt-PT"/>
        </w:rPr>
      </w:pPr>
    </w:p>
    <w:p w14:paraId="78C98542" w14:textId="6B87E092" w:rsidR="00162CE2" w:rsidRPr="002606DB" w:rsidRDefault="00FB2483" w:rsidP="00056F35">
      <w:pPr>
        <w:pStyle w:val="a3"/>
        <w:adjustRightInd w:val="0"/>
        <w:snapToGrid w:val="0"/>
        <w:rPr>
          <w:snapToGrid w:val="0"/>
          <w:lang w:val="pt-PT"/>
        </w:rPr>
      </w:pPr>
      <w:r>
        <w:rPr>
          <w:color w:val="000000"/>
          <w:lang w:val="pt-PT"/>
        </w:rPr>
        <w:t>Vegzelma</w:t>
      </w:r>
      <w:r w:rsidR="00E8233E" w:rsidRPr="007155C0">
        <w:rPr>
          <w:lang w:val="pt-PT"/>
        </w:rPr>
        <w:t>,</w:t>
      </w:r>
      <w:r w:rsidR="00162CE2" w:rsidRPr="002606DB">
        <w:rPr>
          <w:snapToGrid w:val="0"/>
          <w:lang w:val="pt-PT"/>
        </w:rPr>
        <w:t xml:space="preserve"> em associação com paclitaxel, topotecano, ou doxorrubicina lipossómica peguilada está indicado no tratamento de doentes adultos com cancro epitelial do ovário, da trompa de Falópio ou cancro peritoneal primário recorrentes, resistentes a platina, que receberam previamente não mais do que dois regimes de quimioterapia e que não receberam terapêutica prévia com bevacizumab ou outros inibidores do VEGF ou agentes dirigidos ao recetor do VEGF (ver secção 5.1).</w:t>
      </w:r>
    </w:p>
    <w:p w14:paraId="660A3999" w14:textId="77777777" w:rsidR="00162CE2" w:rsidRPr="002606DB" w:rsidRDefault="00162CE2" w:rsidP="00056F35">
      <w:pPr>
        <w:pStyle w:val="a3"/>
        <w:adjustRightInd w:val="0"/>
        <w:snapToGrid w:val="0"/>
        <w:rPr>
          <w:snapToGrid w:val="0"/>
          <w:lang w:val="pt-PT"/>
        </w:rPr>
      </w:pPr>
    </w:p>
    <w:p w14:paraId="31508FE7" w14:textId="56BF2777" w:rsidR="00162CE2" w:rsidRPr="002606DB" w:rsidRDefault="00FB2483" w:rsidP="00EA7A1C">
      <w:pPr>
        <w:pStyle w:val="a3"/>
        <w:adjustRightInd w:val="0"/>
        <w:snapToGrid w:val="0"/>
        <w:ind w:right="-422"/>
        <w:rPr>
          <w:snapToGrid w:val="0"/>
          <w:lang w:val="pt-PT"/>
        </w:rPr>
      </w:pPr>
      <w:r>
        <w:rPr>
          <w:color w:val="000000"/>
          <w:lang w:val="pt-PT"/>
        </w:rPr>
        <w:t>Vegzelma</w:t>
      </w:r>
      <w:r w:rsidR="00E8233E" w:rsidRPr="007155C0">
        <w:rPr>
          <w:lang w:val="pt-PT"/>
        </w:rPr>
        <w:t>,</w:t>
      </w:r>
      <w:r w:rsidR="00162CE2" w:rsidRPr="002606DB">
        <w:rPr>
          <w:snapToGrid w:val="0"/>
          <w:lang w:val="pt-PT"/>
        </w:rPr>
        <w:t xml:space="preserve"> em associação com paclitaxel e cisplatina ou, em alternativa, paclitaxel e topotecano em doentes que não podem receber terapêutica com platina, está indicado para o tratamento de doentes adultas com carcinoma do colo do útero com doença persistente, recorrente ou metastizada (ver secção 5.1).</w:t>
      </w:r>
    </w:p>
    <w:p w14:paraId="7AAD6B47" w14:textId="77777777" w:rsidR="00162CE2" w:rsidRPr="002606DB" w:rsidRDefault="00162CE2" w:rsidP="00056F35">
      <w:pPr>
        <w:pStyle w:val="a3"/>
        <w:adjustRightInd w:val="0"/>
        <w:snapToGrid w:val="0"/>
        <w:rPr>
          <w:snapToGrid w:val="0"/>
          <w:lang w:val="pt-PT"/>
        </w:rPr>
      </w:pPr>
    </w:p>
    <w:p w14:paraId="69F9853E" w14:textId="77777777" w:rsidR="00162CE2" w:rsidRPr="002606DB" w:rsidRDefault="00162CE2" w:rsidP="00552771">
      <w:pPr>
        <w:pStyle w:val="2"/>
        <w:adjustRightInd w:val="0"/>
        <w:snapToGrid w:val="0"/>
        <w:ind w:left="567" w:hanging="567"/>
        <w:rPr>
          <w:snapToGrid w:val="0"/>
          <w:lang w:val="pt-PT"/>
        </w:rPr>
      </w:pPr>
      <w:r w:rsidRPr="007155C0">
        <w:rPr>
          <w:snapToGrid w:val="0"/>
          <w:spacing w:val="-6"/>
          <w:w w:val="101"/>
          <w:lang w:val="pt-PT"/>
        </w:rPr>
        <w:t>4.2</w:t>
      </w:r>
      <w:r w:rsidRPr="007155C0">
        <w:rPr>
          <w:snapToGrid w:val="0"/>
          <w:spacing w:val="-6"/>
          <w:w w:val="101"/>
          <w:lang w:val="pt-PT"/>
        </w:rPr>
        <w:tab/>
      </w:r>
      <w:r w:rsidRPr="002606DB">
        <w:rPr>
          <w:snapToGrid w:val="0"/>
          <w:lang w:val="pt-PT"/>
        </w:rPr>
        <w:t>Posologia e modo de administração</w:t>
      </w:r>
    </w:p>
    <w:p w14:paraId="24797E81" w14:textId="77777777" w:rsidR="00162CE2" w:rsidRPr="002606DB" w:rsidRDefault="00162CE2" w:rsidP="00056F35">
      <w:pPr>
        <w:pStyle w:val="a3"/>
        <w:adjustRightInd w:val="0"/>
        <w:snapToGrid w:val="0"/>
        <w:rPr>
          <w:bCs/>
          <w:snapToGrid w:val="0"/>
          <w:lang w:val="pt-PT"/>
        </w:rPr>
      </w:pPr>
    </w:p>
    <w:p w14:paraId="1A426728" w14:textId="7E59E5C1"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deve ser administrado sob supervisão de um médico com experiência na utilização de terapêuticas antineoplásicas.</w:t>
      </w:r>
    </w:p>
    <w:p w14:paraId="007C2DA5" w14:textId="77777777" w:rsidR="00162CE2" w:rsidRPr="002606DB" w:rsidRDefault="00162CE2" w:rsidP="00056F35">
      <w:pPr>
        <w:pStyle w:val="a3"/>
        <w:adjustRightInd w:val="0"/>
        <w:snapToGrid w:val="0"/>
        <w:rPr>
          <w:snapToGrid w:val="0"/>
          <w:lang w:val="pt-PT"/>
        </w:rPr>
      </w:pPr>
    </w:p>
    <w:p w14:paraId="36EFCAB0" w14:textId="77777777" w:rsidR="00162CE2" w:rsidRPr="002606DB" w:rsidRDefault="00162CE2" w:rsidP="00056F35">
      <w:pPr>
        <w:pStyle w:val="a3"/>
        <w:adjustRightInd w:val="0"/>
        <w:snapToGrid w:val="0"/>
        <w:rPr>
          <w:snapToGrid w:val="0"/>
          <w:lang w:val="pt-PT"/>
        </w:rPr>
      </w:pPr>
      <w:r w:rsidRPr="002606DB">
        <w:rPr>
          <w:snapToGrid w:val="0"/>
          <w:u w:val="single"/>
          <w:lang w:val="pt-PT"/>
        </w:rPr>
        <w:t>Posologia</w:t>
      </w:r>
    </w:p>
    <w:p w14:paraId="283FA12D" w14:textId="77777777" w:rsidR="00162CE2" w:rsidRPr="002606DB" w:rsidRDefault="00162CE2" w:rsidP="00056F35">
      <w:pPr>
        <w:pStyle w:val="a3"/>
        <w:adjustRightInd w:val="0"/>
        <w:snapToGrid w:val="0"/>
        <w:rPr>
          <w:snapToGrid w:val="0"/>
          <w:lang w:val="pt-PT"/>
        </w:rPr>
      </w:pPr>
    </w:p>
    <w:p w14:paraId="2C16F51E" w14:textId="77777777" w:rsidR="00162CE2" w:rsidRPr="002606DB" w:rsidRDefault="00162CE2" w:rsidP="00056F35">
      <w:pPr>
        <w:adjustRightInd w:val="0"/>
        <w:snapToGrid w:val="0"/>
        <w:rPr>
          <w:i/>
          <w:snapToGrid w:val="0"/>
          <w:lang w:val="pt-PT"/>
        </w:rPr>
      </w:pPr>
      <w:r w:rsidRPr="002606DB">
        <w:rPr>
          <w:i/>
          <w:snapToGrid w:val="0"/>
          <w:u w:val="single"/>
          <w:lang w:val="pt-PT"/>
        </w:rPr>
        <w:t>Carcinoma metastizado do cólon ou do reto (mCRC)</w:t>
      </w:r>
    </w:p>
    <w:p w14:paraId="07C65B77" w14:textId="77777777" w:rsidR="00162CE2" w:rsidRPr="002606DB" w:rsidRDefault="00162CE2" w:rsidP="00056F35">
      <w:pPr>
        <w:pStyle w:val="a3"/>
        <w:adjustRightInd w:val="0"/>
        <w:snapToGrid w:val="0"/>
        <w:rPr>
          <w:i/>
          <w:snapToGrid w:val="0"/>
          <w:lang w:val="pt-PT"/>
        </w:rPr>
      </w:pPr>
    </w:p>
    <w:p w14:paraId="5FAF965B" w14:textId="59D02209" w:rsidR="00162CE2" w:rsidRPr="002606DB" w:rsidRDefault="00162CE2" w:rsidP="00EA7A1C">
      <w:pPr>
        <w:pStyle w:val="a3"/>
        <w:adjustRightInd w:val="0"/>
        <w:snapToGrid w:val="0"/>
        <w:rPr>
          <w:snapToGrid w:val="0"/>
          <w:lang w:val="pt-PT"/>
        </w:rPr>
      </w:pPr>
      <w:r w:rsidRPr="002606DB">
        <w:rPr>
          <w:snapToGrid w:val="0"/>
          <w:lang w:val="pt-PT"/>
        </w:rPr>
        <w:t xml:space="preserve">A dose recomendada de </w:t>
      </w:r>
      <w:r w:rsidR="00FB2483">
        <w:rPr>
          <w:color w:val="000000"/>
          <w:lang w:val="fr-CA"/>
        </w:rPr>
        <w:t>Vegzelma</w:t>
      </w:r>
      <w:r w:rsidRPr="002606DB">
        <w:rPr>
          <w:snapToGrid w:val="0"/>
          <w:lang w:val="pt-PT"/>
        </w:rPr>
        <w:t xml:space="preserve">, administrada sob a forma de perfusão intravenosa, é de 5 mg/kg ou 10 mg/kg de peso corporal, administrada uma vez </w:t>
      </w:r>
      <w:r w:rsidRPr="001C687C">
        <w:rPr>
          <w:snapToGrid w:val="0"/>
          <w:lang w:val="pt-PT"/>
        </w:rPr>
        <w:t>de 2 em 2 semanas</w:t>
      </w:r>
      <w:r w:rsidRPr="00EF51D4">
        <w:rPr>
          <w:snapToGrid w:val="0"/>
          <w:lang w:val="pt-PT"/>
        </w:rPr>
        <w:t>,</w:t>
      </w:r>
      <w:r w:rsidRPr="002606DB">
        <w:rPr>
          <w:snapToGrid w:val="0"/>
          <w:lang w:val="pt-PT"/>
        </w:rPr>
        <w:t xml:space="preserve"> ou 7,5 mg/kg ou 15 mg/kg de peso corporal</w:t>
      </w:r>
      <w:r w:rsidR="00E8233E" w:rsidRPr="007155C0">
        <w:rPr>
          <w:lang w:val="fr-CA"/>
        </w:rPr>
        <w:t>,</w:t>
      </w:r>
      <w:r w:rsidRPr="002606DB">
        <w:rPr>
          <w:snapToGrid w:val="0"/>
          <w:lang w:val="pt-PT"/>
        </w:rPr>
        <w:t xml:space="preserve"> administrada uma vez </w:t>
      </w:r>
      <w:r w:rsidRPr="001C687C">
        <w:rPr>
          <w:snapToGrid w:val="0"/>
          <w:lang w:val="pt-PT"/>
        </w:rPr>
        <w:t>de 3 em 3 semanas</w:t>
      </w:r>
      <w:r w:rsidRPr="00EF51D4">
        <w:rPr>
          <w:snapToGrid w:val="0"/>
          <w:lang w:val="pt-PT"/>
        </w:rPr>
        <w:t>.</w:t>
      </w:r>
    </w:p>
    <w:p w14:paraId="6E280EC0" w14:textId="77777777" w:rsidR="00162CE2" w:rsidRPr="002606DB" w:rsidRDefault="00162CE2" w:rsidP="00056F35">
      <w:pPr>
        <w:pStyle w:val="a3"/>
        <w:adjustRightInd w:val="0"/>
        <w:snapToGrid w:val="0"/>
        <w:jc w:val="both"/>
        <w:rPr>
          <w:snapToGrid w:val="0"/>
          <w:lang w:val="pt-PT"/>
        </w:rPr>
      </w:pPr>
      <w:r w:rsidRPr="002606DB">
        <w:rPr>
          <w:snapToGrid w:val="0"/>
          <w:lang w:val="pt-PT"/>
        </w:rPr>
        <w:t>Recomenda-se a continuação da terapêutica até à progressão da doença subjacente ou até a toxicidade ser inaceitável.</w:t>
      </w:r>
    </w:p>
    <w:p w14:paraId="11CAD8F5" w14:textId="77777777" w:rsidR="00162CE2" w:rsidRPr="002606DB" w:rsidRDefault="00162CE2" w:rsidP="00056F35">
      <w:pPr>
        <w:pStyle w:val="a3"/>
        <w:adjustRightInd w:val="0"/>
        <w:snapToGrid w:val="0"/>
        <w:rPr>
          <w:snapToGrid w:val="0"/>
          <w:lang w:val="pt-PT"/>
        </w:rPr>
      </w:pPr>
    </w:p>
    <w:p w14:paraId="2DF1F690" w14:textId="77777777" w:rsidR="00162CE2" w:rsidRPr="002606DB" w:rsidRDefault="00162CE2" w:rsidP="00056F35">
      <w:pPr>
        <w:adjustRightInd w:val="0"/>
        <w:snapToGrid w:val="0"/>
        <w:jc w:val="both"/>
        <w:rPr>
          <w:i/>
          <w:snapToGrid w:val="0"/>
          <w:lang w:val="pt-PT"/>
        </w:rPr>
      </w:pPr>
      <w:r w:rsidRPr="002606DB">
        <w:rPr>
          <w:i/>
          <w:snapToGrid w:val="0"/>
          <w:u w:val="single"/>
          <w:lang w:val="pt-PT"/>
        </w:rPr>
        <w:t>Cancro da mama metastizado (mBC)</w:t>
      </w:r>
    </w:p>
    <w:p w14:paraId="368CB7B2" w14:textId="77777777" w:rsidR="00162CE2" w:rsidRPr="002606DB" w:rsidRDefault="00162CE2" w:rsidP="00056F35">
      <w:pPr>
        <w:pStyle w:val="a3"/>
        <w:adjustRightInd w:val="0"/>
        <w:snapToGrid w:val="0"/>
        <w:rPr>
          <w:i/>
          <w:snapToGrid w:val="0"/>
          <w:lang w:val="pt-PT"/>
        </w:rPr>
      </w:pPr>
    </w:p>
    <w:p w14:paraId="4F700925" w14:textId="20B6961A" w:rsidR="00162CE2" w:rsidRPr="002606DB" w:rsidRDefault="00162CE2" w:rsidP="00056F35">
      <w:pPr>
        <w:pStyle w:val="a3"/>
        <w:adjustRightInd w:val="0"/>
        <w:snapToGrid w:val="0"/>
        <w:rPr>
          <w:snapToGrid w:val="0"/>
          <w:lang w:val="pt-PT"/>
        </w:rPr>
      </w:pPr>
      <w:r w:rsidRPr="002606DB">
        <w:rPr>
          <w:snapToGrid w:val="0"/>
          <w:lang w:val="pt-PT"/>
        </w:rPr>
        <w:t xml:space="preserve">A dose recomendada de </w:t>
      </w:r>
      <w:r w:rsidR="00FB2483">
        <w:rPr>
          <w:color w:val="000000"/>
          <w:lang w:val="fr-CA"/>
        </w:rPr>
        <w:t>Vegzelma</w:t>
      </w:r>
      <w:r w:rsidRPr="007155C0">
        <w:rPr>
          <w:color w:val="000000"/>
          <w:lang w:val="fr-CA"/>
        </w:rPr>
        <w:t xml:space="preserve"> </w:t>
      </w:r>
      <w:r w:rsidRPr="002606DB">
        <w:rPr>
          <w:snapToGrid w:val="0"/>
          <w:lang w:val="pt-PT"/>
        </w:rPr>
        <w:t>é de 10 mg/kg de peso corporal administrada uma vez, de duas em duas semanas, ou 15 mg/Kg de peso corporal, administrada uma vez cada 3 semanas, sob a forma de perfusão intravenosa.</w:t>
      </w:r>
    </w:p>
    <w:p w14:paraId="181BB659" w14:textId="77777777" w:rsidR="00162CE2" w:rsidRPr="002606DB" w:rsidRDefault="00162CE2" w:rsidP="00056F35">
      <w:pPr>
        <w:pStyle w:val="a3"/>
        <w:adjustRightInd w:val="0"/>
        <w:snapToGrid w:val="0"/>
        <w:rPr>
          <w:snapToGrid w:val="0"/>
          <w:lang w:val="pt-PT"/>
        </w:rPr>
      </w:pPr>
      <w:r w:rsidRPr="002606DB">
        <w:rPr>
          <w:snapToGrid w:val="0"/>
          <w:lang w:val="pt-PT"/>
        </w:rPr>
        <w:t>Recomenda-se a continuação da terapêutica até à progressão da doença subjacente ou até a toxicidade ser inaceitável.</w:t>
      </w:r>
    </w:p>
    <w:p w14:paraId="7A2F2901" w14:textId="77777777" w:rsidR="00162CE2" w:rsidRPr="002606DB" w:rsidRDefault="00162CE2" w:rsidP="00056F35">
      <w:pPr>
        <w:pStyle w:val="a3"/>
        <w:adjustRightInd w:val="0"/>
        <w:snapToGrid w:val="0"/>
        <w:rPr>
          <w:snapToGrid w:val="0"/>
          <w:lang w:val="pt-PT"/>
        </w:rPr>
      </w:pPr>
    </w:p>
    <w:p w14:paraId="7E44FFCC" w14:textId="77777777" w:rsidR="00162CE2" w:rsidRPr="002606DB" w:rsidRDefault="00162CE2" w:rsidP="00056F35">
      <w:pPr>
        <w:adjustRightInd w:val="0"/>
        <w:snapToGrid w:val="0"/>
        <w:rPr>
          <w:i/>
          <w:snapToGrid w:val="0"/>
          <w:lang w:val="pt-PT"/>
        </w:rPr>
      </w:pPr>
      <w:r w:rsidRPr="002606DB">
        <w:rPr>
          <w:i/>
          <w:snapToGrid w:val="0"/>
          <w:u w:val="single"/>
          <w:lang w:val="pt-PT"/>
        </w:rPr>
        <w:t>Cancro do pulmão de células não pequenas (NSCLC)</w:t>
      </w:r>
    </w:p>
    <w:p w14:paraId="38163FCD" w14:textId="77777777" w:rsidR="00162CE2" w:rsidRPr="002606DB" w:rsidRDefault="00162CE2" w:rsidP="00056F35">
      <w:pPr>
        <w:pStyle w:val="a3"/>
        <w:adjustRightInd w:val="0"/>
        <w:snapToGrid w:val="0"/>
        <w:rPr>
          <w:i/>
          <w:snapToGrid w:val="0"/>
          <w:lang w:val="pt-PT"/>
        </w:rPr>
      </w:pPr>
    </w:p>
    <w:p w14:paraId="489A7DB4" w14:textId="3454FA3F" w:rsidR="00162CE2" w:rsidRPr="00A33E20" w:rsidRDefault="00162CE2" w:rsidP="00056F35">
      <w:pPr>
        <w:adjustRightInd w:val="0"/>
        <w:snapToGrid w:val="0"/>
        <w:rPr>
          <w:i/>
          <w:snapToGrid w:val="0"/>
          <w:lang w:val="pt-PT"/>
        </w:rPr>
      </w:pPr>
      <w:r w:rsidRPr="001C687C">
        <w:rPr>
          <w:i/>
          <w:snapToGrid w:val="0"/>
          <w:lang w:val="pt-PT"/>
        </w:rPr>
        <w:t xml:space="preserve">Tratamento de primeira linha de NSCLC não </w:t>
      </w:r>
      <w:r w:rsidR="00013970" w:rsidRPr="00013970">
        <w:rPr>
          <w:i/>
          <w:snapToGrid w:val="0"/>
          <w:lang w:val="pt-PT"/>
        </w:rPr>
        <w:t>pavimentocelular</w:t>
      </w:r>
      <w:r w:rsidRPr="001C687C">
        <w:rPr>
          <w:i/>
          <w:snapToGrid w:val="0"/>
          <w:lang w:val="pt-PT"/>
        </w:rPr>
        <w:t xml:space="preserve"> em associação com quimioterapia baseada</w:t>
      </w:r>
      <w:r w:rsidRPr="00A33E20">
        <w:rPr>
          <w:i/>
          <w:snapToGrid w:val="0"/>
          <w:lang w:val="pt-PT"/>
        </w:rPr>
        <w:t xml:space="preserve"> </w:t>
      </w:r>
      <w:r w:rsidRPr="001C687C">
        <w:rPr>
          <w:i/>
          <w:snapToGrid w:val="0"/>
          <w:lang w:val="pt-PT"/>
        </w:rPr>
        <w:t>em platina</w:t>
      </w:r>
    </w:p>
    <w:p w14:paraId="69D5413F" w14:textId="77777777" w:rsidR="00162CE2" w:rsidRPr="002606DB" w:rsidRDefault="00162CE2" w:rsidP="00056F35">
      <w:pPr>
        <w:pStyle w:val="a3"/>
        <w:adjustRightInd w:val="0"/>
        <w:snapToGrid w:val="0"/>
        <w:rPr>
          <w:i/>
          <w:snapToGrid w:val="0"/>
          <w:lang w:val="pt-PT"/>
        </w:rPr>
      </w:pPr>
    </w:p>
    <w:p w14:paraId="35350C71" w14:textId="503CA6BD" w:rsidR="00162CE2" w:rsidRPr="002606DB" w:rsidRDefault="00FB2483" w:rsidP="00056F35">
      <w:pPr>
        <w:pStyle w:val="a3"/>
        <w:adjustRightInd w:val="0"/>
        <w:snapToGrid w:val="0"/>
        <w:rPr>
          <w:snapToGrid w:val="0"/>
          <w:lang w:val="pt-PT"/>
        </w:rPr>
      </w:pPr>
      <w:r>
        <w:rPr>
          <w:color w:val="000000"/>
          <w:lang w:val="fr-CA"/>
        </w:rPr>
        <w:t>Vegzelma</w:t>
      </w:r>
      <w:r w:rsidR="00162CE2" w:rsidRPr="002606DB">
        <w:rPr>
          <w:snapToGrid w:val="0"/>
          <w:lang w:val="pt-PT"/>
        </w:rPr>
        <w:t xml:space="preserve"> é administrado em associação a quimioterapia com base em platina, até 6 ciclos de tratamento, seguidos de </w:t>
      </w:r>
      <w:r>
        <w:rPr>
          <w:color w:val="000000"/>
          <w:lang w:val="fr-CA"/>
        </w:rPr>
        <w:t>Vegzelma</w:t>
      </w:r>
      <w:r w:rsidR="00162CE2" w:rsidRPr="002606DB">
        <w:rPr>
          <w:snapToGrid w:val="0"/>
          <w:lang w:val="pt-PT"/>
        </w:rPr>
        <w:t xml:space="preserve"> em monoterapia até progressão da doença.</w:t>
      </w:r>
    </w:p>
    <w:p w14:paraId="4F2B1CDF" w14:textId="77777777" w:rsidR="00162CE2" w:rsidRPr="002606DB" w:rsidRDefault="00162CE2" w:rsidP="00056F35">
      <w:pPr>
        <w:pStyle w:val="a3"/>
        <w:adjustRightInd w:val="0"/>
        <w:snapToGrid w:val="0"/>
        <w:rPr>
          <w:snapToGrid w:val="0"/>
          <w:lang w:val="pt-PT"/>
        </w:rPr>
      </w:pPr>
    </w:p>
    <w:p w14:paraId="43FF7E57" w14:textId="41D5757B" w:rsidR="00162CE2" w:rsidRPr="002606DB" w:rsidRDefault="00162CE2" w:rsidP="00056F35">
      <w:pPr>
        <w:pStyle w:val="a3"/>
        <w:adjustRightInd w:val="0"/>
        <w:snapToGrid w:val="0"/>
        <w:rPr>
          <w:snapToGrid w:val="0"/>
          <w:lang w:val="pt-PT"/>
        </w:rPr>
      </w:pPr>
      <w:r w:rsidRPr="002606DB">
        <w:rPr>
          <w:snapToGrid w:val="0"/>
          <w:lang w:val="pt-PT"/>
        </w:rPr>
        <w:t xml:space="preserve">A dose recomendada de </w:t>
      </w:r>
      <w:r w:rsidR="00FB2483">
        <w:rPr>
          <w:color w:val="000000"/>
          <w:lang w:val="fr-CA"/>
        </w:rPr>
        <w:t>Vegzelma</w:t>
      </w:r>
      <w:r w:rsidRPr="002606DB">
        <w:rPr>
          <w:snapToGrid w:val="0"/>
          <w:lang w:val="pt-PT"/>
        </w:rPr>
        <w:t xml:space="preserve"> é de 7,5 mg/kg ou 15 mg/kg de peso corporal, administrada uma vez em cada 3 semanas, por perfusão intravenosa.</w:t>
      </w:r>
    </w:p>
    <w:p w14:paraId="3B9E9597" w14:textId="77777777" w:rsidR="00162CE2" w:rsidRPr="002606DB" w:rsidRDefault="00162CE2" w:rsidP="00056F35">
      <w:pPr>
        <w:adjustRightInd w:val="0"/>
        <w:snapToGrid w:val="0"/>
        <w:rPr>
          <w:snapToGrid w:val="0"/>
          <w:lang w:val="pt-PT"/>
        </w:rPr>
      </w:pPr>
    </w:p>
    <w:p w14:paraId="4DDD8E5B" w14:textId="5D6994BD" w:rsidR="00162CE2" w:rsidRPr="002606DB" w:rsidRDefault="00162CE2" w:rsidP="00056F35">
      <w:pPr>
        <w:pStyle w:val="a3"/>
        <w:adjustRightInd w:val="0"/>
        <w:snapToGrid w:val="0"/>
        <w:rPr>
          <w:snapToGrid w:val="0"/>
          <w:lang w:val="pt-PT"/>
        </w:rPr>
      </w:pPr>
      <w:r w:rsidRPr="002606DB">
        <w:rPr>
          <w:snapToGrid w:val="0"/>
          <w:lang w:val="pt-PT"/>
        </w:rPr>
        <w:t xml:space="preserve">O benefício clínico em doentes com </w:t>
      </w:r>
      <w:r w:rsidR="00F90576" w:rsidRPr="00F90576">
        <w:rPr>
          <w:snapToGrid w:val="0"/>
          <w:lang w:val="pt-PT"/>
        </w:rPr>
        <w:t xml:space="preserve">NSCLC </w:t>
      </w:r>
      <w:r w:rsidRPr="002606DB">
        <w:rPr>
          <w:snapToGrid w:val="0"/>
          <w:lang w:val="pt-PT"/>
        </w:rPr>
        <w:t>foi demonstrado com ambas as doses</w:t>
      </w:r>
      <w:r w:rsidR="00E8233E">
        <w:t>,</w:t>
      </w:r>
      <w:r w:rsidRPr="002606DB">
        <w:rPr>
          <w:snapToGrid w:val="0"/>
          <w:lang w:val="pt-PT"/>
        </w:rPr>
        <w:t xml:space="preserve"> de 7,5 mg/kg e 15 mg/kg (ver secção 5.1).</w:t>
      </w:r>
    </w:p>
    <w:p w14:paraId="47AB245B" w14:textId="77777777" w:rsidR="00162CE2" w:rsidRPr="002606DB" w:rsidRDefault="00162CE2" w:rsidP="00056F35">
      <w:pPr>
        <w:pStyle w:val="a3"/>
        <w:adjustRightInd w:val="0"/>
        <w:snapToGrid w:val="0"/>
        <w:rPr>
          <w:snapToGrid w:val="0"/>
          <w:lang w:val="pt-PT"/>
        </w:rPr>
      </w:pPr>
    </w:p>
    <w:p w14:paraId="0B9E9519" w14:textId="77777777" w:rsidR="00162CE2" w:rsidRPr="002606DB" w:rsidRDefault="00162CE2" w:rsidP="00056F35">
      <w:pPr>
        <w:pStyle w:val="a3"/>
        <w:adjustRightInd w:val="0"/>
        <w:snapToGrid w:val="0"/>
        <w:rPr>
          <w:snapToGrid w:val="0"/>
          <w:lang w:val="pt-PT"/>
        </w:rPr>
      </w:pPr>
      <w:r w:rsidRPr="002606DB">
        <w:rPr>
          <w:snapToGrid w:val="0"/>
          <w:lang w:val="pt-PT"/>
        </w:rPr>
        <w:t>Recomenda-se a continuação da terapêutica até à progressão da doença subjacente ou até a toxicidade ser inaceitável.</w:t>
      </w:r>
    </w:p>
    <w:p w14:paraId="5DCA91FC" w14:textId="77777777" w:rsidR="00162CE2" w:rsidRPr="002606DB" w:rsidRDefault="00162CE2" w:rsidP="00056F35">
      <w:pPr>
        <w:pStyle w:val="a3"/>
        <w:adjustRightInd w:val="0"/>
        <w:snapToGrid w:val="0"/>
        <w:rPr>
          <w:snapToGrid w:val="0"/>
          <w:lang w:val="pt-PT"/>
        </w:rPr>
      </w:pPr>
    </w:p>
    <w:p w14:paraId="3F4F4956" w14:textId="1A7C5DC3" w:rsidR="00162CE2" w:rsidRPr="00A33E20" w:rsidRDefault="00162CE2" w:rsidP="00056F35">
      <w:pPr>
        <w:adjustRightInd w:val="0"/>
        <w:snapToGrid w:val="0"/>
        <w:rPr>
          <w:i/>
          <w:snapToGrid w:val="0"/>
          <w:lang w:val="pt-PT"/>
        </w:rPr>
      </w:pPr>
      <w:r w:rsidRPr="001C687C">
        <w:rPr>
          <w:i/>
          <w:snapToGrid w:val="0"/>
          <w:lang w:val="pt-PT"/>
        </w:rPr>
        <w:t xml:space="preserve">Tratamento de primeira linha de NSCLC não </w:t>
      </w:r>
      <w:r w:rsidR="00013970" w:rsidRPr="00013970">
        <w:rPr>
          <w:i/>
          <w:snapToGrid w:val="0"/>
          <w:lang w:val="pt-PT"/>
        </w:rPr>
        <w:t>pavimentocelular</w:t>
      </w:r>
      <w:r w:rsidRPr="001C687C">
        <w:rPr>
          <w:i/>
          <w:snapToGrid w:val="0"/>
          <w:lang w:val="pt-PT"/>
        </w:rPr>
        <w:t xml:space="preserve"> com mutações ativadoras do EGFR em</w:t>
      </w:r>
      <w:r w:rsidRPr="00A33E20">
        <w:rPr>
          <w:i/>
          <w:snapToGrid w:val="0"/>
          <w:lang w:val="pt-PT"/>
        </w:rPr>
        <w:t xml:space="preserve"> </w:t>
      </w:r>
      <w:r w:rsidRPr="001C687C">
        <w:rPr>
          <w:i/>
          <w:snapToGrid w:val="0"/>
          <w:lang w:val="pt-PT"/>
        </w:rPr>
        <w:t>associação com erlotinib</w:t>
      </w:r>
    </w:p>
    <w:p w14:paraId="5FBD4B72" w14:textId="77777777" w:rsidR="00162CE2" w:rsidRPr="002606DB" w:rsidRDefault="00162CE2" w:rsidP="00056F35">
      <w:pPr>
        <w:pStyle w:val="a3"/>
        <w:adjustRightInd w:val="0"/>
        <w:snapToGrid w:val="0"/>
        <w:rPr>
          <w:i/>
          <w:snapToGrid w:val="0"/>
          <w:lang w:val="pt-PT"/>
        </w:rPr>
      </w:pPr>
    </w:p>
    <w:p w14:paraId="7C044122" w14:textId="3508BAD6" w:rsidR="00162CE2" w:rsidRPr="002606DB" w:rsidRDefault="00162CE2" w:rsidP="00056F35">
      <w:pPr>
        <w:pStyle w:val="a3"/>
        <w:adjustRightInd w:val="0"/>
        <w:snapToGrid w:val="0"/>
        <w:rPr>
          <w:snapToGrid w:val="0"/>
          <w:lang w:val="pt-PT"/>
        </w:rPr>
      </w:pPr>
      <w:r w:rsidRPr="002606DB">
        <w:rPr>
          <w:snapToGrid w:val="0"/>
          <w:lang w:val="pt-PT"/>
        </w:rPr>
        <w:t xml:space="preserve">Deverá realizar-se o teste da mutação do EGFR antes do início do tratamento com a combinação de </w:t>
      </w:r>
      <w:r w:rsidR="00FB2483">
        <w:rPr>
          <w:color w:val="000000"/>
          <w:lang w:val="en-GB"/>
        </w:rPr>
        <w:t>Vegzelma</w:t>
      </w:r>
      <w:r w:rsidRPr="002606DB">
        <w:rPr>
          <w:snapToGrid w:val="0"/>
          <w:lang w:val="pt-PT"/>
        </w:rPr>
        <w:t xml:space="preserve"> e erlotinib. É importante escolher uma metodologia robusta e bem validada para evitar determinações de falsos negativos e falsos positivos.</w:t>
      </w:r>
    </w:p>
    <w:p w14:paraId="4A43A4B2" w14:textId="77777777" w:rsidR="00162CE2" w:rsidRPr="002606DB" w:rsidRDefault="00162CE2" w:rsidP="00056F35">
      <w:pPr>
        <w:pStyle w:val="a3"/>
        <w:adjustRightInd w:val="0"/>
        <w:snapToGrid w:val="0"/>
        <w:rPr>
          <w:snapToGrid w:val="0"/>
          <w:lang w:val="pt-PT"/>
        </w:rPr>
      </w:pPr>
    </w:p>
    <w:p w14:paraId="20121782" w14:textId="2AF484B3" w:rsidR="00162CE2" w:rsidRPr="002606DB" w:rsidRDefault="00162CE2" w:rsidP="00056F35">
      <w:pPr>
        <w:pStyle w:val="a3"/>
        <w:adjustRightInd w:val="0"/>
        <w:snapToGrid w:val="0"/>
        <w:rPr>
          <w:snapToGrid w:val="0"/>
          <w:lang w:val="pt-PT"/>
        </w:rPr>
      </w:pPr>
      <w:r w:rsidRPr="002606DB">
        <w:rPr>
          <w:snapToGrid w:val="0"/>
          <w:lang w:val="pt-PT"/>
        </w:rPr>
        <w:t xml:space="preserve">A dose recomendada de </w:t>
      </w:r>
      <w:r w:rsidR="00FB2483">
        <w:rPr>
          <w:color w:val="000000"/>
          <w:lang w:val="fr-CA"/>
        </w:rPr>
        <w:t>Vegzelma</w:t>
      </w:r>
      <w:r w:rsidRPr="002606DB">
        <w:rPr>
          <w:snapToGrid w:val="0"/>
          <w:lang w:val="pt-PT"/>
        </w:rPr>
        <w:t>, quan</w:t>
      </w:r>
      <w:r w:rsidR="00F40BCE">
        <w:rPr>
          <w:snapToGrid w:val="0"/>
          <w:lang w:val="pt-PT"/>
        </w:rPr>
        <w:t>d</w:t>
      </w:r>
      <w:r w:rsidRPr="002606DB">
        <w:rPr>
          <w:snapToGrid w:val="0"/>
          <w:lang w:val="pt-PT"/>
        </w:rPr>
        <w:t>o utilizado em associação com erlotinib, é de 15 mg/kg de peso corporal, administrada uma vez a cada 3 semanas, por perfusão intravenosa.</w:t>
      </w:r>
    </w:p>
    <w:p w14:paraId="14D500A8" w14:textId="77777777" w:rsidR="005B370B" w:rsidRPr="002606DB" w:rsidRDefault="005B370B" w:rsidP="00056F35">
      <w:pPr>
        <w:pStyle w:val="a3"/>
        <w:adjustRightInd w:val="0"/>
        <w:snapToGrid w:val="0"/>
        <w:rPr>
          <w:snapToGrid w:val="0"/>
          <w:lang w:val="pt-PT"/>
        </w:rPr>
      </w:pPr>
    </w:p>
    <w:p w14:paraId="711C9DB5" w14:textId="0193A285" w:rsidR="00162CE2" w:rsidRPr="002606DB" w:rsidRDefault="00162CE2" w:rsidP="00056F35">
      <w:pPr>
        <w:pStyle w:val="a3"/>
        <w:adjustRightInd w:val="0"/>
        <w:snapToGrid w:val="0"/>
        <w:rPr>
          <w:snapToGrid w:val="0"/>
          <w:lang w:val="pt-PT"/>
        </w:rPr>
      </w:pPr>
      <w:r w:rsidRPr="002606DB">
        <w:rPr>
          <w:snapToGrid w:val="0"/>
          <w:lang w:val="pt-PT"/>
        </w:rPr>
        <w:t xml:space="preserve">Recomenda-se a continuação do tratamento de </w:t>
      </w:r>
      <w:r w:rsidR="00FB2483">
        <w:rPr>
          <w:color w:val="000000"/>
          <w:lang w:val="fr-CA"/>
        </w:rPr>
        <w:t>Vegzelma</w:t>
      </w:r>
      <w:r w:rsidRPr="002606DB">
        <w:rPr>
          <w:snapToGrid w:val="0"/>
          <w:lang w:val="pt-PT"/>
        </w:rPr>
        <w:t>, em associação com erlotinib, até à progressão da doença.</w:t>
      </w:r>
    </w:p>
    <w:p w14:paraId="71DB0D88" w14:textId="77777777" w:rsidR="00162CE2" w:rsidRPr="002606DB" w:rsidRDefault="00162CE2" w:rsidP="00056F35">
      <w:pPr>
        <w:pStyle w:val="a3"/>
        <w:adjustRightInd w:val="0"/>
        <w:snapToGrid w:val="0"/>
        <w:rPr>
          <w:snapToGrid w:val="0"/>
          <w:lang w:val="pt-PT"/>
        </w:rPr>
      </w:pPr>
    </w:p>
    <w:p w14:paraId="7BA30015" w14:textId="77777777" w:rsidR="00162CE2" w:rsidRPr="002606DB" w:rsidRDefault="00162CE2" w:rsidP="00056F35">
      <w:pPr>
        <w:pStyle w:val="a3"/>
        <w:adjustRightInd w:val="0"/>
        <w:snapToGrid w:val="0"/>
        <w:rPr>
          <w:snapToGrid w:val="0"/>
          <w:lang w:val="pt-PT"/>
        </w:rPr>
      </w:pPr>
      <w:r w:rsidRPr="002606DB">
        <w:rPr>
          <w:snapToGrid w:val="0"/>
          <w:lang w:val="pt-PT"/>
        </w:rPr>
        <w:t>Consultar o resumo das características do medicamento de erlotinib para a posologia e modo de administração de erlotinib.</w:t>
      </w:r>
    </w:p>
    <w:p w14:paraId="37471233" w14:textId="77777777" w:rsidR="00162CE2" w:rsidRPr="002606DB" w:rsidRDefault="00162CE2" w:rsidP="00056F35">
      <w:pPr>
        <w:pStyle w:val="a3"/>
        <w:adjustRightInd w:val="0"/>
        <w:snapToGrid w:val="0"/>
        <w:rPr>
          <w:snapToGrid w:val="0"/>
          <w:lang w:val="pt-PT"/>
        </w:rPr>
      </w:pPr>
    </w:p>
    <w:p w14:paraId="3C921002" w14:textId="77777777" w:rsidR="00162CE2" w:rsidRPr="002606DB" w:rsidRDefault="00162CE2" w:rsidP="00056F35">
      <w:pPr>
        <w:adjustRightInd w:val="0"/>
        <w:snapToGrid w:val="0"/>
        <w:rPr>
          <w:i/>
          <w:snapToGrid w:val="0"/>
          <w:lang w:val="pt-PT"/>
        </w:rPr>
      </w:pPr>
      <w:r w:rsidRPr="002606DB">
        <w:rPr>
          <w:i/>
          <w:snapToGrid w:val="0"/>
          <w:u w:val="single"/>
          <w:lang w:val="pt-PT"/>
        </w:rPr>
        <w:t>Cancro de células renais avançado e/ou metastizado (mRCC)</w:t>
      </w:r>
    </w:p>
    <w:p w14:paraId="4A7D02A1" w14:textId="77777777" w:rsidR="00162CE2" w:rsidRPr="002606DB" w:rsidRDefault="00162CE2" w:rsidP="00056F35">
      <w:pPr>
        <w:pStyle w:val="a3"/>
        <w:adjustRightInd w:val="0"/>
        <w:snapToGrid w:val="0"/>
        <w:rPr>
          <w:i/>
          <w:snapToGrid w:val="0"/>
          <w:lang w:val="pt-PT"/>
        </w:rPr>
      </w:pPr>
    </w:p>
    <w:p w14:paraId="38DAB587" w14:textId="17CE737A" w:rsidR="00162CE2" w:rsidRPr="002606DB" w:rsidRDefault="00162CE2" w:rsidP="00056F35">
      <w:pPr>
        <w:pStyle w:val="a3"/>
        <w:adjustRightInd w:val="0"/>
        <w:snapToGrid w:val="0"/>
        <w:rPr>
          <w:snapToGrid w:val="0"/>
          <w:lang w:val="pt-PT"/>
        </w:rPr>
      </w:pPr>
      <w:r w:rsidRPr="002606DB">
        <w:rPr>
          <w:snapToGrid w:val="0"/>
          <w:lang w:val="pt-PT"/>
        </w:rPr>
        <w:t xml:space="preserve">A dose recomendada de </w:t>
      </w:r>
      <w:r w:rsidR="00FB2483">
        <w:rPr>
          <w:color w:val="000000"/>
          <w:lang w:val="fr-CA"/>
        </w:rPr>
        <w:t>Vegzelma</w:t>
      </w:r>
      <w:r w:rsidRPr="002606DB">
        <w:rPr>
          <w:snapToGrid w:val="0"/>
          <w:lang w:val="pt-PT"/>
        </w:rPr>
        <w:t xml:space="preserve"> é de 10 mg/kg de peso corporal, administrada uma vez </w:t>
      </w:r>
      <w:r w:rsidR="000E424A" w:rsidRPr="007155C0">
        <w:rPr>
          <w:lang w:val="fr-CA"/>
        </w:rPr>
        <w:t>a</w:t>
      </w:r>
      <w:r w:rsidRPr="002606DB">
        <w:rPr>
          <w:snapToGrid w:val="0"/>
          <w:lang w:val="pt-PT"/>
        </w:rPr>
        <w:t xml:space="preserve"> cada 2 semanas, por perfusão intravenosa.</w:t>
      </w:r>
    </w:p>
    <w:p w14:paraId="3972CA1E" w14:textId="77777777" w:rsidR="00162CE2" w:rsidRPr="002606DB" w:rsidRDefault="00162CE2" w:rsidP="00056F35">
      <w:pPr>
        <w:pStyle w:val="a3"/>
        <w:adjustRightInd w:val="0"/>
        <w:snapToGrid w:val="0"/>
        <w:rPr>
          <w:snapToGrid w:val="0"/>
          <w:lang w:val="pt-PT"/>
        </w:rPr>
      </w:pPr>
      <w:r w:rsidRPr="002606DB">
        <w:rPr>
          <w:snapToGrid w:val="0"/>
          <w:lang w:val="pt-PT"/>
        </w:rPr>
        <w:t>Recomenda-se a continuação da terapêutica até à progressão da doença subjacente ou até a toxicidade ser inaceitável.</w:t>
      </w:r>
    </w:p>
    <w:p w14:paraId="03C0C515" w14:textId="77777777" w:rsidR="00162CE2" w:rsidRPr="002606DB" w:rsidRDefault="00162CE2" w:rsidP="00056F35">
      <w:pPr>
        <w:pStyle w:val="a3"/>
        <w:adjustRightInd w:val="0"/>
        <w:snapToGrid w:val="0"/>
        <w:rPr>
          <w:snapToGrid w:val="0"/>
          <w:lang w:val="pt-PT"/>
        </w:rPr>
      </w:pPr>
    </w:p>
    <w:p w14:paraId="1555647D" w14:textId="77777777" w:rsidR="00162CE2" w:rsidRPr="002606DB" w:rsidRDefault="00162CE2" w:rsidP="00056F35">
      <w:pPr>
        <w:adjustRightInd w:val="0"/>
        <w:snapToGrid w:val="0"/>
        <w:rPr>
          <w:i/>
          <w:snapToGrid w:val="0"/>
          <w:lang w:val="pt-PT"/>
        </w:rPr>
      </w:pPr>
      <w:r w:rsidRPr="002606DB">
        <w:rPr>
          <w:i/>
          <w:snapToGrid w:val="0"/>
          <w:u w:val="single"/>
          <w:lang w:val="pt-PT"/>
        </w:rPr>
        <w:t>Cancro epitelial do ovário, da trompa de Falópio e cancro peritoneal primário</w:t>
      </w:r>
    </w:p>
    <w:p w14:paraId="07FCC92F" w14:textId="77777777" w:rsidR="00162CE2" w:rsidRPr="002606DB" w:rsidRDefault="00162CE2" w:rsidP="00056F35">
      <w:pPr>
        <w:pStyle w:val="a3"/>
        <w:adjustRightInd w:val="0"/>
        <w:snapToGrid w:val="0"/>
        <w:rPr>
          <w:i/>
          <w:snapToGrid w:val="0"/>
          <w:lang w:val="pt-PT"/>
        </w:rPr>
      </w:pPr>
    </w:p>
    <w:p w14:paraId="3CA2E6EC" w14:textId="3DDFB42B" w:rsidR="00162CE2" w:rsidRPr="002606DB" w:rsidRDefault="00162CE2" w:rsidP="005B370B">
      <w:pPr>
        <w:pStyle w:val="a3"/>
        <w:adjustRightInd w:val="0"/>
        <w:snapToGrid w:val="0"/>
        <w:rPr>
          <w:snapToGrid w:val="0"/>
          <w:lang w:val="pt-PT"/>
        </w:rPr>
      </w:pPr>
      <w:r w:rsidRPr="001C687C">
        <w:rPr>
          <w:i/>
          <w:snapToGrid w:val="0"/>
          <w:lang w:val="pt-PT"/>
        </w:rPr>
        <w:t>Tratamento de primeira linha</w:t>
      </w:r>
      <w:r w:rsidRPr="002606DB">
        <w:rPr>
          <w:i/>
          <w:snapToGrid w:val="0"/>
          <w:lang w:val="pt-PT"/>
        </w:rPr>
        <w:t xml:space="preserve">: </w:t>
      </w:r>
      <w:r w:rsidR="00FB2483">
        <w:rPr>
          <w:color w:val="000000"/>
          <w:lang w:val="pt-PT"/>
        </w:rPr>
        <w:t>Vegzelma</w:t>
      </w:r>
      <w:r w:rsidRPr="002606DB">
        <w:rPr>
          <w:snapToGrid w:val="0"/>
          <w:lang w:val="pt-PT"/>
        </w:rPr>
        <w:t xml:space="preserve"> é administrado em associação com carboplatina e paclitaxel, até 6 ciclos de tratamento, seguidos do uso continuado de </w:t>
      </w:r>
      <w:r w:rsidR="00FB2483">
        <w:rPr>
          <w:color w:val="000000"/>
          <w:lang w:val="pt-PT"/>
        </w:rPr>
        <w:t>Vegzelma</w:t>
      </w:r>
      <w:r w:rsidRPr="002606DB">
        <w:rPr>
          <w:snapToGrid w:val="0"/>
          <w:lang w:val="pt-PT"/>
        </w:rPr>
        <w:t xml:space="preserve"> como agente único até progressão da doença ou durante </w:t>
      </w:r>
      <w:r w:rsidR="006F4233" w:rsidRPr="007155C0">
        <w:rPr>
          <w:lang w:val="pt-PT"/>
        </w:rPr>
        <w:t>um</w:t>
      </w:r>
      <w:r w:rsidRPr="002606DB">
        <w:rPr>
          <w:snapToGrid w:val="0"/>
          <w:lang w:val="pt-PT"/>
        </w:rPr>
        <w:t xml:space="preserve"> máximo de 15 meses ou até a toxicidade ser inaceitável, consoante o que ocorrer primeiro.</w:t>
      </w:r>
      <w:r w:rsidR="005B370B" w:rsidRPr="002606DB">
        <w:rPr>
          <w:snapToGrid w:val="0"/>
          <w:lang w:val="pt-PT"/>
        </w:rPr>
        <w:t xml:space="preserve"> </w:t>
      </w:r>
      <w:r w:rsidRPr="002606DB">
        <w:rPr>
          <w:snapToGrid w:val="0"/>
          <w:lang w:val="pt-PT"/>
        </w:rPr>
        <w:t xml:space="preserve">A dose recomendada de </w:t>
      </w:r>
      <w:r w:rsidR="00FB2483">
        <w:rPr>
          <w:color w:val="000000"/>
          <w:lang w:val="fr-CA"/>
        </w:rPr>
        <w:t>Vegzelma</w:t>
      </w:r>
      <w:r w:rsidRPr="002606DB">
        <w:rPr>
          <w:snapToGrid w:val="0"/>
          <w:lang w:val="pt-PT"/>
        </w:rPr>
        <w:t xml:space="preserve"> é de 15 mg/kg de peso corporal, administrada uma vez a cada 3 semanas, por perfusão intravenosa.</w:t>
      </w:r>
    </w:p>
    <w:p w14:paraId="5081B311" w14:textId="77777777" w:rsidR="00162CE2" w:rsidRPr="002606DB" w:rsidRDefault="00162CE2" w:rsidP="00056F35">
      <w:pPr>
        <w:pStyle w:val="a3"/>
        <w:adjustRightInd w:val="0"/>
        <w:snapToGrid w:val="0"/>
        <w:rPr>
          <w:snapToGrid w:val="0"/>
          <w:lang w:val="pt-PT"/>
        </w:rPr>
      </w:pPr>
    </w:p>
    <w:p w14:paraId="1ABF6A05" w14:textId="31D4B8F7" w:rsidR="00162CE2" w:rsidRPr="002606DB" w:rsidRDefault="00162CE2" w:rsidP="00056F35">
      <w:pPr>
        <w:pStyle w:val="a3"/>
        <w:adjustRightInd w:val="0"/>
        <w:snapToGrid w:val="0"/>
        <w:rPr>
          <w:snapToGrid w:val="0"/>
          <w:lang w:val="pt-PT"/>
        </w:rPr>
      </w:pPr>
      <w:r w:rsidRPr="001C687C">
        <w:rPr>
          <w:i/>
          <w:snapToGrid w:val="0"/>
          <w:lang w:val="pt-PT"/>
        </w:rPr>
        <w:t>Tratamento da doença recorrente sensível a platina</w:t>
      </w:r>
      <w:r w:rsidRPr="00A33E20">
        <w:rPr>
          <w:snapToGrid w:val="0"/>
          <w:lang w:val="pt-PT"/>
        </w:rPr>
        <w:t>:</w:t>
      </w:r>
      <w:r w:rsidRPr="002606DB">
        <w:rPr>
          <w:snapToGrid w:val="0"/>
          <w:lang w:val="pt-PT"/>
        </w:rPr>
        <w:t xml:space="preserve"> </w:t>
      </w:r>
      <w:r w:rsidR="00FB2483">
        <w:rPr>
          <w:color w:val="000000"/>
          <w:lang w:val="pt-PT"/>
        </w:rPr>
        <w:t>Vegzelma</w:t>
      </w:r>
      <w:r w:rsidRPr="002606DB">
        <w:rPr>
          <w:snapToGrid w:val="0"/>
          <w:lang w:val="pt-PT"/>
        </w:rPr>
        <w:t xml:space="preserve"> é administrado em associação com carboplatina e gemcitabina durante 6 ciclos e até 10 ciclos, ou em associação com carboplatina e paclitaxel durante 6 ciclos e até 8 ciclos, seguidos do uso continuado de </w:t>
      </w:r>
      <w:r w:rsidR="00FB2483">
        <w:rPr>
          <w:color w:val="000000"/>
          <w:lang w:val="pt-PT"/>
        </w:rPr>
        <w:t>Vegzelma</w:t>
      </w:r>
      <w:r w:rsidRPr="002606DB">
        <w:rPr>
          <w:snapToGrid w:val="0"/>
          <w:lang w:val="pt-PT"/>
        </w:rPr>
        <w:t xml:space="preserve"> como agente único até progressão da doença. A dose recomendada de </w:t>
      </w:r>
      <w:r w:rsidR="00FB2483">
        <w:rPr>
          <w:color w:val="000000"/>
          <w:lang w:val="fr-CA"/>
        </w:rPr>
        <w:t>Vegzelma</w:t>
      </w:r>
      <w:r w:rsidRPr="002606DB">
        <w:rPr>
          <w:snapToGrid w:val="0"/>
          <w:lang w:val="pt-PT"/>
        </w:rPr>
        <w:t xml:space="preserve"> é de 15 mg/kg de peso corporal, administrada uma vez a cada 3 semanas, por perfusão intravenosa.</w:t>
      </w:r>
    </w:p>
    <w:p w14:paraId="3C53094C" w14:textId="77777777" w:rsidR="00162CE2" w:rsidRPr="002606DB" w:rsidRDefault="00162CE2" w:rsidP="00056F35">
      <w:pPr>
        <w:pStyle w:val="a3"/>
        <w:adjustRightInd w:val="0"/>
        <w:snapToGrid w:val="0"/>
        <w:rPr>
          <w:snapToGrid w:val="0"/>
          <w:lang w:val="pt-PT"/>
        </w:rPr>
      </w:pPr>
    </w:p>
    <w:p w14:paraId="58988D63" w14:textId="74461DEB" w:rsidR="00162CE2" w:rsidRPr="002606DB" w:rsidRDefault="00162CE2" w:rsidP="00056F35">
      <w:pPr>
        <w:pStyle w:val="a3"/>
        <w:adjustRightInd w:val="0"/>
        <w:snapToGrid w:val="0"/>
        <w:rPr>
          <w:snapToGrid w:val="0"/>
          <w:lang w:val="pt-PT"/>
        </w:rPr>
      </w:pPr>
      <w:r w:rsidRPr="001C687C">
        <w:rPr>
          <w:i/>
          <w:snapToGrid w:val="0"/>
          <w:lang w:val="pt-PT"/>
        </w:rPr>
        <w:t>Tratamento da doença recorrente resistente a platina</w:t>
      </w:r>
      <w:r w:rsidRPr="00A33E20">
        <w:rPr>
          <w:i/>
          <w:snapToGrid w:val="0"/>
          <w:lang w:val="pt-PT"/>
        </w:rPr>
        <w:t>:</w:t>
      </w:r>
      <w:r w:rsidRPr="002606DB">
        <w:rPr>
          <w:i/>
          <w:snapToGrid w:val="0"/>
          <w:lang w:val="pt-PT"/>
        </w:rPr>
        <w:t xml:space="preserve"> </w:t>
      </w:r>
      <w:r w:rsidR="00FB2483">
        <w:rPr>
          <w:color w:val="000000"/>
          <w:lang w:val="pt-PT"/>
        </w:rPr>
        <w:t>Vegzelma</w:t>
      </w:r>
      <w:r w:rsidRPr="002606DB">
        <w:rPr>
          <w:snapToGrid w:val="0"/>
          <w:lang w:val="pt-PT"/>
        </w:rPr>
        <w:t xml:space="preserve"> é administrado em associação com um dos seguintes agentes – paclitaxel, topotecano (administrado semanalmente) ou doxorrubicina lipossómica peguilada. A dose recomendada de </w:t>
      </w:r>
      <w:r w:rsidR="00FB2483">
        <w:rPr>
          <w:color w:val="000000"/>
          <w:lang w:val="fr-CA"/>
        </w:rPr>
        <w:t>Vegzelma</w:t>
      </w:r>
      <w:r w:rsidRPr="002606DB">
        <w:rPr>
          <w:snapToGrid w:val="0"/>
          <w:lang w:val="pt-PT"/>
        </w:rPr>
        <w:t xml:space="preserve"> é de 10 mg/kg de peso corporal, administrada uma vez </w:t>
      </w:r>
      <w:r w:rsidR="0051300E" w:rsidRPr="007155C0">
        <w:rPr>
          <w:lang w:val="fr-CA"/>
        </w:rPr>
        <w:t>a</w:t>
      </w:r>
      <w:r w:rsidRPr="002606DB">
        <w:rPr>
          <w:snapToGrid w:val="0"/>
          <w:lang w:val="pt-PT"/>
        </w:rPr>
        <w:t xml:space="preserve"> cada 2 semanas, por perfusão intravenosa. Quando </w:t>
      </w:r>
      <w:r w:rsidR="00FB2483">
        <w:rPr>
          <w:color w:val="000000"/>
          <w:lang w:val="pt-PT"/>
        </w:rPr>
        <w:t>Vegzelma</w:t>
      </w:r>
      <w:r w:rsidRPr="002606DB">
        <w:rPr>
          <w:snapToGrid w:val="0"/>
          <w:lang w:val="pt-PT"/>
        </w:rPr>
        <w:t xml:space="preserve"> é administrado em associação com topotecano (administrado nos dias 1-5, </w:t>
      </w:r>
      <w:r w:rsidR="0051300E" w:rsidRPr="007155C0">
        <w:rPr>
          <w:lang w:val="pt-PT"/>
        </w:rPr>
        <w:t>a</w:t>
      </w:r>
      <w:r w:rsidRPr="002606DB">
        <w:rPr>
          <w:snapToGrid w:val="0"/>
          <w:lang w:val="pt-PT"/>
        </w:rPr>
        <w:t xml:space="preserve"> cada 3 semanas), a dose recomendada de </w:t>
      </w:r>
      <w:r w:rsidR="00FB2483">
        <w:rPr>
          <w:color w:val="000000"/>
          <w:lang w:val="pt-PT"/>
        </w:rPr>
        <w:t>Vegzelma</w:t>
      </w:r>
      <w:r w:rsidRPr="002606DB">
        <w:rPr>
          <w:snapToGrid w:val="0"/>
          <w:lang w:val="pt-PT"/>
        </w:rPr>
        <w:t xml:space="preserve"> é de 15 mg/kg de peso corporal administrado uma vez </w:t>
      </w:r>
      <w:r w:rsidR="0051300E" w:rsidRPr="007155C0">
        <w:rPr>
          <w:lang w:val="pt-PT"/>
        </w:rPr>
        <w:t>a</w:t>
      </w:r>
      <w:r w:rsidRPr="002606DB">
        <w:rPr>
          <w:snapToGrid w:val="0"/>
          <w:lang w:val="pt-PT"/>
        </w:rPr>
        <w:t xml:space="preserve"> cada 3 semanas, por perfusão intravenosa. É recomendado que o tratamento continue até à progressão da doença ou toxicidade inaceitável (ver secção 5.1, estudo MO22224).</w:t>
      </w:r>
    </w:p>
    <w:p w14:paraId="6F74F491" w14:textId="77777777" w:rsidR="00162CE2" w:rsidRPr="002606DB" w:rsidRDefault="00162CE2" w:rsidP="00056F35">
      <w:pPr>
        <w:pStyle w:val="a3"/>
        <w:adjustRightInd w:val="0"/>
        <w:snapToGrid w:val="0"/>
        <w:rPr>
          <w:snapToGrid w:val="0"/>
          <w:lang w:val="pt-PT"/>
        </w:rPr>
      </w:pPr>
    </w:p>
    <w:p w14:paraId="74D74433" w14:textId="77777777" w:rsidR="00162CE2" w:rsidRPr="002606DB" w:rsidRDefault="00162CE2" w:rsidP="00056F35">
      <w:pPr>
        <w:adjustRightInd w:val="0"/>
        <w:snapToGrid w:val="0"/>
        <w:rPr>
          <w:i/>
          <w:snapToGrid w:val="0"/>
          <w:lang w:val="pt-PT"/>
        </w:rPr>
      </w:pPr>
      <w:r w:rsidRPr="002606DB">
        <w:rPr>
          <w:i/>
          <w:snapToGrid w:val="0"/>
          <w:u w:val="single"/>
          <w:lang w:val="pt-PT"/>
        </w:rPr>
        <w:t>Cancro do colo do útero</w:t>
      </w:r>
    </w:p>
    <w:p w14:paraId="01605D87" w14:textId="77777777" w:rsidR="00162CE2" w:rsidRPr="002606DB" w:rsidRDefault="00162CE2" w:rsidP="00056F35">
      <w:pPr>
        <w:pStyle w:val="a3"/>
        <w:adjustRightInd w:val="0"/>
        <w:snapToGrid w:val="0"/>
        <w:rPr>
          <w:i/>
          <w:snapToGrid w:val="0"/>
          <w:lang w:val="pt-PT"/>
        </w:rPr>
      </w:pPr>
    </w:p>
    <w:p w14:paraId="68F0C767" w14:textId="40F6BE8D"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é administrado em associação com um dos seguintes regimes de quimioterapia: paclitaxel e cisplatina ou paclitaxel e topotecano.</w:t>
      </w:r>
    </w:p>
    <w:p w14:paraId="781E9F92" w14:textId="77777777" w:rsidR="00162CE2" w:rsidRPr="002606DB" w:rsidRDefault="00162CE2" w:rsidP="00056F35">
      <w:pPr>
        <w:adjustRightInd w:val="0"/>
        <w:snapToGrid w:val="0"/>
        <w:rPr>
          <w:snapToGrid w:val="0"/>
          <w:lang w:val="pt-PT"/>
        </w:rPr>
      </w:pPr>
    </w:p>
    <w:p w14:paraId="49DC9195" w14:textId="54F8FC91" w:rsidR="00162CE2" w:rsidRPr="002606DB" w:rsidRDefault="00162CE2" w:rsidP="00056F35">
      <w:pPr>
        <w:pStyle w:val="a3"/>
        <w:adjustRightInd w:val="0"/>
        <w:snapToGrid w:val="0"/>
        <w:rPr>
          <w:snapToGrid w:val="0"/>
          <w:lang w:val="pt-PT"/>
        </w:rPr>
      </w:pPr>
      <w:r w:rsidRPr="002606DB">
        <w:rPr>
          <w:snapToGrid w:val="0"/>
          <w:lang w:val="pt-PT"/>
        </w:rPr>
        <w:t xml:space="preserve">A dose recomendada de </w:t>
      </w:r>
      <w:r w:rsidR="00FB2483">
        <w:rPr>
          <w:color w:val="000000"/>
          <w:lang w:val="fr-CA"/>
        </w:rPr>
        <w:t>Vegzelma</w:t>
      </w:r>
      <w:r w:rsidRPr="002606DB">
        <w:rPr>
          <w:snapToGrid w:val="0"/>
          <w:lang w:val="pt-PT"/>
        </w:rPr>
        <w:t xml:space="preserve"> é de 15 mg/kg de peso corporal, administrada uma vez a cada 3 semanas, por perfusão intravenosa.</w:t>
      </w:r>
    </w:p>
    <w:p w14:paraId="61F9A6F2" w14:textId="77777777" w:rsidR="005B370B" w:rsidRPr="002606DB" w:rsidRDefault="005B370B" w:rsidP="00056F35">
      <w:pPr>
        <w:pStyle w:val="a3"/>
        <w:adjustRightInd w:val="0"/>
        <w:snapToGrid w:val="0"/>
        <w:rPr>
          <w:snapToGrid w:val="0"/>
          <w:lang w:val="pt-PT"/>
        </w:rPr>
      </w:pPr>
    </w:p>
    <w:p w14:paraId="2DC9F08C" w14:textId="3D078D18" w:rsidR="00162CE2" w:rsidRPr="002606DB" w:rsidRDefault="00162CE2" w:rsidP="00056F35">
      <w:pPr>
        <w:pStyle w:val="a3"/>
        <w:adjustRightInd w:val="0"/>
        <w:snapToGrid w:val="0"/>
        <w:rPr>
          <w:snapToGrid w:val="0"/>
          <w:lang w:val="pt-PT"/>
        </w:rPr>
      </w:pPr>
      <w:r w:rsidRPr="002606DB">
        <w:rPr>
          <w:snapToGrid w:val="0"/>
          <w:lang w:val="pt-PT"/>
        </w:rPr>
        <w:t>Recomenda-se a continuação do tratamento até progressão da doença subjacente ou até toxicidade inaceitável (ver secção 5.1).</w:t>
      </w:r>
    </w:p>
    <w:p w14:paraId="371E0885" w14:textId="77777777" w:rsidR="00162CE2" w:rsidRPr="002606DB" w:rsidRDefault="00162CE2" w:rsidP="00056F35">
      <w:pPr>
        <w:pStyle w:val="a3"/>
        <w:adjustRightInd w:val="0"/>
        <w:snapToGrid w:val="0"/>
        <w:rPr>
          <w:snapToGrid w:val="0"/>
          <w:lang w:val="pt-PT"/>
        </w:rPr>
      </w:pPr>
    </w:p>
    <w:p w14:paraId="1639B21B" w14:textId="77777777" w:rsidR="00162CE2" w:rsidRPr="002606DB" w:rsidRDefault="00162CE2" w:rsidP="00056F35">
      <w:pPr>
        <w:adjustRightInd w:val="0"/>
        <w:snapToGrid w:val="0"/>
        <w:rPr>
          <w:i/>
          <w:snapToGrid w:val="0"/>
          <w:lang w:val="pt-PT"/>
        </w:rPr>
      </w:pPr>
      <w:r w:rsidRPr="002606DB">
        <w:rPr>
          <w:i/>
          <w:snapToGrid w:val="0"/>
          <w:u w:val="single"/>
          <w:lang w:val="pt-PT"/>
        </w:rPr>
        <w:t>Populações especiais</w:t>
      </w:r>
    </w:p>
    <w:p w14:paraId="3E727CD7" w14:textId="77777777" w:rsidR="00162CE2" w:rsidRPr="002606DB" w:rsidRDefault="00162CE2" w:rsidP="00056F35">
      <w:pPr>
        <w:pStyle w:val="a3"/>
        <w:adjustRightInd w:val="0"/>
        <w:snapToGrid w:val="0"/>
        <w:rPr>
          <w:i/>
          <w:snapToGrid w:val="0"/>
          <w:lang w:val="pt-PT"/>
        </w:rPr>
      </w:pPr>
    </w:p>
    <w:p w14:paraId="492C2570" w14:textId="5F674DAD" w:rsidR="00162CE2" w:rsidRPr="002606DB" w:rsidRDefault="00162CE2" w:rsidP="00056F35">
      <w:pPr>
        <w:pStyle w:val="a3"/>
        <w:adjustRightInd w:val="0"/>
        <w:snapToGrid w:val="0"/>
        <w:rPr>
          <w:snapToGrid w:val="0"/>
          <w:lang w:val="pt-PT"/>
        </w:rPr>
      </w:pPr>
      <w:r w:rsidRPr="002606DB">
        <w:rPr>
          <w:i/>
          <w:snapToGrid w:val="0"/>
          <w:lang w:val="pt-PT"/>
        </w:rPr>
        <w:t xml:space="preserve">Doentes idosos: </w:t>
      </w:r>
      <w:r w:rsidR="005B370B" w:rsidRPr="002606DB">
        <w:rPr>
          <w:i/>
          <w:snapToGrid w:val="0"/>
          <w:lang w:val="pt-PT"/>
        </w:rPr>
        <w:br/>
      </w:r>
      <w:r w:rsidRPr="002606DB">
        <w:rPr>
          <w:snapToGrid w:val="0"/>
          <w:lang w:val="pt-PT"/>
        </w:rPr>
        <w:t xml:space="preserve">Não é necessário ajuste da dose em doentes com idade </w:t>
      </w:r>
      <w:r w:rsidR="00317427" w:rsidRPr="007155C0">
        <w:rPr>
          <w:lang w:val="pt-PT"/>
        </w:rPr>
        <w:t xml:space="preserve">igual ou </w:t>
      </w:r>
      <w:r w:rsidRPr="002606DB">
        <w:rPr>
          <w:snapToGrid w:val="0"/>
          <w:lang w:val="pt-PT"/>
        </w:rPr>
        <w:t>superior a 65 anos.</w:t>
      </w:r>
    </w:p>
    <w:p w14:paraId="3DA511A7" w14:textId="77777777" w:rsidR="00162CE2" w:rsidRPr="002606DB" w:rsidRDefault="00162CE2" w:rsidP="00056F35">
      <w:pPr>
        <w:pStyle w:val="a3"/>
        <w:adjustRightInd w:val="0"/>
        <w:snapToGrid w:val="0"/>
        <w:rPr>
          <w:snapToGrid w:val="0"/>
          <w:lang w:val="pt-PT"/>
        </w:rPr>
      </w:pPr>
    </w:p>
    <w:p w14:paraId="00A316F4" w14:textId="65BCB8AB" w:rsidR="00162CE2" w:rsidRPr="002606DB" w:rsidRDefault="00162CE2" w:rsidP="00056F35">
      <w:pPr>
        <w:adjustRightInd w:val="0"/>
        <w:snapToGrid w:val="0"/>
        <w:rPr>
          <w:snapToGrid w:val="0"/>
          <w:lang w:val="pt-PT"/>
        </w:rPr>
      </w:pPr>
      <w:r w:rsidRPr="002606DB">
        <w:rPr>
          <w:i/>
          <w:snapToGrid w:val="0"/>
          <w:lang w:val="pt-PT"/>
        </w:rPr>
        <w:t>Doentes com compromisso renal</w:t>
      </w:r>
      <w:r w:rsidRPr="002606DB">
        <w:rPr>
          <w:snapToGrid w:val="0"/>
          <w:lang w:val="pt-PT"/>
        </w:rPr>
        <w:t xml:space="preserve">: </w:t>
      </w:r>
      <w:r w:rsidR="005B370B" w:rsidRPr="002606DB">
        <w:rPr>
          <w:snapToGrid w:val="0"/>
          <w:lang w:val="pt-PT"/>
        </w:rPr>
        <w:br/>
      </w:r>
      <w:r w:rsidRPr="002606DB">
        <w:rPr>
          <w:snapToGrid w:val="0"/>
          <w:lang w:val="pt-PT"/>
        </w:rPr>
        <w:t>A segurança e a eficácia não foram estudadas em doentes com compromisso renal (ver secção 5.2).</w:t>
      </w:r>
    </w:p>
    <w:p w14:paraId="0BB4359B" w14:textId="77777777" w:rsidR="00162CE2" w:rsidRPr="002606DB" w:rsidRDefault="00162CE2" w:rsidP="00056F35">
      <w:pPr>
        <w:pStyle w:val="a3"/>
        <w:adjustRightInd w:val="0"/>
        <w:snapToGrid w:val="0"/>
        <w:rPr>
          <w:snapToGrid w:val="0"/>
          <w:lang w:val="pt-PT"/>
        </w:rPr>
      </w:pPr>
    </w:p>
    <w:p w14:paraId="1B79402C" w14:textId="140567FE" w:rsidR="00162CE2" w:rsidRPr="002606DB" w:rsidRDefault="00162CE2" w:rsidP="00056F35">
      <w:pPr>
        <w:adjustRightInd w:val="0"/>
        <w:snapToGrid w:val="0"/>
        <w:rPr>
          <w:snapToGrid w:val="0"/>
          <w:lang w:val="pt-PT"/>
        </w:rPr>
      </w:pPr>
      <w:r w:rsidRPr="002606DB">
        <w:rPr>
          <w:i/>
          <w:snapToGrid w:val="0"/>
          <w:lang w:val="pt-PT"/>
        </w:rPr>
        <w:t>Doentes com compromisso hepático</w:t>
      </w:r>
      <w:r w:rsidRPr="002606DB">
        <w:rPr>
          <w:snapToGrid w:val="0"/>
          <w:lang w:val="pt-PT"/>
        </w:rPr>
        <w:t xml:space="preserve">: </w:t>
      </w:r>
      <w:r w:rsidR="005B370B" w:rsidRPr="002606DB">
        <w:rPr>
          <w:snapToGrid w:val="0"/>
          <w:lang w:val="pt-PT"/>
        </w:rPr>
        <w:br/>
      </w:r>
      <w:r w:rsidRPr="002606DB">
        <w:rPr>
          <w:snapToGrid w:val="0"/>
          <w:lang w:val="pt-PT"/>
        </w:rPr>
        <w:t>A segurança e a eficácia não foram estudadas em doentes com compromisso hepático (ver secção 5.2).</w:t>
      </w:r>
    </w:p>
    <w:p w14:paraId="159F9431" w14:textId="77777777" w:rsidR="00162CE2" w:rsidRPr="002606DB" w:rsidRDefault="00162CE2" w:rsidP="00056F35">
      <w:pPr>
        <w:pStyle w:val="a3"/>
        <w:adjustRightInd w:val="0"/>
        <w:snapToGrid w:val="0"/>
        <w:rPr>
          <w:snapToGrid w:val="0"/>
          <w:lang w:val="pt-PT"/>
        </w:rPr>
      </w:pPr>
    </w:p>
    <w:p w14:paraId="2604E079" w14:textId="77777777" w:rsidR="00162CE2" w:rsidRPr="00A33E20" w:rsidRDefault="00162CE2" w:rsidP="00056F35">
      <w:pPr>
        <w:adjustRightInd w:val="0"/>
        <w:snapToGrid w:val="0"/>
        <w:rPr>
          <w:i/>
          <w:snapToGrid w:val="0"/>
          <w:lang w:val="pt-PT"/>
        </w:rPr>
      </w:pPr>
      <w:r w:rsidRPr="001C687C">
        <w:rPr>
          <w:i/>
          <w:snapToGrid w:val="0"/>
          <w:lang w:val="pt-PT"/>
        </w:rPr>
        <w:t>População pediátrica</w:t>
      </w:r>
    </w:p>
    <w:p w14:paraId="21BBA487" w14:textId="77777777" w:rsidR="00162CE2" w:rsidRPr="002606DB" w:rsidRDefault="00162CE2" w:rsidP="005B370B">
      <w:pPr>
        <w:pStyle w:val="a3"/>
        <w:adjustRightInd w:val="0"/>
        <w:snapToGrid w:val="0"/>
        <w:rPr>
          <w:snapToGrid w:val="0"/>
          <w:lang w:val="pt-PT"/>
        </w:rPr>
      </w:pPr>
      <w:r w:rsidRPr="002606DB">
        <w:rPr>
          <w:snapToGrid w:val="0"/>
          <w:lang w:val="pt-PT"/>
        </w:rPr>
        <w:t>A segurança e eficácia de bevacizumab em crianças com idade inferior a 18 anos de idade não foram estabelecidas. Os dados atualmente disponíveis encontram-se descritos nas secções 4.8, 5.1 e 5.2, mas não pode ser feita qualquer recomendação posológica.</w:t>
      </w:r>
    </w:p>
    <w:p w14:paraId="36A3A686" w14:textId="77777777" w:rsidR="00162CE2" w:rsidRPr="002606DB" w:rsidRDefault="00162CE2" w:rsidP="00056F35">
      <w:pPr>
        <w:pStyle w:val="a3"/>
        <w:adjustRightInd w:val="0"/>
        <w:snapToGrid w:val="0"/>
        <w:rPr>
          <w:snapToGrid w:val="0"/>
          <w:lang w:val="pt-PT"/>
        </w:rPr>
      </w:pPr>
    </w:p>
    <w:p w14:paraId="3F382BD9" w14:textId="77777777" w:rsidR="00162CE2" w:rsidRPr="002606DB" w:rsidRDefault="00162CE2" w:rsidP="005B370B">
      <w:pPr>
        <w:pStyle w:val="a3"/>
        <w:adjustRightInd w:val="0"/>
        <w:snapToGrid w:val="0"/>
        <w:rPr>
          <w:snapToGrid w:val="0"/>
          <w:lang w:val="pt-PT"/>
        </w:rPr>
      </w:pPr>
      <w:r w:rsidRPr="002606DB">
        <w:rPr>
          <w:snapToGrid w:val="0"/>
          <w:lang w:val="pt-PT"/>
        </w:rPr>
        <w:t>Não há utilização relevante de bevacizumab na população pediátrica nas indicações para o tratamento de cancros do cólon, do reto, da mama, do pulmão, do ovário, da trompa de Falópio, do peritoneu, do colo do útero e do rim.</w:t>
      </w:r>
    </w:p>
    <w:p w14:paraId="68F6F8CC" w14:textId="77777777" w:rsidR="00162CE2" w:rsidRPr="002606DB" w:rsidRDefault="00162CE2" w:rsidP="00056F35">
      <w:pPr>
        <w:pStyle w:val="a3"/>
        <w:adjustRightInd w:val="0"/>
        <w:snapToGrid w:val="0"/>
        <w:rPr>
          <w:snapToGrid w:val="0"/>
          <w:lang w:val="pt-PT"/>
        </w:rPr>
      </w:pPr>
    </w:p>
    <w:p w14:paraId="65B3A98F" w14:textId="77777777" w:rsidR="00162CE2" w:rsidRPr="002606DB" w:rsidRDefault="00162CE2" w:rsidP="00056F35">
      <w:pPr>
        <w:pStyle w:val="a3"/>
        <w:adjustRightInd w:val="0"/>
        <w:snapToGrid w:val="0"/>
        <w:rPr>
          <w:snapToGrid w:val="0"/>
          <w:lang w:val="pt-PT"/>
        </w:rPr>
      </w:pPr>
      <w:r w:rsidRPr="002606DB">
        <w:rPr>
          <w:snapToGrid w:val="0"/>
          <w:u w:val="single"/>
          <w:lang w:val="pt-PT"/>
        </w:rPr>
        <w:t>Modo de administração</w:t>
      </w:r>
    </w:p>
    <w:p w14:paraId="387CD207" w14:textId="77777777" w:rsidR="00162CE2" w:rsidRPr="002606DB" w:rsidRDefault="00162CE2" w:rsidP="00056F35">
      <w:pPr>
        <w:pStyle w:val="a3"/>
        <w:adjustRightInd w:val="0"/>
        <w:snapToGrid w:val="0"/>
        <w:rPr>
          <w:snapToGrid w:val="0"/>
          <w:lang w:val="pt-PT"/>
        </w:rPr>
      </w:pPr>
    </w:p>
    <w:p w14:paraId="279232C8" w14:textId="6EFE1C3E" w:rsidR="00162CE2" w:rsidRPr="002606DB" w:rsidRDefault="00FB2483" w:rsidP="00056F35">
      <w:pPr>
        <w:pStyle w:val="a3"/>
        <w:adjustRightInd w:val="0"/>
        <w:snapToGrid w:val="0"/>
        <w:rPr>
          <w:snapToGrid w:val="0"/>
          <w:lang w:val="pt-PT"/>
        </w:rPr>
      </w:pPr>
      <w:r>
        <w:rPr>
          <w:snapToGrid w:val="0"/>
          <w:lang w:val="pt-PT"/>
        </w:rPr>
        <w:t>Vegzelma</w:t>
      </w:r>
      <w:r w:rsidR="00162CE2" w:rsidRPr="002606DB">
        <w:rPr>
          <w:snapToGrid w:val="0"/>
          <w:lang w:val="pt-PT"/>
        </w:rPr>
        <w:t xml:space="preserve"> destina-se a utilização </w:t>
      </w:r>
      <w:r w:rsidR="009220BB" w:rsidRPr="002606DB">
        <w:rPr>
          <w:snapToGrid w:val="0"/>
          <w:lang w:val="pt-PT"/>
        </w:rPr>
        <w:t xml:space="preserve">via </w:t>
      </w:r>
      <w:r w:rsidR="00162CE2" w:rsidRPr="002606DB">
        <w:rPr>
          <w:snapToGrid w:val="0"/>
          <w:lang w:val="pt-PT"/>
        </w:rPr>
        <w:t>intravenosa. A dose inicial deve ser administrada sob a forma de perfusão intravenosa durante 90 minutos. Se a primeira perfusão for bem tolerada, a administração da segunda perfusão pode ser feita durante 60 minutos. Se a perfusão com duração de 60 minutos for bem tolerada, todas as perfusões seguintes poderão ser administradas durante 30 minutos.</w:t>
      </w:r>
    </w:p>
    <w:p w14:paraId="2EB2ED23" w14:textId="77777777" w:rsidR="00162CE2" w:rsidRPr="002606DB" w:rsidRDefault="00162CE2" w:rsidP="00056F35">
      <w:pPr>
        <w:pStyle w:val="a3"/>
        <w:adjustRightInd w:val="0"/>
        <w:snapToGrid w:val="0"/>
        <w:rPr>
          <w:snapToGrid w:val="0"/>
          <w:lang w:val="pt-PT"/>
        </w:rPr>
      </w:pPr>
    </w:p>
    <w:p w14:paraId="21402053" w14:textId="77777777" w:rsidR="00162CE2" w:rsidRPr="002606DB" w:rsidRDefault="00162CE2" w:rsidP="00056F35">
      <w:pPr>
        <w:pStyle w:val="a3"/>
        <w:adjustRightInd w:val="0"/>
        <w:snapToGrid w:val="0"/>
        <w:rPr>
          <w:snapToGrid w:val="0"/>
          <w:lang w:val="pt-PT"/>
        </w:rPr>
      </w:pPr>
      <w:r w:rsidRPr="002606DB">
        <w:rPr>
          <w:snapToGrid w:val="0"/>
          <w:lang w:val="pt-PT"/>
        </w:rPr>
        <w:t>Não deve ser administrado sob a forma de injeção intravenosa rápida ou bólus.</w:t>
      </w:r>
    </w:p>
    <w:p w14:paraId="3424C401" w14:textId="77777777" w:rsidR="00162CE2" w:rsidRPr="002606DB" w:rsidRDefault="00162CE2" w:rsidP="00056F35">
      <w:pPr>
        <w:pStyle w:val="a3"/>
        <w:adjustRightInd w:val="0"/>
        <w:snapToGrid w:val="0"/>
        <w:rPr>
          <w:snapToGrid w:val="0"/>
          <w:lang w:val="pt-PT"/>
        </w:rPr>
      </w:pPr>
    </w:p>
    <w:p w14:paraId="01802885" w14:textId="2E733605" w:rsidR="00162CE2" w:rsidRPr="002606DB" w:rsidRDefault="00162CE2" w:rsidP="00056F35">
      <w:pPr>
        <w:pStyle w:val="a3"/>
        <w:adjustRightInd w:val="0"/>
        <w:snapToGrid w:val="0"/>
        <w:rPr>
          <w:snapToGrid w:val="0"/>
          <w:lang w:val="pt-PT"/>
        </w:rPr>
      </w:pPr>
      <w:r w:rsidRPr="002606DB">
        <w:rPr>
          <w:snapToGrid w:val="0"/>
          <w:lang w:val="pt-PT"/>
        </w:rPr>
        <w:t>A redução de dose devido a reações adversas não é recomendada. Se indicado, a terapêutica deverá ser temporariamente suspensa ou permanentemente descontinuada, tal como descrito na secção 4.4.</w:t>
      </w:r>
    </w:p>
    <w:p w14:paraId="2C9F14BD" w14:textId="77777777" w:rsidR="00162CE2" w:rsidRPr="002606DB" w:rsidRDefault="00162CE2" w:rsidP="00056F35">
      <w:pPr>
        <w:pStyle w:val="a3"/>
        <w:adjustRightInd w:val="0"/>
        <w:snapToGrid w:val="0"/>
        <w:rPr>
          <w:snapToGrid w:val="0"/>
          <w:lang w:val="pt-PT"/>
        </w:rPr>
      </w:pPr>
    </w:p>
    <w:p w14:paraId="6DEB66C2" w14:textId="77777777" w:rsidR="00162CE2" w:rsidRPr="002606DB" w:rsidRDefault="00162CE2" w:rsidP="00056F35">
      <w:pPr>
        <w:adjustRightInd w:val="0"/>
        <w:snapToGrid w:val="0"/>
        <w:rPr>
          <w:i/>
          <w:snapToGrid w:val="0"/>
          <w:lang w:val="pt-PT"/>
        </w:rPr>
      </w:pPr>
      <w:r w:rsidRPr="002606DB">
        <w:rPr>
          <w:i/>
          <w:snapToGrid w:val="0"/>
          <w:u w:val="single"/>
          <w:lang w:val="pt-PT"/>
        </w:rPr>
        <w:t>Precauções a ter em conta antes de manusear ou administrar o medicamento</w:t>
      </w:r>
    </w:p>
    <w:p w14:paraId="1861CC6E" w14:textId="77777777" w:rsidR="00A33E20" w:rsidRDefault="00A33E20" w:rsidP="005B370B">
      <w:pPr>
        <w:pStyle w:val="a3"/>
        <w:adjustRightInd w:val="0"/>
        <w:snapToGrid w:val="0"/>
        <w:ind w:right="-138"/>
        <w:rPr>
          <w:snapToGrid w:val="0"/>
          <w:lang w:val="pt-PT"/>
        </w:rPr>
      </w:pPr>
    </w:p>
    <w:p w14:paraId="7AD20C7C" w14:textId="258E6100" w:rsidR="00162CE2" w:rsidRPr="002606DB" w:rsidRDefault="00162CE2" w:rsidP="005B370B">
      <w:pPr>
        <w:pStyle w:val="a3"/>
        <w:adjustRightInd w:val="0"/>
        <w:snapToGrid w:val="0"/>
        <w:ind w:right="-138"/>
        <w:rPr>
          <w:snapToGrid w:val="0"/>
          <w:lang w:val="pt-PT"/>
        </w:rPr>
      </w:pPr>
      <w:r w:rsidRPr="002606DB">
        <w:rPr>
          <w:snapToGrid w:val="0"/>
          <w:lang w:val="pt-PT"/>
        </w:rPr>
        <w:t xml:space="preserve">Para instruções acerca da diluição do medicamento antes da administração, ver secção 6.6. A perfusão de </w:t>
      </w:r>
      <w:r w:rsidR="00FB2483">
        <w:rPr>
          <w:snapToGrid w:val="0"/>
          <w:lang w:val="pt-PT"/>
        </w:rPr>
        <w:t>Vegzelma</w:t>
      </w:r>
      <w:r w:rsidRPr="002606DB">
        <w:rPr>
          <w:snapToGrid w:val="0"/>
          <w:lang w:val="pt-PT"/>
        </w:rPr>
        <w:t xml:space="preserve"> não deve ser misturada nem administrada juntamente com soluções de glucose. Este medicamento não deve ser misturado com outros medicamentos, exceto os mencionados na secção 6.6.</w:t>
      </w:r>
    </w:p>
    <w:p w14:paraId="6735D7C6" w14:textId="77777777" w:rsidR="00162CE2" w:rsidRPr="002606DB" w:rsidRDefault="00162CE2" w:rsidP="00056F35">
      <w:pPr>
        <w:pStyle w:val="a3"/>
        <w:adjustRightInd w:val="0"/>
        <w:snapToGrid w:val="0"/>
        <w:rPr>
          <w:snapToGrid w:val="0"/>
          <w:lang w:val="pt-PT"/>
        </w:rPr>
      </w:pPr>
    </w:p>
    <w:p w14:paraId="17A3A1F8" w14:textId="77777777" w:rsidR="00162CE2" w:rsidRPr="002606DB" w:rsidRDefault="00162CE2" w:rsidP="00552771">
      <w:pPr>
        <w:pStyle w:val="2"/>
        <w:adjustRightInd w:val="0"/>
        <w:snapToGrid w:val="0"/>
        <w:ind w:left="567" w:hanging="567"/>
        <w:rPr>
          <w:snapToGrid w:val="0"/>
          <w:lang w:val="pt-PT"/>
        </w:rPr>
      </w:pPr>
      <w:r w:rsidRPr="002606DB">
        <w:rPr>
          <w:snapToGrid w:val="0"/>
          <w:spacing w:val="-6"/>
          <w:w w:val="101"/>
        </w:rPr>
        <w:t>4.3</w:t>
      </w:r>
      <w:r w:rsidRPr="002606DB">
        <w:rPr>
          <w:snapToGrid w:val="0"/>
          <w:spacing w:val="-6"/>
          <w:w w:val="101"/>
        </w:rPr>
        <w:tab/>
      </w:r>
      <w:r w:rsidRPr="002606DB">
        <w:rPr>
          <w:snapToGrid w:val="0"/>
          <w:lang w:val="pt-PT"/>
        </w:rPr>
        <w:t>Contraindicações</w:t>
      </w:r>
    </w:p>
    <w:p w14:paraId="7B89752A" w14:textId="77777777" w:rsidR="00162CE2" w:rsidRPr="002606DB" w:rsidRDefault="00162CE2" w:rsidP="006B74A5">
      <w:pPr>
        <w:pStyle w:val="a3"/>
        <w:adjustRightInd w:val="0"/>
        <w:snapToGrid w:val="0"/>
        <w:ind w:left="567" w:hanging="567"/>
        <w:rPr>
          <w:b/>
          <w:snapToGrid w:val="0"/>
          <w:lang w:val="pt-PT"/>
        </w:rPr>
      </w:pPr>
    </w:p>
    <w:p w14:paraId="6360D6CC" w14:textId="66F49688" w:rsidR="00162CE2" w:rsidRPr="002606DB" w:rsidRDefault="00162CE2" w:rsidP="00702512">
      <w:pPr>
        <w:pStyle w:val="a4"/>
        <w:numPr>
          <w:ilvl w:val="0"/>
          <w:numId w:val="11"/>
        </w:numPr>
        <w:adjustRightInd w:val="0"/>
        <w:snapToGrid w:val="0"/>
        <w:ind w:left="567" w:right="-280" w:hanging="567"/>
        <w:rPr>
          <w:snapToGrid w:val="0"/>
          <w:lang w:val="pt-PT"/>
        </w:rPr>
      </w:pPr>
      <w:r w:rsidRPr="002606DB">
        <w:rPr>
          <w:snapToGrid w:val="0"/>
          <w:lang w:val="pt-PT"/>
        </w:rPr>
        <w:t>Hipersensibilidade à substância ativa ou a qualquer um dos excipientes mencionados na secção 6.1.</w:t>
      </w:r>
    </w:p>
    <w:p w14:paraId="151D4AC5" w14:textId="792C2E2E" w:rsidR="00162CE2" w:rsidRPr="002606DB" w:rsidRDefault="00162CE2" w:rsidP="00702512">
      <w:pPr>
        <w:pStyle w:val="a4"/>
        <w:numPr>
          <w:ilvl w:val="0"/>
          <w:numId w:val="11"/>
        </w:numPr>
        <w:adjustRightInd w:val="0"/>
        <w:snapToGrid w:val="0"/>
        <w:ind w:left="567" w:right="-280" w:hanging="567"/>
        <w:rPr>
          <w:snapToGrid w:val="0"/>
          <w:lang w:val="pt-PT"/>
        </w:rPr>
      </w:pPr>
      <w:r w:rsidRPr="002606DB">
        <w:rPr>
          <w:snapToGrid w:val="0"/>
          <w:lang w:val="pt-PT"/>
        </w:rPr>
        <w:t>Hipersensibilidade a produtos derivados de células de ovário de hamster chinês (CHO) ou a outros anticorpos recombinantes humanos ou humanizados.</w:t>
      </w:r>
    </w:p>
    <w:p w14:paraId="1FCA284F" w14:textId="031D8906" w:rsidR="00162CE2" w:rsidRPr="002606DB" w:rsidRDefault="00162CE2" w:rsidP="00702512">
      <w:pPr>
        <w:pStyle w:val="a4"/>
        <w:numPr>
          <w:ilvl w:val="0"/>
          <w:numId w:val="11"/>
        </w:numPr>
        <w:adjustRightInd w:val="0"/>
        <w:snapToGrid w:val="0"/>
        <w:ind w:left="567" w:right="-280" w:hanging="567"/>
        <w:rPr>
          <w:snapToGrid w:val="0"/>
          <w:lang w:val="pt-PT"/>
        </w:rPr>
      </w:pPr>
      <w:r w:rsidRPr="002606DB">
        <w:rPr>
          <w:snapToGrid w:val="0"/>
          <w:lang w:val="pt-PT"/>
        </w:rPr>
        <w:t>Gravidez (ver secção 4.6).</w:t>
      </w:r>
    </w:p>
    <w:p w14:paraId="29790FC7" w14:textId="77777777" w:rsidR="00162CE2" w:rsidRPr="002606DB" w:rsidRDefault="00162CE2" w:rsidP="006B74A5">
      <w:pPr>
        <w:pStyle w:val="a3"/>
        <w:adjustRightInd w:val="0"/>
        <w:snapToGrid w:val="0"/>
        <w:ind w:left="567" w:hanging="567"/>
        <w:rPr>
          <w:snapToGrid w:val="0"/>
          <w:lang w:val="pt-PT"/>
        </w:rPr>
      </w:pPr>
    </w:p>
    <w:p w14:paraId="245F1E29" w14:textId="77777777" w:rsidR="00162CE2" w:rsidRPr="002606DB" w:rsidRDefault="00162CE2" w:rsidP="00552771">
      <w:pPr>
        <w:pStyle w:val="2"/>
        <w:adjustRightInd w:val="0"/>
        <w:snapToGrid w:val="0"/>
        <w:ind w:left="567" w:hanging="567"/>
        <w:rPr>
          <w:snapToGrid w:val="0"/>
          <w:lang w:val="pt-PT"/>
        </w:rPr>
      </w:pPr>
      <w:r w:rsidRPr="007155C0">
        <w:rPr>
          <w:snapToGrid w:val="0"/>
          <w:spacing w:val="-6"/>
          <w:w w:val="101"/>
          <w:lang w:val="fr-CA"/>
        </w:rPr>
        <w:t>4.4</w:t>
      </w:r>
      <w:r w:rsidRPr="007155C0">
        <w:rPr>
          <w:snapToGrid w:val="0"/>
          <w:spacing w:val="-6"/>
          <w:w w:val="101"/>
          <w:lang w:val="fr-CA"/>
        </w:rPr>
        <w:tab/>
      </w:r>
      <w:r w:rsidRPr="002606DB">
        <w:rPr>
          <w:snapToGrid w:val="0"/>
          <w:lang w:val="pt-PT"/>
        </w:rPr>
        <w:t>Advertências e precauções especiais de utilização</w:t>
      </w:r>
    </w:p>
    <w:p w14:paraId="7014CEB4" w14:textId="77777777" w:rsidR="00162CE2" w:rsidRPr="002606DB" w:rsidRDefault="00162CE2" w:rsidP="00056F35">
      <w:pPr>
        <w:pStyle w:val="a3"/>
        <w:adjustRightInd w:val="0"/>
        <w:snapToGrid w:val="0"/>
        <w:rPr>
          <w:b/>
          <w:snapToGrid w:val="0"/>
          <w:lang w:val="pt-PT"/>
        </w:rPr>
      </w:pPr>
    </w:p>
    <w:p w14:paraId="694AB7FD"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lastRenderedPageBreak/>
        <w:t>Rastreabilidade</w:t>
      </w:r>
    </w:p>
    <w:p w14:paraId="728154A0" w14:textId="77777777" w:rsidR="00162CE2" w:rsidRPr="002606DB" w:rsidRDefault="00162CE2" w:rsidP="00056F35">
      <w:pPr>
        <w:pStyle w:val="a3"/>
        <w:adjustRightInd w:val="0"/>
        <w:snapToGrid w:val="0"/>
        <w:rPr>
          <w:snapToGrid w:val="0"/>
          <w:lang w:val="pt-PT"/>
        </w:rPr>
      </w:pPr>
      <w:r w:rsidRPr="002606DB">
        <w:rPr>
          <w:snapToGrid w:val="0"/>
          <w:lang w:val="pt-PT"/>
        </w:rPr>
        <w:t>De modo a melhorar a rastreabilidade dos medicamentos biológicos, o nome e o número do lote do medicamento administrado deve ser claramente registado.</w:t>
      </w:r>
    </w:p>
    <w:p w14:paraId="669877A8" w14:textId="77777777" w:rsidR="00162CE2" w:rsidRPr="002606DB" w:rsidRDefault="00162CE2" w:rsidP="00056F35">
      <w:pPr>
        <w:adjustRightInd w:val="0"/>
        <w:snapToGrid w:val="0"/>
        <w:rPr>
          <w:snapToGrid w:val="0"/>
          <w:lang w:val="pt-PT"/>
        </w:rPr>
      </w:pPr>
    </w:p>
    <w:p w14:paraId="023359DA" w14:textId="57A477B9" w:rsidR="00162CE2" w:rsidRPr="002606DB" w:rsidRDefault="00162CE2" w:rsidP="00056F35">
      <w:pPr>
        <w:adjustRightInd w:val="0"/>
        <w:snapToGrid w:val="0"/>
        <w:rPr>
          <w:snapToGrid w:val="0"/>
          <w:lang w:val="pt-PT"/>
        </w:rPr>
      </w:pPr>
      <w:r w:rsidRPr="001C687C">
        <w:rPr>
          <w:iCs/>
          <w:snapToGrid w:val="0"/>
          <w:u w:val="single"/>
          <w:lang w:val="pt-PT"/>
        </w:rPr>
        <w:t xml:space="preserve">Perfuração gastrointestinal (GI) e </w:t>
      </w:r>
      <w:r w:rsidR="00A33E20">
        <w:rPr>
          <w:iCs/>
          <w:snapToGrid w:val="0"/>
          <w:u w:val="single"/>
          <w:lang w:val="pt-PT"/>
        </w:rPr>
        <w:t>f</w:t>
      </w:r>
      <w:r w:rsidRPr="001C687C">
        <w:rPr>
          <w:iCs/>
          <w:snapToGrid w:val="0"/>
          <w:u w:val="single"/>
          <w:lang w:val="pt-PT"/>
        </w:rPr>
        <w:t>ístulas</w:t>
      </w:r>
      <w:r w:rsidRPr="002606DB">
        <w:rPr>
          <w:i/>
          <w:snapToGrid w:val="0"/>
          <w:lang w:val="pt-PT"/>
        </w:rPr>
        <w:t xml:space="preserve"> </w:t>
      </w:r>
      <w:r w:rsidRPr="002606DB">
        <w:rPr>
          <w:snapToGrid w:val="0"/>
          <w:lang w:val="pt-PT"/>
        </w:rPr>
        <w:t>(ver secção 4.8)</w:t>
      </w:r>
    </w:p>
    <w:p w14:paraId="070AB04E" w14:textId="191BDB90" w:rsidR="00162CE2" w:rsidRPr="002606DB" w:rsidRDefault="00162CE2" w:rsidP="00056F35">
      <w:pPr>
        <w:pStyle w:val="a3"/>
        <w:adjustRightInd w:val="0"/>
        <w:snapToGrid w:val="0"/>
        <w:rPr>
          <w:snapToGrid w:val="0"/>
          <w:lang w:val="pt-PT"/>
        </w:rPr>
      </w:pPr>
      <w:r w:rsidRPr="002606DB">
        <w:rPr>
          <w:snapToGrid w:val="0"/>
          <w:lang w:val="pt-PT"/>
        </w:rPr>
        <w:t>Os doentes tratados com bevacizumab podem estar em risco aumentado de desenvolver perfuração gastrointestinal e perfuração da vesícula biliar. Em doentes com carcinoma metastizado do cólon ou do reto, um processo inflamatório intra-abdominal pode ser um fator de risco para ocorrência de perfuração gastrointestinal</w:t>
      </w:r>
      <w:r w:rsidR="002E4BD0" w:rsidRPr="007155C0">
        <w:rPr>
          <w:lang w:val="pt-PT"/>
        </w:rPr>
        <w:t>;</w:t>
      </w:r>
      <w:r w:rsidRPr="002606DB">
        <w:rPr>
          <w:snapToGrid w:val="0"/>
          <w:lang w:val="pt-PT"/>
        </w:rPr>
        <w:t xml:space="preserve"> por conseguinte, deve ter-se cuidado ao tratar estes doentes. A radiação prévia é um fator de risco para perfuração GI em doentes tratadas com bevacizumab para o cancro do colo do útero com doença persistente, recorrente ou metastizada e todos os doentes com perfuração GI tinham antecedentes de radioterapia prévia. A terapêutica deve ser interrompida definitivamente nos doentes que desenvolvam perfuração gastrointestinal.</w:t>
      </w:r>
    </w:p>
    <w:p w14:paraId="401A44FB" w14:textId="77777777" w:rsidR="00162CE2" w:rsidRPr="002606DB" w:rsidRDefault="00162CE2" w:rsidP="00056F35">
      <w:pPr>
        <w:pStyle w:val="a3"/>
        <w:adjustRightInd w:val="0"/>
        <w:snapToGrid w:val="0"/>
        <w:rPr>
          <w:snapToGrid w:val="0"/>
          <w:lang w:val="pt-PT"/>
        </w:rPr>
      </w:pPr>
    </w:p>
    <w:p w14:paraId="4AD514D6"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Fístulas entre o trato GI e a vagina no estudo GOG-0240</w:t>
      </w:r>
    </w:p>
    <w:p w14:paraId="6B8D211E" w14:textId="493340FE" w:rsidR="00162CE2" w:rsidRPr="002606DB" w:rsidRDefault="00162CE2" w:rsidP="00056F35">
      <w:pPr>
        <w:pStyle w:val="a3"/>
        <w:adjustRightInd w:val="0"/>
        <w:snapToGrid w:val="0"/>
        <w:rPr>
          <w:snapToGrid w:val="0"/>
          <w:lang w:val="pt-PT"/>
        </w:rPr>
      </w:pPr>
      <w:r w:rsidRPr="002606DB">
        <w:rPr>
          <w:snapToGrid w:val="0"/>
          <w:lang w:val="pt-PT"/>
        </w:rPr>
        <w:t>As doentes tratadas com bevacizumab para o cancro do colo do útero com doença persistente, recorrente ou metastizada apresentam um risco aumentado de desenvolver fístulas entre a vagina e qualquer região do trato GI (fístula do trato GI para a vagina). A radiação prévia é um fator de risco major para o desenvolvimento de fístulas do trato GI para a vagina e todas as doentes com fístulas entre o trato GI e a vagina tinham história de radiação prévia. A recorrência do cancro na área previamente irradiada é um fator de risco adicional importante para o desenvolvimento de fístulas entre o trato GI e a vagina</w:t>
      </w:r>
    </w:p>
    <w:p w14:paraId="203C71C3" w14:textId="77777777" w:rsidR="00162CE2" w:rsidRPr="002606DB" w:rsidRDefault="00162CE2" w:rsidP="00056F35">
      <w:pPr>
        <w:pStyle w:val="a3"/>
        <w:adjustRightInd w:val="0"/>
        <w:snapToGrid w:val="0"/>
        <w:rPr>
          <w:snapToGrid w:val="0"/>
          <w:lang w:val="pt-PT"/>
        </w:rPr>
      </w:pPr>
    </w:p>
    <w:p w14:paraId="49E5150A" w14:textId="4E5139FF" w:rsidR="00162CE2" w:rsidRPr="002606DB" w:rsidRDefault="00162CE2" w:rsidP="00056F35">
      <w:pPr>
        <w:adjustRightInd w:val="0"/>
        <w:snapToGrid w:val="0"/>
        <w:rPr>
          <w:snapToGrid w:val="0"/>
          <w:lang w:val="pt-PT"/>
        </w:rPr>
      </w:pPr>
      <w:r w:rsidRPr="001C687C">
        <w:rPr>
          <w:iCs/>
          <w:snapToGrid w:val="0"/>
          <w:u w:val="single"/>
          <w:lang w:val="pt-PT"/>
        </w:rPr>
        <w:t>Fístulas não-GI</w:t>
      </w:r>
      <w:r w:rsidRPr="002606DB">
        <w:rPr>
          <w:i/>
          <w:snapToGrid w:val="0"/>
          <w:lang w:val="pt-PT"/>
        </w:rPr>
        <w:t xml:space="preserve"> </w:t>
      </w:r>
      <w:r w:rsidRPr="002606DB">
        <w:rPr>
          <w:snapToGrid w:val="0"/>
          <w:lang w:val="pt-PT"/>
        </w:rPr>
        <w:t>(ver secção 4.8)</w:t>
      </w:r>
    </w:p>
    <w:p w14:paraId="6F8E3DFE" w14:textId="622BF4D2" w:rsidR="00702512" w:rsidRPr="002606DB" w:rsidRDefault="00162CE2" w:rsidP="00702512">
      <w:pPr>
        <w:pStyle w:val="a3"/>
        <w:adjustRightInd w:val="0"/>
        <w:snapToGrid w:val="0"/>
        <w:rPr>
          <w:snapToGrid w:val="0"/>
          <w:lang w:val="pt-PT"/>
        </w:rPr>
      </w:pPr>
      <w:r w:rsidRPr="002606DB">
        <w:rPr>
          <w:snapToGrid w:val="0"/>
          <w:lang w:val="pt-PT"/>
        </w:rPr>
        <w:t>Quando tratados com bevacizumab</w:t>
      </w:r>
      <w:r w:rsidR="003967D2" w:rsidRPr="007155C0">
        <w:rPr>
          <w:lang w:val="pt-PT"/>
        </w:rPr>
        <w:t>,</w:t>
      </w:r>
      <w:r w:rsidRPr="002606DB">
        <w:rPr>
          <w:snapToGrid w:val="0"/>
          <w:lang w:val="pt-PT"/>
        </w:rPr>
        <w:t xml:space="preserve"> os doentes podem apresentar um risco aumentado de desenvolver fístulas.</w:t>
      </w:r>
      <w:r w:rsidR="00702512" w:rsidRPr="002606DB">
        <w:rPr>
          <w:snapToGrid w:val="0"/>
          <w:lang w:val="pt-PT"/>
        </w:rPr>
        <w:t xml:space="preserve"> </w:t>
      </w:r>
      <w:r w:rsidRPr="002606DB">
        <w:rPr>
          <w:snapToGrid w:val="0"/>
          <w:lang w:val="pt-PT"/>
        </w:rPr>
        <w:t xml:space="preserve">Descontinuar permanentemente o tratamento com </w:t>
      </w:r>
      <w:r w:rsidR="00FB2483">
        <w:rPr>
          <w:snapToGrid w:val="0"/>
          <w:lang w:val="pt-PT"/>
        </w:rPr>
        <w:t>Vegzelma</w:t>
      </w:r>
      <w:r w:rsidRPr="002606DB">
        <w:rPr>
          <w:snapToGrid w:val="0"/>
          <w:lang w:val="pt-PT"/>
        </w:rPr>
        <w:t xml:space="preserve"> em doentes com fístula traqueoesofágica (TE) ou qualquer fístula de Grau 4 [US National Cancer Institute-Common Terminology Criteria for Adverse Events (NCI</w:t>
      </w:r>
      <w:r w:rsidR="00CB754C">
        <w:rPr>
          <w:snapToGrid w:val="0"/>
          <w:lang w:val="pt-PT"/>
        </w:rPr>
        <w:t>-</w:t>
      </w:r>
      <w:r w:rsidRPr="002606DB">
        <w:rPr>
          <w:snapToGrid w:val="0"/>
          <w:lang w:val="pt-PT"/>
        </w:rPr>
        <w:t xml:space="preserve">CTCAE v.3)]. A informação disponível relativa ao uso continuado de </w:t>
      </w:r>
      <w:r w:rsidR="0017439A" w:rsidRPr="002606DB">
        <w:rPr>
          <w:snapToGrid w:val="0"/>
          <w:lang w:val="pt-PT"/>
        </w:rPr>
        <w:t>bevacizumab</w:t>
      </w:r>
      <w:r w:rsidRPr="002606DB">
        <w:rPr>
          <w:snapToGrid w:val="0"/>
          <w:lang w:val="pt-PT"/>
        </w:rPr>
        <w:t xml:space="preserve"> em doentes com outras fístulas é limitada. </w:t>
      </w:r>
    </w:p>
    <w:p w14:paraId="60E12604" w14:textId="4B5C027E" w:rsidR="00162CE2" w:rsidRPr="002606DB" w:rsidRDefault="00162CE2" w:rsidP="00702512">
      <w:pPr>
        <w:pStyle w:val="a3"/>
        <w:adjustRightInd w:val="0"/>
        <w:snapToGrid w:val="0"/>
        <w:rPr>
          <w:snapToGrid w:val="0"/>
          <w:lang w:val="pt-PT"/>
        </w:rPr>
      </w:pPr>
      <w:r w:rsidRPr="002606DB">
        <w:rPr>
          <w:snapToGrid w:val="0"/>
          <w:lang w:val="pt-PT"/>
        </w:rPr>
        <w:t xml:space="preserve">Deve considerar-se a descontinuação do tratamento com </w:t>
      </w:r>
      <w:r w:rsidR="00FB2483">
        <w:rPr>
          <w:color w:val="000000"/>
          <w:lang w:val="pt-PT"/>
        </w:rPr>
        <w:t>Vegzelma</w:t>
      </w:r>
      <w:r w:rsidR="005F7425" w:rsidRPr="007155C0">
        <w:rPr>
          <w:color w:val="000000"/>
          <w:lang w:val="pt-PT"/>
        </w:rPr>
        <w:t xml:space="preserve"> </w:t>
      </w:r>
      <w:r w:rsidRPr="002606DB">
        <w:rPr>
          <w:snapToGrid w:val="0"/>
          <w:lang w:val="pt-PT"/>
        </w:rPr>
        <w:t>em casos de fístula interna não originada no trato gastrointestinal.</w:t>
      </w:r>
    </w:p>
    <w:p w14:paraId="387C4D48" w14:textId="77777777" w:rsidR="00162CE2" w:rsidRPr="002606DB" w:rsidRDefault="00162CE2" w:rsidP="00056F35">
      <w:pPr>
        <w:pStyle w:val="a3"/>
        <w:adjustRightInd w:val="0"/>
        <w:snapToGrid w:val="0"/>
        <w:rPr>
          <w:snapToGrid w:val="0"/>
          <w:lang w:val="pt-PT"/>
        </w:rPr>
      </w:pPr>
    </w:p>
    <w:p w14:paraId="13AD973B" w14:textId="6AD2A604" w:rsidR="00162CE2" w:rsidRPr="002606DB" w:rsidRDefault="00162CE2" w:rsidP="00056F35">
      <w:pPr>
        <w:adjustRightInd w:val="0"/>
        <w:snapToGrid w:val="0"/>
        <w:rPr>
          <w:snapToGrid w:val="0"/>
          <w:lang w:val="pt-PT"/>
        </w:rPr>
      </w:pPr>
      <w:r w:rsidRPr="001C687C">
        <w:rPr>
          <w:iCs/>
          <w:snapToGrid w:val="0"/>
          <w:u w:val="single"/>
          <w:lang w:val="pt-PT"/>
        </w:rPr>
        <w:t>Complicações na cicatrização das feridas</w:t>
      </w:r>
      <w:r w:rsidRPr="002606DB">
        <w:rPr>
          <w:i/>
          <w:snapToGrid w:val="0"/>
          <w:lang w:val="pt-PT"/>
        </w:rPr>
        <w:t xml:space="preserve"> </w:t>
      </w:r>
      <w:r w:rsidRPr="002606DB">
        <w:rPr>
          <w:snapToGrid w:val="0"/>
          <w:lang w:val="pt-PT"/>
        </w:rPr>
        <w:t>(ver secção 4.8)</w:t>
      </w:r>
    </w:p>
    <w:p w14:paraId="058F5E45" w14:textId="2E37D5D3" w:rsidR="00162CE2" w:rsidRPr="002606DB" w:rsidRDefault="00162CE2" w:rsidP="00056F35">
      <w:pPr>
        <w:pStyle w:val="a3"/>
        <w:adjustRightInd w:val="0"/>
        <w:snapToGrid w:val="0"/>
        <w:rPr>
          <w:snapToGrid w:val="0"/>
          <w:lang w:val="pt-PT"/>
        </w:rPr>
      </w:pPr>
      <w:r w:rsidRPr="002606DB">
        <w:rPr>
          <w:snapToGrid w:val="0"/>
          <w:lang w:val="pt-PT"/>
        </w:rPr>
        <w:t>O bevacizumab pode influenciar adversamente o processo de cicatrização das feridas. Foram notificadas complicações graves na cicatrização de feridas com consequências fatais, incluindo complicações anastomóticas A terapêutica não pode ser iniciada antes de decorridos pelo menos 28 dias depois de uma grande cirurgia ou até cicatrização completa da ferida cirúrgica. Nos doentes que apresentarem complicações da cicatrização de feridas durante o tratamento, este deve ser suspenso até cicatrização completa da ferida. A terapêutica deve ser suspensa antes da cirurgia eletiva.</w:t>
      </w:r>
    </w:p>
    <w:p w14:paraId="68203A81" w14:textId="77777777" w:rsidR="00162CE2" w:rsidRPr="002606DB" w:rsidRDefault="00162CE2" w:rsidP="00056F35">
      <w:pPr>
        <w:pStyle w:val="a3"/>
        <w:adjustRightInd w:val="0"/>
        <w:snapToGrid w:val="0"/>
        <w:rPr>
          <w:snapToGrid w:val="0"/>
          <w:lang w:val="pt-PT"/>
        </w:rPr>
      </w:pPr>
    </w:p>
    <w:p w14:paraId="377164F8" w14:textId="23D86C53" w:rsidR="00162CE2" w:rsidRPr="002606DB" w:rsidRDefault="00162CE2" w:rsidP="00702512">
      <w:pPr>
        <w:pStyle w:val="a3"/>
        <w:adjustRightInd w:val="0"/>
        <w:snapToGrid w:val="0"/>
        <w:ind w:right="-280"/>
        <w:rPr>
          <w:snapToGrid w:val="0"/>
          <w:lang w:val="pt-PT"/>
        </w:rPr>
      </w:pPr>
      <w:r w:rsidRPr="002606DB">
        <w:rPr>
          <w:snapToGrid w:val="0"/>
          <w:lang w:val="pt-PT"/>
        </w:rPr>
        <w:t xml:space="preserve">Foram notificados casos raros de fasciite necrotizante, incluindo casos fatais, em doentes tratados com bevacizumab. Esta é normalmente secundária a complicações na cicatrização de feridas, perfuração gastrointestinal ou formação de fístulas. A terapêutica com </w:t>
      </w:r>
      <w:r w:rsidR="00FB2483">
        <w:rPr>
          <w:snapToGrid w:val="0"/>
          <w:lang w:val="pt-PT"/>
        </w:rPr>
        <w:t>Vegzelma</w:t>
      </w:r>
      <w:r w:rsidRPr="002606DB">
        <w:rPr>
          <w:snapToGrid w:val="0"/>
          <w:lang w:val="pt-PT"/>
        </w:rPr>
        <w:t xml:space="preserve"> deve ser interrompida nos doentes que desenvolvem fasciite necrotizante e deve ser rapidamente iniciado um tratamento apropriado.</w:t>
      </w:r>
    </w:p>
    <w:p w14:paraId="143B4C79" w14:textId="77777777" w:rsidR="00162CE2" w:rsidRPr="002606DB" w:rsidRDefault="00162CE2" w:rsidP="00056F35">
      <w:pPr>
        <w:pStyle w:val="a3"/>
        <w:adjustRightInd w:val="0"/>
        <w:snapToGrid w:val="0"/>
        <w:rPr>
          <w:snapToGrid w:val="0"/>
          <w:lang w:val="pt-PT"/>
        </w:rPr>
      </w:pPr>
    </w:p>
    <w:p w14:paraId="41F17148" w14:textId="170BDB84" w:rsidR="00162CE2" w:rsidRPr="002606DB" w:rsidRDefault="00162CE2" w:rsidP="00056F35">
      <w:pPr>
        <w:adjustRightInd w:val="0"/>
        <w:snapToGrid w:val="0"/>
        <w:rPr>
          <w:snapToGrid w:val="0"/>
          <w:lang w:val="pt-PT"/>
        </w:rPr>
      </w:pPr>
      <w:r w:rsidRPr="001C687C">
        <w:rPr>
          <w:iCs/>
          <w:snapToGrid w:val="0"/>
          <w:u w:val="single"/>
          <w:lang w:val="pt-PT"/>
        </w:rPr>
        <w:t>Hipertensão arterial</w:t>
      </w:r>
      <w:r w:rsidRPr="002606DB">
        <w:rPr>
          <w:i/>
          <w:snapToGrid w:val="0"/>
          <w:lang w:val="pt-PT"/>
        </w:rPr>
        <w:t xml:space="preserve"> </w:t>
      </w:r>
      <w:r w:rsidRPr="002606DB">
        <w:rPr>
          <w:snapToGrid w:val="0"/>
          <w:lang w:val="pt-PT"/>
        </w:rPr>
        <w:t>(ver secção 4.8)</w:t>
      </w:r>
    </w:p>
    <w:p w14:paraId="6693C141" w14:textId="40C069BE" w:rsidR="00162CE2" w:rsidRPr="002606DB" w:rsidRDefault="00162CE2" w:rsidP="00056F35">
      <w:pPr>
        <w:pStyle w:val="a3"/>
        <w:adjustRightInd w:val="0"/>
        <w:snapToGrid w:val="0"/>
        <w:rPr>
          <w:snapToGrid w:val="0"/>
          <w:lang w:val="pt-PT"/>
        </w:rPr>
      </w:pPr>
      <w:r w:rsidRPr="002606DB">
        <w:rPr>
          <w:snapToGrid w:val="0"/>
          <w:lang w:val="pt-PT"/>
        </w:rPr>
        <w:t xml:space="preserve">Observou-se uma incidência aumentada de hipertensão arterial em doentes submetidos a tratamento com bevacizumab. Os dados de segurança clínica sugerem que a incidência de hipertensão arterial está provavelmente relacionada com a dose. A hipertensão arterial pré-existente deve ser adequadamente controlada antes do início do tratamento com </w:t>
      </w:r>
      <w:r w:rsidR="00FB2483">
        <w:rPr>
          <w:snapToGrid w:val="0"/>
          <w:lang w:val="pt-PT"/>
        </w:rPr>
        <w:t>Vegzelma</w:t>
      </w:r>
      <w:r w:rsidRPr="002606DB">
        <w:rPr>
          <w:snapToGrid w:val="0"/>
          <w:lang w:val="pt-PT"/>
        </w:rPr>
        <w:t xml:space="preserve">. Não existem informações acerca do efeito do bevacizumab em doentes com hipertensão arterial não controlada à data de início da terapêutica. </w:t>
      </w:r>
    </w:p>
    <w:p w14:paraId="4D69BC3F" w14:textId="77777777" w:rsidR="00162CE2" w:rsidRPr="002606DB" w:rsidRDefault="00162CE2" w:rsidP="00056F35">
      <w:pPr>
        <w:pStyle w:val="a3"/>
        <w:adjustRightInd w:val="0"/>
        <w:snapToGrid w:val="0"/>
        <w:rPr>
          <w:snapToGrid w:val="0"/>
          <w:lang w:val="pt-PT"/>
        </w:rPr>
      </w:pPr>
    </w:p>
    <w:p w14:paraId="6C678A5C" w14:textId="77777777" w:rsidR="00162CE2" w:rsidRPr="002606DB" w:rsidRDefault="00162CE2" w:rsidP="00056F35">
      <w:pPr>
        <w:pStyle w:val="a3"/>
        <w:adjustRightInd w:val="0"/>
        <w:snapToGrid w:val="0"/>
        <w:rPr>
          <w:snapToGrid w:val="0"/>
          <w:lang w:val="pt-PT"/>
        </w:rPr>
      </w:pPr>
      <w:r w:rsidRPr="002606DB">
        <w:rPr>
          <w:snapToGrid w:val="0"/>
          <w:lang w:val="pt-PT"/>
        </w:rPr>
        <w:t>É geralmente recomendada a monitorização da tensão arterial durante a terapêutica.</w:t>
      </w:r>
    </w:p>
    <w:p w14:paraId="5B33E494" w14:textId="77777777" w:rsidR="00162CE2" w:rsidRPr="002606DB" w:rsidRDefault="00162CE2" w:rsidP="00056F35">
      <w:pPr>
        <w:pStyle w:val="a3"/>
        <w:adjustRightInd w:val="0"/>
        <w:snapToGrid w:val="0"/>
        <w:rPr>
          <w:snapToGrid w:val="0"/>
          <w:lang w:val="pt-PT"/>
        </w:rPr>
      </w:pPr>
    </w:p>
    <w:p w14:paraId="3515ABA6" w14:textId="30A583B4" w:rsidR="00162CE2" w:rsidRPr="002606DB" w:rsidRDefault="00162CE2" w:rsidP="00702512">
      <w:pPr>
        <w:pStyle w:val="a3"/>
        <w:adjustRightInd w:val="0"/>
        <w:snapToGrid w:val="0"/>
        <w:ind w:right="-138"/>
        <w:rPr>
          <w:snapToGrid w:val="0"/>
          <w:lang w:val="pt-PT"/>
        </w:rPr>
      </w:pPr>
      <w:r w:rsidRPr="002606DB">
        <w:rPr>
          <w:snapToGrid w:val="0"/>
          <w:lang w:val="pt-PT"/>
        </w:rPr>
        <w:t>Na maioria dos casos</w:t>
      </w:r>
      <w:r w:rsidR="003967D2" w:rsidRPr="007155C0">
        <w:rPr>
          <w:lang w:val="pt-PT"/>
        </w:rPr>
        <w:t>,</w:t>
      </w:r>
      <w:r w:rsidRPr="002606DB">
        <w:rPr>
          <w:snapToGrid w:val="0"/>
          <w:lang w:val="pt-PT"/>
        </w:rPr>
        <w:t xml:space="preserve"> a hipertensão arterial foi controlada adequadamente através de tratamento anti-hipertensor recomendado, apropriado à situação individual do doente. Não se aconselha a</w:t>
      </w:r>
      <w:r w:rsidR="00702512" w:rsidRPr="002606DB">
        <w:rPr>
          <w:snapToGrid w:val="0"/>
          <w:lang w:val="pt-PT"/>
        </w:rPr>
        <w:t xml:space="preserve"> </w:t>
      </w:r>
      <w:r w:rsidRPr="002606DB">
        <w:rPr>
          <w:snapToGrid w:val="0"/>
          <w:lang w:val="pt-PT"/>
        </w:rPr>
        <w:t xml:space="preserve">utilização de diuréticos para controlo da hipertensão arterial em doentes que estejam a fazer regimes de quimioterapia </w:t>
      </w:r>
      <w:r w:rsidRPr="002606DB">
        <w:rPr>
          <w:snapToGrid w:val="0"/>
          <w:lang w:val="pt-PT"/>
        </w:rPr>
        <w:lastRenderedPageBreak/>
        <w:t xml:space="preserve">com base em cisplatina. Caso a hipertensão arterial seja clinicamente significativa e não possa ser adequadamente controlada com terapêutica anti-hipertensor ou caso o doente desenvolva uma crise hipertensiva ou encefalopatia hipertensiva, deve suspender-se definitivamente o tratamento com </w:t>
      </w:r>
      <w:r w:rsidR="00FB2483">
        <w:rPr>
          <w:snapToGrid w:val="0"/>
          <w:lang w:val="pt-PT"/>
        </w:rPr>
        <w:t>Vegzelma</w:t>
      </w:r>
      <w:r w:rsidRPr="002606DB">
        <w:rPr>
          <w:snapToGrid w:val="0"/>
          <w:lang w:val="pt-PT"/>
        </w:rPr>
        <w:t>.</w:t>
      </w:r>
    </w:p>
    <w:p w14:paraId="1B66CC8F" w14:textId="77777777" w:rsidR="00162CE2" w:rsidRPr="002606DB" w:rsidRDefault="00162CE2" w:rsidP="00056F35">
      <w:pPr>
        <w:adjustRightInd w:val="0"/>
        <w:snapToGrid w:val="0"/>
        <w:rPr>
          <w:snapToGrid w:val="0"/>
          <w:lang w:val="pt-PT"/>
        </w:rPr>
      </w:pPr>
    </w:p>
    <w:p w14:paraId="51C247D7" w14:textId="1855A255" w:rsidR="00162CE2" w:rsidRPr="002606DB" w:rsidRDefault="00162CE2" w:rsidP="00056F35">
      <w:pPr>
        <w:adjustRightInd w:val="0"/>
        <w:snapToGrid w:val="0"/>
        <w:rPr>
          <w:i/>
          <w:snapToGrid w:val="0"/>
          <w:lang w:val="pt-PT"/>
        </w:rPr>
      </w:pPr>
      <w:r w:rsidRPr="001C687C">
        <w:rPr>
          <w:iCs/>
          <w:snapToGrid w:val="0"/>
          <w:u w:val="single"/>
          <w:lang w:val="pt-PT"/>
        </w:rPr>
        <w:t xml:space="preserve">Síndrome de </w:t>
      </w:r>
      <w:r w:rsidR="00A33E20">
        <w:rPr>
          <w:iCs/>
          <w:snapToGrid w:val="0"/>
          <w:u w:val="single"/>
          <w:lang w:val="pt-PT"/>
        </w:rPr>
        <w:t>e</w:t>
      </w:r>
      <w:r w:rsidRPr="001C687C">
        <w:rPr>
          <w:iCs/>
          <w:snapToGrid w:val="0"/>
          <w:u w:val="single"/>
          <w:lang w:val="pt-PT"/>
        </w:rPr>
        <w:t xml:space="preserve">ncefalopatia </w:t>
      </w:r>
      <w:r w:rsidR="00A33E20">
        <w:rPr>
          <w:iCs/>
          <w:snapToGrid w:val="0"/>
          <w:u w:val="single"/>
          <w:lang w:val="pt-PT"/>
        </w:rPr>
        <w:t>p</w:t>
      </w:r>
      <w:r w:rsidRPr="001C687C">
        <w:rPr>
          <w:iCs/>
          <w:snapToGrid w:val="0"/>
          <w:u w:val="single"/>
          <w:lang w:val="pt-PT"/>
        </w:rPr>
        <w:t xml:space="preserve">osterior </w:t>
      </w:r>
      <w:r w:rsidR="00A33E20">
        <w:rPr>
          <w:iCs/>
          <w:snapToGrid w:val="0"/>
          <w:u w:val="single"/>
          <w:lang w:val="pt-PT"/>
        </w:rPr>
        <w:t>r</w:t>
      </w:r>
      <w:r w:rsidRPr="001C687C">
        <w:rPr>
          <w:iCs/>
          <w:snapToGrid w:val="0"/>
          <w:u w:val="single"/>
          <w:lang w:val="pt-PT"/>
        </w:rPr>
        <w:t>eversível (SEPR)</w:t>
      </w:r>
      <w:r w:rsidRPr="002606DB">
        <w:rPr>
          <w:iCs/>
          <w:snapToGrid w:val="0"/>
          <w:lang w:val="pt-PT"/>
        </w:rPr>
        <w:t xml:space="preserve"> (ver secção 4.8)</w:t>
      </w:r>
    </w:p>
    <w:p w14:paraId="254ADE4C" w14:textId="58BA5686" w:rsidR="00162CE2" w:rsidRPr="002606DB" w:rsidRDefault="00162CE2" w:rsidP="00056F35">
      <w:pPr>
        <w:pStyle w:val="a3"/>
        <w:adjustRightInd w:val="0"/>
        <w:snapToGrid w:val="0"/>
        <w:rPr>
          <w:snapToGrid w:val="0"/>
          <w:lang w:val="pt-PT"/>
        </w:rPr>
      </w:pPr>
      <w:r w:rsidRPr="002606DB">
        <w:rPr>
          <w:snapToGrid w:val="0"/>
          <w:lang w:val="pt-PT"/>
        </w:rPr>
        <w:t>Têm sido notificados casos raros de doentes tratados com bevacizumab que desenvolveram sinais e sintomas consistentes com SEPR, uma doença neurológica rara, que pode apresentar, entre outros, os seguintes sinais e sintomas: convulsões, cefaleia, alterações do estado mental, perturbações visuais ou cegueira cortical, com ou sem hipertensão associada. O diagnóstico de SEPR requer confirmação por imagiologia cerebral, preferencialmente imagiologia de ressonância magnética (MRI). Nos doentes que desenvolvam SEPR, recomenda-se o tratamento de sintomas específicos</w:t>
      </w:r>
      <w:r w:rsidR="003967D2" w:rsidRPr="007155C0">
        <w:rPr>
          <w:lang w:val="pt-PT"/>
        </w:rPr>
        <w:t>,</w:t>
      </w:r>
      <w:r w:rsidRPr="002606DB">
        <w:rPr>
          <w:snapToGrid w:val="0"/>
          <w:lang w:val="pt-PT"/>
        </w:rPr>
        <w:t xml:space="preserve"> incluindo o controlo da hipertensão arterial, juntamente com a interrupção do </w:t>
      </w:r>
      <w:r w:rsidR="00FB2483">
        <w:rPr>
          <w:snapToGrid w:val="0"/>
          <w:lang w:val="pt-PT"/>
        </w:rPr>
        <w:t>Vegzelma</w:t>
      </w:r>
      <w:r w:rsidRPr="002606DB">
        <w:rPr>
          <w:snapToGrid w:val="0"/>
          <w:lang w:val="pt-PT"/>
        </w:rPr>
        <w:t>. Desconhece-se a segurança de reiniciar a terapêutica com bevacizumab em doentes que tenham sofrido de SEPR.</w:t>
      </w:r>
    </w:p>
    <w:p w14:paraId="443EBF42" w14:textId="77777777" w:rsidR="00162CE2" w:rsidRPr="002606DB" w:rsidRDefault="00162CE2" w:rsidP="00056F35">
      <w:pPr>
        <w:pStyle w:val="a3"/>
        <w:adjustRightInd w:val="0"/>
        <w:snapToGrid w:val="0"/>
        <w:rPr>
          <w:snapToGrid w:val="0"/>
          <w:lang w:val="pt-PT"/>
        </w:rPr>
      </w:pPr>
    </w:p>
    <w:p w14:paraId="363C22EA" w14:textId="101F58A9" w:rsidR="00162CE2" w:rsidRPr="002606DB" w:rsidRDefault="00162CE2" w:rsidP="00056F35">
      <w:pPr>
        <w:adjustRightInd w:val="0"/>
        <w:snapToGrid w:val="0"/>
        <w:rPr>
          <w:snapToGrid w:val="0"/>
          <w:lang w:val="pt-PT"/>
        </w:rPr>
      </w:pPr>
      <w:r w:rsidRPr="001C687C">
        <w:rPr>
          <w:iCs/>
          <w:snapToGrid w:val="0"/>
          <w:u w:val="single"/>
          <w:lang w:val="pt-PT"/>
        </w:rPr>
        <w:t>Proteinúria</w:t>
      </w:r>
      <w:r w:rsidRPr="002606DB">
        <w:rPr>
          <w:i/>
          <w:snapToGrid w:val="0"/>
          <w:lang w:val="pt-PT"/>
        </w:rPr>
        <w:t xml:space="preserve"> </w:t>
      </w:r>
      <w:r w:rsidRPr="002606DB">
        <w:rPr>
          <w:snapToGrid w:val="0"/>
          <w:lang w:val="pt-PT"/>
        </w:rPr>
        <w:t>(ver secção 4.8)</w:t>
      </w:r>
    </w:p>
    <w:p w14:paraId="3C143FFA" w14:textId="6B137F22" w:rsidR="00162CE2" w:rsidRPr="002606DB" w:rsidRDefault="00162CE2" w:rsidP="00056F35">
      <w:pPr>
        <w:pStyle w:val="a3"/>
        <w:adjustRightInd w:val="0"/>
        <w:snapToGrid w:val="0"/>
        <w:rPr>
          <w:snapToGrid w:val="0"/>
          <w:lang w:val="pt-PT"/>
        </w:rPr>
      </w:pPr>
      <w:r w:rsidRPr="002606DB">
        <w:rPr>
          <w:snapToGrid w:val="0"/>
          <w:lang w:val="pt-PT"/>
        </w:rPr>
        <w:t>O doente com história clínica de hipertensão arterial pode estar em risco aumentado de desenvolver proteinúria quando submetido a tratamento com bevacizumab. Há indícios que apontam para a possibilidade de a proteinúria de qualquer Grau [US National Cancer Institute-Common Terminology Criteria for Adverse Events [NCI</w:t>
      </w:r>
      <w:r w:rsidR="000650DE">
        <w:rPr>
          <w:snapToGrid w:val="0"/>
          <w:lang w:val="pt-PT"/>
        </w:rPr>
        <w:t>-</w:t>
      </w:r>
      <w:r w:rsidRPr="002606DB">
        <w:rPr>
          <w:snapToGrid w:val="0"/>
          <w:lang w:val="pt-PT"/>
        </w:rPr>
        <w:t xml:space="preserve">CTCAE v.3] poder estar relacionada com a dose. Recomenda-se a monitorização da proteinúria por meio de análise da urina com fitas reativas antes do início e durante a terapêutica. Foi observada proteinúria de grau 4 (síndroma nefrótico) em até 1,4% dos doentes tratados com bevacizumab. </w:t>
      </w:r>
      <w:r w:rsidR="000650DE">
        <w:rPr>
          <w:snapToGrid w:val="0"/>
          <w:lang w:val="pt-PT"/>
        </w:rPr>
        <w:t>A terapêutica</w:t>
      </w:r>
      <w:r w:rsidRPr="002606DB">
        <w:rPr>
          <w:snapToGrid w:val="0"/>
          <w:lang w:val="pt-PT"/>
        </w:rPr>
        <w:t xml:space="preserve"> deve ser interrompid</w:t>
      </w:r>
      <w:r w:rsidR="00067B97" w:rsidRPr="002606DB">
        <w:rPr>
          <w:snapToGrid w:val="0"/>
          <w:lang w:val="pt-PT"/>
        </w:rPr>
        <w:t>a</w:t>
      </w:r>
      <w:r w:rsidRPr="002606DB">
        <w:rPr>
          <w:snapToGrid w:val="0"/>
          <w:lang w:val="pt-PT"/>
        </w:rPr>
        <w:t xml:space="preserve"> definitivamente nos doentes que desenvolvam síndroma nefrótico (NCI</w:t>
      </w:r>
      <w:r w:rsidR="000650DE">
        <w:rPr>
          <w:snapToGrid w:val="0"/>
          <w:lang w:val="pt-PT"/>
        </w:rPr>
        <w:t>-</w:t>
      </w:r>
      <w:r w:rsidRPr="002606DB">
        <w:rPr>
          <w:snapToGrid w:val="0"/>
          <w:lang w:val="pt-PT"/>
        </w:rPr>
        <w:t>CTCAE v.3).</w:t>
      </w:r>
    </w:p>
    <w:p w14:paraId="6FE732E8" w14:textId="77777777" w:rsidR="00162CE2" w:rsidRPr="002606DB" w:rsidRDefault="00162CE2" w:rsidP="00056F35">
      <w:pPr>
        <w:pStyle w:val="a3"/>
        <w:adjustRightInd w:val="0"/>
        <w:snapToGrid w:val="0"/>
        <w:rPr>
          <w:snapToGrid w:val="0"/>
          <w:lang w:val="pt-PT"/>
        </w:rPr>
      </w:pPr>
    </w:p>
    <w:p w14:paraId="1398ED5D" w14:textId="648BFC8E" w:rsidR="00162CE2" w:rsidRPr="002606DB" w:rsidRDefault="00162CE2" w:rsidP="00056F35">
      <w:pPr>
        <w:adjustRightInd w:val="0"/>
        <w:snapToGrid w:val="0"/>
        <w:rPr>
          <w:snapToGrid w:val="0"/>
          <w:lang w:val="pt-PT"/>
        </w:rPr>
      </w:pPr>
      <w:r w:rsidRPr="001C687C">
        <w:rPr>
          <w:iCs/>
          <w:snapToGrid w:val="0"/>
          <w:u w:val="single"/>
          <w:lang w:val="pt-PT"/>
        </w:rPr>
        <w:t>Tromboembolismo arterial</w:t>
      </w:r>
      <w:r w:rsidRPr="001C687C">
        <w:rPr>
          <w:iCs/>
          <w:snapToGrid w:val="0"/>
          <w:lang w:val="pt-PT"/>
        </w:rPr>
        <w:t xml:space="preserve"> </w:t>
      </w:r>
      <w:r w:rsidRPr="00A33E20">
        <w:rPr>
          <w:iCs/>
          <w:snapToGrid w:val="0"/>
          <w:lang w:val="pt-PT"/>
        </w:rPr>
        <w:t>(</w:t>
      </w:r>
      <w:r w:rsidRPr="002606DB">
        <w:rPr>
          <w:snapToGrid w:val="0"/>
          <w:lang w:val="pt-PT"/>
        </w:rPr>
        <w:t>ver secção 4.8)</w:t>
      </w:r>
    </w:p>
    <w:p w14:paraId="6CD6BEA8" w14:textId="6964AE52" w:rsidR="00162CE2" w:rsidRPr="002606DB" w:rsidRDefault="00162CE2" w:rsidP="00056F35">
      <w:pPr>
        <w:pStyle w:val="a3"/>
        <w:adjustRightInd w:val="0"/>
        <w:snapToGrid w:val="0"/>
        <w:rPr>
          <w:snapToGrid w:val="0"/>
          <w:lang w:val="pt-PT"/>
        </w:rPr>
      </w:pPr>
      <w:r w:rsidRPr="002606DB">
        <w:rPr>
          <w:snapToGrid w:val="0"/>
          <w:lang w:val="pt-PT"/>
        </w:rPr>
        <w:t>Em ensaios clínicos, a incidência de reações tromboembólicas arteriais, incluindo acidente vascular cerebral (AVC), acidente isquémico transitório (AIT) e enfarte do miocárdio (EM), foi maior nos doentes submetidos a tratamento com bevacizumab em associação com quimioterapia do que nos doentes a fazer apenas quimioterapia.</w:t>
      </w:r>
    </w:p>
    <w:p w14:paraId="055D23E1" w14:textId="77777777" w:rsidR="00162CE2" w:rsidRPr="002606DB" w:rsidRDefault="00162CE2" w:rsidP="00056F35">
      <w:pPr>
        <w:pStyle w:val="a3"/>
        <w:adjustRightInd w:val="0"/>
        <w:snapToGrid w:val="0"/>
        <w:rPr>
          <w:snapToGrid w:val="0"/>
          <w:lang w:val="pt-PT"/>
        </w:rPr>
      </w:pPr>
    </w:p>
    <w:p w14:paraId="61361121" w14:textId="7F962D1D" w:rsidR="00162CE2" w:rsidRPr="002606DB" w:rsidRDefault="00162CE2" w:rsidP="00056F35">
      <w:pPr>
        <w:pStyle w:val="a3"/>
        <w:adjustRightInd w:val="0"/>
        <w:snapToGrid w:val="0"/>
        <w:rPr>
          <w:snapToGrid w:val="0"/>
          <w:lang w:val="pt-PT"/>
        </w:rPr>
      </w:pPr>
      <w:r w:rsidRPr="002606DB">
        <w:rPr>
          <w:snapToGrid w:val="0"/>
          <w:lang w:val="pt-PT"/>
        </w:rPr>
        <w:t xml:space="preserve">Doentes em tratamento com bevacizumab mais quimioterapia e com história clínica de tromboembolismo arterial, diabetes ou idade superior a 65 anos apresentam um risco aumentado de desenvolvimento de reações tromboembólicas arteriais durante a terapêutica. Deve ter-se precaução ao tratar estes doentes com </w:t>
      </w:r>
      <w:r w:rsidR="00FB2483">
        <w:rPr>
          <w:color w:val="000000"/>
          <w:lang w:val="pt-PT"/>
        </w:rPr>
        <w:t>Vegzelma</w:t>
      </w:r>
      <w:r w:rsidRPr="002606DB">
        <w:rPr>
          <w:snapToGrid w:val="0"/>
          <w:lang w:val="pt-PT"/>
        </w:rPr>
        <w:t>.</w:t>
      </w:r>
    </w:p>
    <w:p w14:paraId="723C0723" w14:textId="77777777" w:rsidR="00162CE2" w:rsidRPr="002606DB" w:rsidRDefault="00162CE2" w:rsidP="00056F35">
      <w:pPr>
        <w:pStyle w:val="a3"/>
        <w:adjustRightInd w:val="0"/>
        <w:snapToGrid w:val="0"/>
        <w:rPr>
          <w:snapToGrid w:val="0"/>
          <w:lang w:val="pt-PT"/>
        </w:rPr>
      </w:pPr>
    </w:p>
    <w:p w14:paraId="03EAB5FD" w14:textId="77777777" w:rsidR="00162CE2" w:rsidRPr="002606DB" w:rsidRDefault="00162CE2" w:rsidP="00056F35">
      <w:pPr>
        <w:pStyle w:val="a3"/>
        <w:adjustRightInd w:val="0"/>
        <w:snapToGrid w:val="0"/>
        <w:rPr>
          <w:snapToGrid w:val="0"/>
          <w:lang w:val="pt-PT"/>
        </w:rPr>
      </w:pPr>
      <w:r w:rsidRPr="002606DB">
        <w:rPr>
          <w:snapToGrid w:val="0"/>
          <w:lang w:val="pt-PT"/>
        </w:rPr>
        <w:t>A terapêutica deve ser interrompida definitivamente nos doentes que desenvolvam reações tromboembólicas arteriais.</w:t>
      </w:r>
    </w:p>
    <w:p w14:paraId="5E547084" w14:textId="77777777" w:rsidR="00162CE2" w:rsidRPr="002606DB" w:rsidRDefault="00162CE2" w:rsidP="00056F35">
      <w:pPr>
        <w:pStyle w:val="a3"/>
        <w:adjustRightInd w:val="0"/>
        <w:snapToGrid w:val="0"/>
        <w:rPr>
          <w:snapToGrid w:val="0"/>
          <w:lang w:val="pt-PT"/>
        </w:rPr>
      </w:pPr>
    </w:p>
    <w:p w14:paraId="686D6E56" w14:textId="410C892A" w:rsidR="00162CE2" w:rsidRPr="002606DB" w:rsidRDefault="00162CE2" w:rsidP="00056F35">
      <w:pPr>
        <w:adjustRightInd w:val="0"/>
        <w:snapToGrid w:val="0"/>
        <w:rPr>
          <w:snapToGrid w:val="0"/>
          <w:lang w:val="pt-PT"/>
        </w:rPr>
      </w:pPr>
      <w:r w:rsidRPr="001C687C">
        <w:rPr>
          <w:iCs/>
          <w:snapToGrid w:val="0"/>
          <w:u w:val="single"/>
          <w:lang w:val="pt-PT"/>
        </w:rPr>
        <w:t>Tromboembolismo venoso</w:t>
      </w:r>
      <w:r w:rsidRPr="002606DB">
        <w:rPr>
          <w:i/>
          <w:snapToGrid w:val="0"/>
          <w:lang w:val="pt-PT"/>
        </w:rPr>
        <w:t xml:space="preserve"> </w:t>
      </w:r>
      <w:r w:rsidRPr="002606DB">
        <w:rPr>
          <w:snapToGrid w:val="0"/>
          <w:lang w:val="pt-PT"/>
        </w:rPr>
        <w:t>(ver secção 4.8)</w:t>
      </w:r>
    </w:p>
    <w:p w14:paraId="492ED925" w14:textId="5CC2E480" w:rsidR="00162CE2" w:rsidRPr="002606DB" w:rsidRDefault="00162CE2" w:rsidP="00056F35">
      <w:pPr>
        <w:pStyle w:val="a3"/>
        <w:adjustRightInd w:val="0"/>
        <w:snapToGrid w:val="0"/>
        <w:rPr>
          <w:snapToGrid w:val="0"/>
          <w:lang w:val="pt-PT"/>
        </w:rPr>
      </w:pPr>
      <w:r w:rsidRPr="002606DB">
        <w:rPr>
          <w:snapToGrid w:val="0"/>
          <w:lang w:val="pt-PT"/>
        </w:rPr>
        <w:t>Doentes em tratamento com bevacizumab podem estar em risco de desenvolver reações tromboembólicas venosas, incluindo embolia pulmonar.</w:t>
      </w:r>
    </w:p>
    <w:p w14:paraId="254D3C9B" w14:textId="50CDB1CB" w:rsidR="00162CE2" w:rsidRPr="002606DB" w:rsidRDefault="00162CE2" w:rsidP="00056F35">
      <w:pPr>
        <w:pStyle w:val="a3"/>
        <w:adjustRightInd w:val="0"/>
        <w:snapToGrid w:val="0"/>
        <w:rPr>
          <w:snapToGrid w:val="0"/>
          <w:lang w:val="pt-PT"/>
        </w:rPr>
      </w:pPr>
      <w:r w:rsidRPr="002606DB">
        <w:rPr>
          <w:snapToGrid w:val="0"/>
          <w:lang w:val="pt-PT"/>
        </w:rPr>
        <w:t>Doentes tratadas para o cancro do colo do útero com doença persistente, recorrente ou metastizada com bevacizumab em associação com paclitaxel e cisplatina podem ter um risco aumentado de acontecimentos tromboembólicos.</w:t>
      </w:r>
    </w:p>
    <w:p w14:paraId="61BD4A04" w14:textId="3F4DBAF4" w:rsidR="00162CE2" w:rsidRPr="002606DB" w:rsidRDefault="00FB2483" w:rsidP="00056F35">
      <w:pPr>
        <w:pStyle w:val="a3"/>
        <w:adjustRightInd w:val="0"/>
        <w:snapToGrid w:val="0"/>
        <w:rPr>
          <w:snapToGrid w:val="0"/>
          <w:lang w:val="pt-PT"/>
        </w:rPr>
      </w:pPr>
      <w:r>
        <w:rPr>
          <w:color w:val="000000"/>
          <w:lang w:val="pt-PT"/>
        </w:rPr>
        <w:t>Vegzelma</w:t>
      </w:r>
      <w:r w:rsidR="00162CE2" w:rsidRPr="002606DB">
        <w:rPr>
          <w:snapToGrid w:val="0"/>
          <w:lang w:val="pt-PT"/>
        </w:rPr>
        <w:t xml:space="preserve"> deve ser interrompido em doentes com reações tromboembólicas potencialmente fatais (Grau 4), incluindo embolia pulmonar (NCI-CTCAE v.3). Doentes com reações tromboembólicas de Grau ≤ 3 devem ser monitorizados de perto (NCI-CTCAE v.3).</w:t>
      </w:r>
    </w:p>
    <w:p w14:paraId="35CD554B" w14:textId="77777777" w:rsidR="00162CE2" w:rsidRPr="002606DB" w:rsidRDefault="00162CE2" w:rsidP="00056F35">
      <w:pPr>
        <w:pStyle w:val="a3"/>
        <w:adjustRightInd w:val="0"/>
        <w:snapToGrid w:val="0"/>
        <w:rPr>
          <w:snapToGrid w:val="0"/>
          <w:lang w:val="pt-PT"/>
        </w:rPr>
      </w:pPr>
    </w:p>
    <w:p w14:paraId="214DEFEC"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Hemorragia</w:t>
      </w:r>
    </w:p>
    <w:p w14:paraId="45F9E3C3" w14:textId="2EEB4390" w:rsidR="00162CE2" w:rsidRPr="002606DB" w:rsidRDefault="00162CE2" w:rsidP="00056F35">
      <w:pPr>
        <w:pStyle w:val="a3"/>
        <w:adjustRightInd w:val="0"/>
        <w:snapToGrid w:val="0"/>
        <w:rPr>
          <w:snapToGrid w:val="0"/>
          <w:lang w:val="pt-PT"/>
        </w:rPr>
      </w:pPr>
      <w:r w:rsidRPr="002606DB">
        <w:rPr>
          <w:snapToGrid w:val="0"/>
          <w:lang w:val="pt-PT"/>
        </w:rPr>
        <w:t xml:space="preserve">Os doentes tratados com bevacizumab apresentam um risco aumentado de hemorragia, principalmente hemorragia relacionada com o tumor. </w:t>
      </w:r>
      <w:r w:rsidR="00FB2483">
        <w:rPr>
          <w:color w:val="000000"/>
          <w:lang w:val="fr-CA"/>
        </w:rPr>
        <w:t>Vegzelma</w:t>
      </w:r>
      <w:r w:rsidRPr="007155C0">
        <w:rPr>
          <w:color w:val="000000"/>
          <w:lang w:val="fr-CA"/>
        </w:rPr>
        <w:t xml:space="preserve"> </w:t>
      </w:r>
      <w:r w:rsidRPr="002606DB">
        <w:rPr>
          <w:snapToGrid w:val="0"/>
          <w:lang w:val="pt-PT"/>
        </w:rPr>
        <w:t xml:space="preserve">deve ser interrompido definitivamente nos doentes em que surjam hemorragias de Grau 3 ou 4 no decurso da terapêutica com </w:t>
      </w:r>
      <w:r w:rsidR="00FB2483">
        <w:rPr>
          <w:color w:val="000000"/>
          <w:lang w:val="fr-CA"/>
        </w:rPr>
        <w:t>Vegzelma</w:t>
      </w:r>
      <w:r w:rsidRPr="002606DB">
        <w:rPr>
          <w:snapToGrid w:val="0"/>
          <w:lang w:val="pt-PT"/>
        </w:rPr>
        <w:t xml:space="preserve"> (NCI-CTCAE v.3) (ver secção 4.8).</w:t>
      </w:r>
    </w:p>
    <w:p w14:paraId="1EA37E11" w14:textId="77777777" w:rsidR="00162CE2" w:rsidRPr="002606DB" w:rsidRDefault="00162CE2" w:rsidP="00056F35">
      <w:pPr>
        <w:pStyle w:val="a3"/>
        <w:adjustRightInd w:val="0"/>
        <w:snapToGrid w:val="0"/>
        <w:rPr>
          <w:snapToGrid w:val="0"/>
          <w:lang w:val="pt-PT"/>
        </w:rPr>
      </w:pPr>
    </w:p>
    <w:p w14:paraId="01281DEF" w14:textId="128BB904" w:rsidR="00162CE2" w:rsidRPr="002606DB" w:rsidRDefault="00162CE2" w:rsidP="00056F35">
      <w:pPr>
        <w:pStyle w:val="a3"/>
        <w:adjustRightInd w:val="0"/>
        <w:snapToGrid w:val="0"/>
        <w:rPr>
          <w:snapToGrid w:val="0"/>
          <w:lang w:val="pt-PT"/>
        </w:rPr>
      </w:pPr>
      <w:r w:rsidRPr="002606DB">
        <w:rPr>
          <w:snapToGrid w:val="0"/>
          <w:lang w:val="pt-PT"/>
        </w:rPr>
        <w:t xml:space="preserve">Os doentes com metástases do SNC não tratadas foram excluídos dos ensaios clínicos com bevacizumab por rotina, com base em procedimentos imagiológicos ou sinais e sintomas. Assim, o </w:t>
      </w:r>
      <w:r w:rsidRPr="002606DB">
        <w:rPr>
          <w:snapToGrid w:val="0"/>
          <w:lang w:val="pt-PT"/>
        </w:rPr>
        <w:lastRenderedPageBreak/>
        <w:t xml:space="preserve">risco de hemorragia do SNC nestes doentes não foi avaliado prospectivamente em ensaios clínicos aleatorizados (ver secção 4.8). Os doentes devem ser monitorizados quanto a sinais e sintomas de hemorragia do SNC, e o tratamento com </w:t>
      </w:r>
      <w:r w:rsidR="00FB2483">
        <w:rPr>
          <w:color w:val="000000"/>
          <w:lang w:val="pt-PT"/>
        </w:rPr>
        <w:t>Vegzelma</w:t>
      </w:r>
      <w:r w:rsidRPr="007155C0">
        <w:rPr>
          <w:color w:val="000000"/>
          <w:lang w:val="pt-PT"/>
        </w:rPr>
        <w:t xml:space="preserve"> </w:t>
      </w:r>
      <w:r w:rsidRPr="002606DB">
        <w:rPr>
          <w:snapToGrid w:val="0"/>
          <w:lang w:val="pt-PT"/>
        </w:rPr>
        <w:t>deve ser descontinuado em casos de hemorragia intracraniana.</w:t>
      </w:r>
    </w:p>
    <w:p w14:paraId="7B10FF6F" w14:textId="77777777" w:rsidR="00162CE2" w:rsidRPr="002606DB" w:rsidRDefault="00162CE2" w:rsidP="00056F35">
      <w:pPr>
        <w:adjustRightInd w:val="0"/>
        <w:snapToGrid w:val="0"/>
        <w:rPr>
          <w:snapToGrid w:val="0"/>
          <w:lang w:val="pt-PT"/>
        </w:rPr>
      </w:pPr>
    </w:p>
    <w:p w14:paraId="56244C92" w14:textId="1024F5CC" w:rsidR="00162CE2" w:rsidRPr="002606DB" w:rsidRDefault="00162CE2" w:rsidP="00056F35">
      <w:pPr>
        <w:pStyle w:val="a3"/>
        <w:adjustRightInd w:val="0"/>
        <w:snapToGrid w:val="0"/>
        <w:rPr>
          <w:snapToGrid w:val="0"/>
          <w:lang w:val="pt-PT"/>
        </w:rPr>
      </w:pPr>
      <w:r w:rsidRPr="002606DB">
        <w:rPr>
          <w:snapToGrid w:val="0"/>
          <w:lang w:val="pt-PT"/>
        </w:rPr>
        <w:t>Não existem informações sobre o perfil de segurança do bevacizumab em doentes com diátese hemorrágica congénita, com coagulopatia adquirida ou que estejam em tratamento com anticoagulantes</w:t>
      </w:r>
      <w:r w:rsidR="003C531A">
        <w:rPr>
          <w:snapToGrid w:val="0"/>
          <w:lang w:val="pt-PT"/>
        </w:rPr>
        <w:t>,</w:t>
      </w:r>
      <w:r w:rsidRPr="002606DB">
        <w:rPr>
          <w:snapToGrid w:val="0"/>
          <w:lang w:val="pt-PT"/>
        </w:rPr>
        <w:t>na dose habitual máxima</w:t>
      </w:r>
      <w:r w:rsidR="003C531A">
        <w:rPr>
          <w:snapToGrid w:val="0"/>
          <w:lang w:val="pt-PT"/>
        </w:rPr>
        <w:t>,</w:t>
      </w:r>
      <w:r w:rsidRPr="002606DB">
        <w:rPr>
          <w:snapToGrid w:val="0"/>
          <w:lang w:val="pt-PT"/>
        </w:rPr>
        <w:t xml:space="preserve">para terapêutica do tromboembolismo antes da instituição do bevacizumab, uma vez que esses doentes foram excluídos dos ensaios clínicos. Por conseguinte, </w:t>
      </w:r>
      <w:r w:rsidR="00432171">
        <w:rPr>
          <w:snapToGrid w:val="0"/>
          <w:lang w:val="pt-PT"/>
        </w:rPr>
        <w:t xml:space="preserve">é necessária precaução, antes de </w:t>
      </w:r>
      <w:r w:rsidRPr="002606DB">
        <w:rPr>
          <w:snapToGrid w:val="0"/>
          <w:lang w:val="pt-PT"/>
        </w:rPr>
        <w:t>instituir a terapêutica nestes doentes. No entanto, aparentemente os doentes que desenvolvem trombose venosa ao receber o tratamento não apresentam uma incidência mais elevada de hemorragias de Grau igual ou superior a 3 quando submetidos a tratamento concomitante com bevacizumab e varfarina (NCI-CTCAE v.3).</w:t>
      </w:r>
    </w:p>
    <w:p w14:paraId="499A5D2C" w14:textId="77777777" w:rsidR="00162CE2" w:rsidRPr="002606DB" w:rsidRDefault="00162CE2" w:rsidP="00056F35">
      <w:pPr>
        <w:pStyle w:val="a3"/>
        <w:adjustRightInd w:val="0"/>
        <w:snapToGrid w:val="0"/>
        <w:rPr>
          <w:snapToGrid w:val="0"/>
          <w:lang w:val="pt-PT"/>
        </w:rPr>
      </w:pPr>
    </w:p>
    <w:p w14:paraId="41F53C8C"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Hemorragia pulmonar/Hemoptise</w:t>
      </w:r>
    </w:p>
    <w:p w14:paraId="78209F59" w14:textId="0633F5FD" w:rsidR="00162CE2" w:rsidRPr="002606DB" w:rsidRDefault="00162CE2" w:rsidP="00056F35">
      <w:pPr>
        <w:pStyle w:val="a3"/>
        <w:adjustRightInd w:val="0"/>
        <w:snapToGrid w:val="0"/>
        <w:rPr>
          <w:snapToGrid w:val="0"/>
          <w:lang w:val="pt-PT"/>
        </w:rPr>
      </w:pPr>
      <w:r w:rsidRPr="002606DB">
        <w:rPr>
          <w:snapToGrid w:val="0"/>
          <w:lang w:val="pt-PT"/>
        </w:rPr>
        <w:t>Doentes NSCLC tratados com bevacizumab podem ter um risco aumentado de desenvolver hemorragia pulmonar/ hemoptise grave e em alguns casos fatal. Doentes com hemorragia pulmonar/ hemoptise (volume de sangue &gt; 2,5 ml) não devem ser tratados com bevacizumab.</w:t>
      </w:r>
    </w:p>
    <w:p w14:paraId="168E0708" w14:textId="77777777" w:rsidR="00162CE2" w:rsidRPr="002606DB" w:rsidRDefault="00162CE2" w:rsidP="00056F35">
      <w:pPr>
        <w:pStyle w:val="a3"/>
        <w:adjustRightInd w:val="0"/>
        <w:snapToGrid w:val="0"/>
        <w:rPr>
          <w:snapToGrid w:val="0"/>
          <w:lang w:val="pt-PT"/>
        </w:rPr>
      </w:pPr>
    </w:p>
    <w:p w14:paraId="61B06E62"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Aneurismas e dissecções das artérias</w:t>
      </w:r>
    </w:p>
    <w:p w14:paraId="48879372" w14:textId="15458FCB" w:rsidR="00162CE2" w:rsidRPr="002606DB" w:rsidRDefault="00162CE2" w:rsidP="00056F35">
      <w:pPr>
        <w:pStyle w:val="a3"/>
        <w:adjustRightInd w:val="0"/>
        <w:snapToGrid w:val="0"/>
        <w:rPr>
          <w:snapToGrid w:val="0"/>
          <w:lang w:val="pt-PT"/>
        </w:rPr>
      </w:pPr>
      <w:r w:rsidRPr="002606DB">
        <w:rPr>
          <w:snapToGrid w:val="0"/>
          <w:lang w:val="pt-PT"/>
        </w:rPr>
        <w:t>A utilização de inibidores do VEGF em doentes que sofram ou não de hipertensão arterial poderá promover a formação de aneurismas e/ou dissecções das artérias. Este risco deve ser cuidadosamente considerado em doentes com fatores de risco como</w:t>
      </w:r>
      <w:r w:rsidR="00947A1E" w:rsidRPr="002606DB">
        <w:rPr>
          <w:snapToGrid w:val="0"/>
          <w:lang w:val="pt-PT"/>
        </w:rPr>
        <w:t>,</w:t>
      </w:r>
      <w:r w:rsidRPr="002606DB">
        <w:rPr>
          <w:snapToGrid w:val="0"/>
          <w:lang w:val="pt-PT"/>
        </w:rPr>
        <w:t xml:space="preserve"> por exemplo</w:t>
      </w:r>
      <w:r w:rsidR="00947A1E" w:rsidRPr="002606DB">
        <w:rPr>
          <w:snapToGrid w:val="0"/>
          <w:lang w:val="pt-PT"/>
        </w:rPr>
        <w:t>,</w:t>
      </w:r>
      <w:r w:rsidRPr="002606DB">
        <w:rPr>
          <w:snapToGrid w:val="0"/>
          <w:lang w:val="pt-PT"/>
        </w:rPr>
        <w:t xml:space="preserve"> hipertensão arterial ou historial de aneurisma, antes de se iniciar a terapêutica com </w:t>
      </w:r>
      <w:r w:rsidR="00FB2483">
        <w:rPr>
          <w:color w:val="000000"/>
          <w:lang w:val="pt-PT"/>
        </w:rPr>
        <w:t>Vegzelma</w:t>
      </w:r>
      <w:r w:rsidRPr="002606DB">
        <w:rPr>
          <w:snapToGrid w:val="0"/>
          <w:lang w:val="pt-PT"/>
        </w:rPr>
        <w:t>.</w:t>
      </w:r>
    </w:p>
    <w:p w14:paraId="14306132" w14:textId="77777777" w:rsidR="00162CE2" w:rsidRPr="001C687C" w:rsidRDefault="00162CE2" w:rsidP="00056F35">
      <w:pPr>
        <w:pStyle w:val="a3"/>
        <w:adjustRightInd w:val="0"/>
        <w:snapToGrid w:val="0"/>
        <w:rPr>
          <w:iCs/>
          <w:snapToGrid w:val="0"/>
          <w:u w:val="single"/>
          <w:lang w:val="pt-PT"/>
        </w:rPr>
      </w:pPr>
    </w:p>
    <w:p w14:paraId="1F0D7A68" w14:textId="0841ED91" w:rsidR="00162CE2" w:rsidRPr="002606DB" w:rsidRDefault="00162CE2" w:rsidP="00056F35">
      <w:pPr>
        <w:adjustRightInd w:val="0"/>
        <w:snapToGrid w:val="0"/>
        <w:rPr>
          <w:snapToGrid w:val="0"/>
          <w:lang w:val="pt-PT"/>
        </w:rPr>
      </w:pPr>
      <w:r w:rsidRPr="001C687C">
        <w:rPr>
          <w:iCs/>
          <w:snapToGrid w:val="0"/>
          <w:u w:val="single"/>
          <w:lang w:val="pt-PT"/>
        </w:rPr>
        <w:t>Insuficiência cardíaca congestiva (ICC)</w:t>
      </w:r>
      <w:r w:rsidRPr="002606DB">
        <w:rPr>
          <w:i/>
          <w:snapToGrid w:val="0"/>
          <w:lang w:val="pt-PT"/>
        </w:rPr>
        <w:t xml:space="preserve"> </w:t>
      </w:r>
      <w:r w:rsidRPr="002606DB">
        <w:rPr>
          <w:snapToGrid w:val="0"/>
          <w:lang w:val="pt-PT"/>
        </w:rPr>
        <w:t>(ver secção 4.8)</w:t>
      </w:r>
    </w:p>
    <w:p w14:paraId="631DA6F2" w14:textId="204CF5F9" w:rsidR="00162CE2" w:rsidRPr="002606DB" w:rsidRDefault="00162CE2" w:rsidP="00056F35">
      <w:pPr>
        <w:pStyle w:val="a3"/>
        <w:adjustRightInd w:val="0"/>
        <w:snapToGrid w:val="0"/>
        <w:rPr>
          <w:snapToGrid w:val="0"/>
          <w:lang w:val="pt-PT"/>
        </w:rPr>
      </w:pPr>
      <w:r w:rsidRPr="002606DB">
        <w:rPr>
          <w:snapToGrid w:val="0"/>
          <w:lang w:val="pt-PT"/>
        </w:rPr>
        <w:t>Em ensaios clínicos</w:t>
      </w:r>
      <w:r w:rsidR="00947A1E" w:rsidRPr="002606DB">
        <w:rPr>
          <w:snapToGrid w:val="0"/>
          <w:lang w:val="pt-PT"/>
        </w:rPr>
        <w:t>,</w:t>
      </w:r>
      <w:r w:rsidRPr="002606DB">
        <w:rPr>
          <w:snapToGrid w:val="0"/>
          <w:lang w:val="pt-PT"/>
        </w:rPr>
        <w:t xml:space="preserve"> foram notificadas reações consistentes com ICC. As ocorrências variaram desde diminuição assintomática na fração de ejeção ventricular esquerda até ICC sintomática que necessitou de tratamento ou hospitalização. Deve ter-se precaução ao tratar com bevacizumab doentes com patologia cardiovascular clinicamente significativa, tal como doença arterial coronária pré-existente ou </w:t>
      </w:r>
      <w:r w:rsidR="00F870B4">
        <w:rPr>
          <w:snapToGrid w:val="0"/>
          <w:lang w:val="pt-PT"/>
        </w:rPr>
        <w:t>ICC</w:t>
      </w:r>
      <w:r w:rsidRPr="002606DB">
        <w:rPr>
          <w:snapToGrid w:val="0"/>
          <w:lang w:val="pt-PT"/>
        </w:rPr>
        <w:t>.</w:t>
      </w:r>
    </w:p>
    <w:p w14:paraId="039A707A" w14:textId="77777777" w:rsidR="00162CE2" w:rsidRPr="002606DB" w:rsidRDefault="00162CE2" w:rsidP="00056F35">
      <w:pPr>
        <w:pStyle w:val="a3"/>
        <w:adjustRightInd w:val="0"/>
        <w:snapToGrid w:val="0"/>
        <w:rPr>
          <w:snapToGrid w:val="0"/>
          <w:lang w:val="pt-PT"/>
        </w:rPr>
      </w:pPr>
    </w:p>
    <w:p w14:paraId="56D9B4A3" w14:textId="4CEC08DE" w:rsidR="00162CE2" w:rsidRPr="002606DB" w:rsidRDefault="00162CE2" w:rsidP="00056F35">
      <w:pPr>
        <w:pStyle w:val="a3"/>
        <w:adjustRightInd w:val="0"/>
        <w:snapToGrid w:val="0"/>
        <w:rPr>
          <w:snapToGrid w:val="0"/>
          <w:lang w:val="pt-PT"/>
        </w:rPr>
      </w:pPr>
      <w:r w:rsidRPr="002606DB">
        <w:rPr>
          <w:snapToGrid w:val="0"/>
          <w:lang w:val="pt-PT"/>
        </w:rPr>
        <w:t>A maioria dos doentes que teve ICC tinha cancro da mama metastizado e tinha sido anteriormente tratada com antraciclinas, tinha feito radioterapia à parede torácica esquerda ou tinha outro fator de risco para a ICC.</w:t>
      </w:r>
    </w:p>
    <w:p w14:paraId="78F3B385" w14:textId="77777777" w:rsidR="00162CE2" w:rsidRPr="002606DB" w:rsidRDefault="00162CE2" w:rsidP="00056F35">
      <w:pPr>
        <w:pStyle w:val="a3"/>
        <w:adjustRightInd w:val="0"/>
        <w:snapToGrid w:val="0"/>
        <w:rPr>
          <w:snapToGrid w:val="0"/>
          <w:lang w:val="pt-PT"/>
        </w:rPr>
      </w:pPr>
    </w:p>
    <w:p w14:paraId="383ADB25" w14:textId="77777777" w:rsidR="00162CE2" w:rsidRPr="002606DB" w:rsidRDefault="00162CE2" w:rsidP="00056F35">
      <w:pPr>
        <w:pStyle w:val="a3"/>
        <w:adjustRightInd w:val="0"/>
        <w:snapToGrid w:val="0"/>
        <w:rPr>
          <w:snapToGrid w:val="0"/>
          <w:lang w:val="pt-PT"/>
        </w:rPr>
      </w:pPr>
      <w:r w:rsidRPr="002606DB">
        <w:rPr>
          <w:snapToGrid w:val="0"/>
          <w:lang w:val="pt-PT"/>
        </w:rPr>
        <w:t>Em doentes no ensaio AVF3694g que receberam tratamento com antraciclinas e que não tinham recebido antraciclinas anteriormente, não foi observada incidência aumentada de ICC de qualquer Grau no grupo bevacizumab + antraciclina comparativamente ao tratamento com antraciclinas apenas. Reações de ICC de Grau 3 ou superior foram de certa forma mais frequentes em doentes a receber bevacizumab em associação com quimioterapia do que em doentes a receber apenas quimioterapia.</w:t>
      </w:r>
    </w:p>
    <w:p w14:paraId="44F5EE96" w14:textId="161D1301" w:rsidR="00162CE2" w:rsidRPr="002606DB" w:rsidRDefault="00162CE2" w:rsidP="00056F35">
      <w:pPr>
        <w:pStyle w:val="a3"/>
        <w:adjustRightInd w:val="0"/>
        <w:snapToGrid w:val="0"/>
        <w:jc w:val="both"/>
        <w:rPr>
          <w:snapToGrid w:val="0"/>
          <w:lang w:val="pt-PT"/>
        </w:rPr>
      </w:pPr>
      <w:r w:rsidRPr="002606DB">
        <w:rPr>
          <w:snapToGrid w:val="0"/>
          <w:lang w:val="pt-PT"/>
        </w:rPr>
        <w:t>Tal facto é consistente com os resultados obtidos em doentes de outros estudos em cancro da mama metastizado que não receberam tratamento concomitante com antraciclinas (NCI-CTCAE v.3) (ver secção 4.8).</w:t>
      </w:r>
    </w:p>
    <w:p w14:paraId="29CEC9A9" w14:textId="77777777" w:rsidR="00162CE2" w:rsidRPr="002606DB" w:rsidRDefault="00162CE2" w:rsidP="00056F35">
      <w:pPr>
        <w:pStyle w:val="a3"/>
        <w:adjustRightInd w:val="0"/>
        <w:snapToGrid w:val="0"/>
        <w:rPr>
          <w:snapToGrid w:val="0"/>
          <w:lang w:val="pt-PT"/>
        </w:rPr>
      </w:pPr>
    </w:p>
    <w:p w14:paraId="7D1B11B6" w14:textId="2FB01609" w:rsidR="00162CE2" w:rsidRPr="002606DB" w:rsidRDefault="00162CE2" w:rsidP="00056F35">
      <w:pPr>
        <w:adjustRightInd w:val="0"/>
        <w:snapToGrid w:val="0"/>
        <w:rPr>
          <w:snapToGrid w:val="0"/>
          <w:lang w:val="pt-PT"/>
        </w:rPr>
      </w:pPr>
      <w:r w:rsidRPr="001C687C">
        <w:rPr>
          <w:iCs/>
          <w:snapToGrid w:val="0"/>
          <w:u w:val="single"/>
          <w:lang w:val="pt-PT"/>
        </w:rPr>
        <w:t>Neutropenia e infeções</w:t>
      </w:r>
      <w:r w:rsidRPr="002606DB">
        <w:rPr>
          <w:i/>
          <w:snapToGrid w:val="0"/>
          <w:lang w:val="pt-PT"/>
        </w:rPr>
        <w:t xml:space="preserve"> </w:t>
      </w:r>
      <w:r w:rsidRPr="002606DB">
        <w:rPr>
          <w:snapToGrid w:val="0"/>
          <w:lang w:val="pt-PT"/>
        </w:rPr>
        <w:t>(ver secção 4.8)</w:t>
      </w:r>
    </w:p>
    <w:p w14:paraId="12837199" w14:textId="43851FFB" w:rsidR="00162CE2" w:rsidRPr="002606DB" w:rsidRDefault="00162CE2" w:rsidP="00056F35">
      <w:pPr>
        <w:pStyle w:val="a3"/>
        <w:adjustRightInd w:val="0"/>
        <w:snapToGrid w:val="0"/>
        <w:rPr>
          <w:snapToGrid w:val="0"/>
          <w:lang w:val="pt-PT"/>
        </w:rPr>
      </w:pPr>
      <w:r w:rsidRPr="002606DB">
        <w:rPr>
          <w:snapToGrid w:val="0"/>
          <w:lang w:val="pt-PT"/>
        </w:rPr>
        <w:t>Em doentes tratados com alguns regimes de quimioterapia mielotóxica mais bevacizumab</w:t>
      </w:r>
      <w:r w:rsidR="00947A1E" w:rsidRPr="002606DB">
        <w:rPr>
          <w:snapToGrid w:val="0"/>
          <w:lang w:val="pt-PT"/>
        </w:rPr>
        <w:t>,</w:t>
      </w:r>
      <w:r w:rsidRPr="002606DB">
        <w:rPr>
          <w:snapToGrid w:val="0"/>
          <w:lang w:val="pt-PT"/>
        </w:rPr>
        <w:t xml:space="preserve"> observou-se uma taxa aumentada de neutropenia grave, neutropenia febril ou infeção com ou sem neutropenia grave (incluindo alguns casos fatais), comparativamente com a observada com regimes contendo apenas quimioterapia. Tal foi observado principalmente no tratamento do </w:t>
      </w:r>
      <w:r w:rsidR="004B502A">
        <w:rPr>
          <w:snapToGrid w:val="0"/>
          <w:lang w:val="pt-PT"/>
        </w:rPr>
        <w:t xml:space="preserve">NSCLC </w:t>
      </w:r>
      <w:r w:rsidRPr="002606DB">
        <w:rPr>
          <w:snapToGrid w:val="0"/>
          <w:lang w:val="pt-PT"/>
        </w:rPr>
        <w:t xml:space="preserve"> e do </w:t>
      </w:r>
      <w:r w:rsidR="004B502A">
        <w:rPr>
          <w:snapToGrid w:val="0"/>
          <w:lang w:val="pt-PT"/>
        </w:rPr>
        <w:t>mBC</w:t>
      </w:r>
      <w:r w:rsidRPr="002606DB">
        <w:rPr>
          <w:snapToGrid w:val="0"/>
          <w:lang w:val="pt-PT"/>
        </w:rPr>
        <w:t>, em associação com terapêuticas</w:t>
      </w:r>
      <w:r w:rsidR="005A66FA">
        <w:rPr>
          <w:snapToGrid w:val="0"/>
          <w:lang w:val="pt-PT"/>
        </w:rPr>
        <w:t xml:space="preserve"> </w:t>
      </w:r>
      <w:r w:rsidR="00E42AF0">
        <w:rPr>
          <w:snapToGrid w:val="0"/>
          <w:lang w:val="pt-PT"/>
        </w:rPr>
        <w:t>baseada em</w:t>
      </w:r>
      <w:r w:rsidR="00E42AF0" w:rsidRPr="002606DB">
        <w:rPr>
          <w:snapToGrid w:val="0"/>
          <w:lang w:val="pt-PT"/>
        </w:rPr>
        <w:t xml:space="preserve"> </w:t>
      </w:r>
      <w:r w:rsidRPr="002606DB">
        <w:rPr>
          <w:snapToGrid w:val="0"/>
          <w:lang w:val="pt-PT"/>
        </w:rPr>
        <w:t>compostos de platina ou com taxanos e no tratamento do cancro do colo do útero persistente, recorrente ou metastizad</w:t>
      </w:r>
      <w:r w:rsidR="00EF7E67">
        <w:rPr>
          <w:snapToGrid w:val="0"/>
          <w:lang w:val="pt-PT"/>
        </w:rPr>
        <w:t>o</w:t>
      </w:r>
      <w:r w:rsidRPr="002606DB">
        <w:rPr>
          <w:snapToGrid w:val="0"/>
          <w:lang w:val="pt-PT"/>
        </w:rPr>
        <w:t xml:space="preserve"> em associação com paclitaxel e topotecano.</w:t>
      </w:r>
    </w:p>
    <w:p w14:paraId="57A9C56F" w14:textId="77777777" w:rsidR="00162CE2" w:rsidRPr="002606DB" w:rsidRDefault="00162CE2" w:rsidP="00056F35">
      <w:pPr>
        <w:pStyle w:val="a3"/>
        <w:adjustRightInd w:val="0"/>
        <w:snapToGrid w:val="0"/>
        <w:rPr>
          <w:snapToGrid w:val="0"/>
          <w:lang w:val="pt-PT"/>
        </w:rPr>
      </w:pPr>
    </w:p>
    <w:p w14:paraId="27081EC6" w14:textId="50B8256D" w:rsidR="00162CE2" w:rsidRPr="002606DB" w:rsidRDefault="00162CE2" w:rsidP="00056F35">
      <w:pPr>
        <w:adjustRightInd w:val="0"/>
        <w:snapToGrid w:val="0"/>
        <w:rPr>
          <w:snapToGrid w:val="0"/>
          <w:lang w:val="pt-PT"/>
        </w:rPr>
      </w:pPr>
      <w:r w:rsidRPr="001C687C">
        <w:rPr>
          <w:iCs/>
          <w:snapToGrid w:val="0"/>
          <w:u w:val="single"/>
          <w:lang w:val="pt-PT"/>
        </w:rPr>
        <w:t>Reações de hipersensibilidade</w:t>
      </w:r>
      <w:r w:rsidR="00CA5E1C">
        <w:rPr>
          <w:iCs/>
          <w:snapToGrid w:val="0"/>
          <w:u w:val="single"/>
          <w:lang w:val="pt-PT"/>
        </w:rPr>
        <w:t xml:space="preserve"> </w:t>
      </w:r>
      <w:r w:rsidR="00CA5E1C" w:rsidRPr="00CA5E1C">
        <w:rPr>
          <w:iCs/>
          <w:snapToGrid w:val="0"/>
          <w:u w:val="single"/>
          <w:lang w:val="pt-PT"/>
        </w:rPr>
        <w:t>(incluindo choque anafilático)</w:t>
      </w:r>
      <w:r w:rsidRPr="001C687C">
        <w:rPr>
          <w:iCs/>
          <w:snapToGrid w:val="0"/>
          <w:u w:val="single"/>
          <w:lang w:val="pt-PT"/>
        </w:rPr>
        <w:t>/reações à perfusão</w:t>
      </w:r>
      <w:r w:rsidRPr="002606DB">
        <w:rPr>
          <w:i/>
          <w:snapToGrid w:val="0"/>
          <w:lang w:val="pt-PT"/>
        </w:rPr>
        <w:t xml:space="preserve"> </w:t>
      </w:r>
      <w:r w:rsidRPr="002606DB">
        <w:rPr>
          <w:snapToGrid w:val="0"/>
          <w:lang w:val="pt-PT"/>
        </w:rPr>
        <w:t>(ver secção 4.8)</w:t>
      </w:r>
    </w:p>
    <w:p w14:paraId="7D915789" w14:textId="0A6E0578" w:rsidR="00162CE2" w:rsidRPr="002606DB" w:rsidRDefault="00162CE2" w:rsidP="00056F35">
      <w:pPr>
        <w:pStyle w:val="a3"/>
        <w:adjustRightInd w:val="0"/>
        <w:snapToGrid w:val="0"/>
        <w:rPr>
          <w:snapToGrid w:val="0"/>
          <w:lang w:val="pt-PT"/>
        </w:rPr>
      </w:pPr>
      <w:r w:rsidRPr="002606DB">
        <w:rPr>
          <w:snapToGrid w:val="0"/>
          <w:lang w:val="pt-PT"/>
        </w:rPr>
        <w:t>Os doentes podem estar em risco de desenvolver reações à perfusão</w:t>
      </w:r>
      <w:r w:rsidR="00947A1E">
        <w:rPr>
          <w:snapToGrid w:val="0"/>
          <w:lang w:val="pt-PT"/>
        </w:rPr>
        <w:t>/</w:t>
      </w:r>
      <w:r w:rsidR="00DD0709" w:rsidRPr="007155C0">
        <w:rPr>
          <w:lang w:val="pt-PT"/>
        </w:rPr>
        <w:t xml:space="preserve"> reações de hipersensibilidade</w:t>
      </w:r>
      <w:r w:rsidR="00CA5E1C">
        <w:rPr>
          <w:snapToGrid w:val="0"/>
          <w:lang w:val="pt-PT"/>
        </w:rPr>
        <w:t xml:space="preserve"> </w:t>
      </w:r>
      <w:r w:rsidR="00CA5E1C" w:rsidRPr="00CA5E1C">
        <w:rPr>
          <w:snapToGrid w:val="0"/>
          <w:lang w:val="pt-PT"/>
        </w:rPr>
        <w:t>(incluindo choque anafilático)</w:t>
      </w:r>
      <w:r w:rsidRPr="002606DB">
        <w:rPr>
          <w:snapToGrid w:val="0"/>
          <w:lang w:val="pt-PT"/>
        </w:rPr>
        <w:t xml:space="preserve">. É recomendada uma monitorização contínua do doente durante e após </w:t>
      </w:r>
      <w:r w:rsidRPr="002606DB">
        <w:rPr>
          <w:snapToGrid w:val="0"/>
          <w:lang w:val="pt-PT"/>
        </w:rPr>
        <w:lastRenderedPageBreak/>
        <w:t>a administração de bevacizumab, tal como esperado para a perfusão de qualquer terapêutica com um anticorpo monoclonal humanizado. Se ocorrer uma reação à perfusão, esta deverá ser interrompida e deverão ser administradas as terapêuticas medicamentosas apropriadas. Não é necessária pré-medicação sistemática.</w:t>
      </w:r>
    </w:p>
    <w:p w14:paraId="4BD81928" w14:textId="77777777" w:rsidR="00162CE2" w:rsidRPr="002606DB" w:rsidRDefault="00162CE2" w:rsidP="00056F35">
      <w:pPr>
        <w:adjustRightInd w:val="0"/>
        <w:snapToGrid w:val="0"/>
        <w:rPr>
          <w:snapToGrid w:val="0"/>
          <w:lang w:val="pt-PT"/>
        </w:rPr>
      </w:pPr>
    </w:p>
    <w:p w14:paraId="3C49ED12" w14:textId="61BD3D74" w:rsidR="00162CE2" w:rsidRPr="002606DB" w:rsidRDefault="00162CE2" w:rsidP="00056F35">
      <w:pPr>
        <w:adjustRightInd w:val="0"/>
        <w:snapToGrid w:val="0"/>
        <w:rPr>
          <w:snapToGrid w:val="0"/>
          <w:lang w:val="pt-PT"/>
        </w:rPr>
      </w:pPr>
      <w:r w:rsidRPr="001C687C">
        <w:rPr>
          <w:iCs/>
          <w:snapToGrid w:val="0"/>
          <w:u w:val="single"/>
          <w:lang w:val="pt-PT"/>
        </w:rPr>
        <w:t>Osteonecrose da mandíbula (ONM)</w:t>
      </w:r>
      <w:r w:rsidRPr="002606DB">
        <w:rPr>
          <w:i/>
          <w:snapToGrid w:val="0"/>
          <w:lang w:val="pt-PT"/>
        </w:rPr>
        <w:t xml:space="preserve"> </w:t>
      </w:r>
      <w:r w:rsidRPr="002606DB">
        <w:rPr>
          <w:snapToGrid w:val="0"/>
          <w:lang w:val="pt-PT"/>
        </w:rPr>
        <w:t>(ver secção 4.8)</w:t>
      </w:r>
    </w:p>
    <w:p w14:paraId="7B18A7B3" w14:textId="37775641" w:rsidR="00162CE2" w:rsidRPr="002606DB" w:rsidRDefault="00162CE2" w:rsidP="00056F35">
      <w:pPr>
        <w:pStyle w:val="a3"/>
        <w:adjustRightInd w:val="0"/>
        <w:snapToGrid w:val="0"/>
        <w:rPr>
          <w:snapToGrid w:val="0"/>
          <w:lang w:val="pt-PT"/>
        </w:rPr>
      </w:pPr>
      <w:r w:rsidRPr="002606DB">
        <w:rPr>
          <w:snapToGrid w:val="0"/>
          <w:lang w:val="pt-PT"/>
        </w:rPr>
        <w:t>Foram notificados casos de ONM em doentes oncológicos tratados com bevacizumab, a maioria dos quais tinha recebido tratamento intravenoso prévio ou concomitante com bifosfonatos, para o qual a ONM é um risco identificado. Deve ter-se precaução quando bevacizumab e bifosfonatos intravenosos são administrados simultaneamente ou sequencialmente.</w:t>
      </w:r>
    </w:p>
    <w:p w14:paraId="7BE667E6" w14:textId="77777777" w:rsidR="00162CE2" w:rsidRPr="002606DB" w:rsidRDefault="00162CE2" w:rsidP="00056F35">
      <w:pPr>
        <w:pStyle w:val="a3"/>
        <w:adjustRightInd w:val="0"/>
        <w:snapToGrid w:val="0"/>
        <w:rPr>
          <w:snapToGrid w:val="0"/>
          <w:lang w:val="pt-PT"/>
        </w:rPr>
      </w:pPr>
    </w:p>
    <w:p w14:paraId="512CD5B8" w14:textId="28AA2136" w:rsidR="00162CE2" w:rsidRPr="002606DB" w:rsidRDefault="00162CE2" w:rsidP="00056F35">
      <w:pPr>
        <w:pStyle w:val="a3"/>
        <w:adjustRightInd w:val="0"/>
        <w:snapToGrid w:val="0"/>
        <w:rPr>
          <w:snapToGrid w:val="0"/>
          <w:lang w:val="pt-PT"/>
        </w:rPr>
      </w:pPr>
      <w:r w:rsidRPr="002606DB">
        <w:rPr>
          <w:snapToGrid w:val="0"/>
          <w:lang w:val="pt-PT"/>
        </w:rPr>
        <w:t>Procedimentos dentários invasivos são também um fator de risco identificado. Deve considerar-se a realização de um exame dentário e acompanhamento dentário preventivo apropriado antes</w:t>
      </w:r>
      <w:r w:rsidR="00C433C0">
        <w:rPr>
          <w:snapToGrid w:val="0"/>
          <w:lang w:val="pt-PT"/>
        </w:rPr>
        <w:t xml:space="preserve"> de</w:t>
      </w:r>
      <w:r w:rsidRPr="002606DB">
        <w:rPr>
          <w:snapToGrid w:val="0"/>
          <w:lang w:val="pt-PT"/>
        </w:rPr>
        <w:t xml:space="preserve"> iniciar tratamento com </w:t>
      </w:r>
      <w:r w:rsidR="00FB2483">
        <w:rPr>
          <w:color w:val="000000"/>
          <w:lang w:val="pt-PT"/>
        </w:rPr>
        <w:t>Vegzelma</w:t>
      </w:r>
      <w:r w:rsidRPr="002606DB">
        <w:rPr>
          <w:snapToGrid w:val="0"/>
          <w:lang w:val="pt-PT"/>
        </w:rPr>
        <w:t>. Se possível</w:t>
      </w:r>
      <w:r w:rsidR="00577CA5" w:rsidRPr="007155C0">
        <w:rPr>
          <w:lang w:val="fr-CA"/>
        </w:rPr>
        <w:t>,</w:t>
      </w:r>
      <w:r w:rsidRPr="002606DB">
        <w:rPr>
          <w:snapToGrid w:val="0"/>
          <w:lang w:val="pt-PT"/>
        </w:rPr>
        <w:t xml:space="preserve"> devem ser evitados procedimentos dentários invasivos em doentes que receberam anteriormente ou que estão a receber bifosfonatos intravenosos.</w:t>
      </w:r>
    </w:p>
    <w:p w14:paraId="400FD4BA" w14:textId="77777777" w:rsidR="00162CE2" w:rsidRPr="002606DB" w:rsidRDefault="00162CE2" w:rsidP="00056F35">
      <w:pPr>
        <w:pStyle w:val="a3"/>
        <w:adjustRightInd w:val="0"/>
        <w:snapToGrid w:val="0"/>
        <w:rPr>
          <w:snapToGrid w:val="0"/>
          <w:lang w:val="pt-PT"/>
        </w:rPr>
      </w:pPr>
    </w:p>
    <w:p w14:paraId="3A60B817"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Utilização intravítrea</w:t>
      </w:r>
    </w:p>
    <w:p w14:paraId="2B832000" w14:textId="21C8CC84" w:rsidR="00162CE2" w:rsidRPr="002606DB" w:rsidRDefault="00FB2483" w:rsidP="00056F35">
      <w:pPr>
        <w:pStyle w:val="a3"/>
        <w:adjustRightInd w:val="0"/>
        <w:snapToGrid w:val="0"/>
        <w:rPr>
          <w:snapToGrid w:val="0"/>
          <w:lang w:val="pt-PT"/>
        </w:rPr>
      </w:pPr>
      <w:r>
        <w:rPr>
          <w:color w:val="000000"/>
          <w:lang w:val="en-GB"/>
        </w:rPr>
        <w:t>Vegzelma</w:t>
      </w:r>
      <w:r w:rsidR="00162CE2" w:rsidRPr="002606DB">
        <w:rPr>
          <w:color w:val="000000"/>
          <w:lang w:val="en-GB"/>
        </w:rPr>
        <w:t xml:space="preserve"> </w:t>
      </w:r>
      <w:r w:rsidR="00162CE2" w:rsidRPr="002606DB">
        <w:rPr>
          <w:snapToGrid w:val="0"/>
          <w:lang w:val="pt-PT"/>
        </w:rPr>
        <w:t>não é formulado para utilização intravítrea.</w:t>
      </w:r>
    </w:p>
    <w:p w14:paraId="606F6B14" w14:textId="77777777" w:rsidR="00162CE2" w:rsidRPr="002606DB" w:rsidRDefault="00162CE2" w:rsidP="00056F35">
      <w:pPr>
        <w:pStyle w:val="a3"/>
        <w:adjustRightInd w:val="0"/>
        <w:snapToGrid w:val="0"/>
        <w:rPr>
          <w:snapToGrid w:val="0"/>
          <w:lang w:val="pt-PT"/>
        </w:rPr>
      </w:pPr>
    </w:p>
    <w:p w14:paraId="2D6BB842"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Afeções oculares</w:t>
      </w:r>
    </w:p>
    <w:p w14:paraId="18887539" w14:textId="35144836" w:rsidR="00162CE2" w:rsidRPr="002606DB" w:rsidRDefault="00162CE2" w:rsidP="00056F35">
      <w:pPr>
        <w:pStyle w:val="a3"/>
        <w:adjustRightInd w:val="0"/>
        <w:snapToGrid w:val="0"/>
        <w:rPr>
          <w:snapToGrid w:val="0"/>
          <w:lang w:val="pt-PT"/>
        </w:rPr>
      </w:pPr>
      <w:r w:rsidRPr="002606DB">
        <w:rPr>
          <w:snapToGrid w:val="0"/>
          <w:lang w:val="pt-PT"/>
        </w:rPr>
        <w:t>Foram notificados casos individuais e conjuntos de reações adversas oculares graves após a utilização intravítrea não aprovada de bevacizumab manipulado a partir de frascos para injetáveis aprovados para administração intravenosa em doentes oncológicos. Estas reações incluíram endoftalmite infeciosa, inflamação intraocular</w:t>
      </w:r>
      <w:r w:rsidR="00577CA5" w:rsidRPr="007155C0">
        <w:rPr>
          <w:lang w:val="pt-PT"/>
        </w:rPr>
        <w:t>,</w:t>
      </w:r>
      <w:r w:rsidRPr="002606DB">
        <w:rPr>
          <w:snapToGrid w:val="0"/>
          <w:lang w:val="pt-PT"/>
        </w:rPr>
        <w:t xml:space="preserve"> tal como endoftalmite estéril, uveíte e vitrite, descolamento da retina, rutura epitelial da pigmentação da retina, pressão intraocular aumentada, hemorragia intraocular</w:t>
      </w:r>
      <w:r w:rsidR="00577CA5" w:rsidRPr="007155C0">
        <w:rPr>
          <w:lang w:val="pt-PT"/>
        </w:rPr>
        <w:t>,</w:t>
      </w:r>
      <w:r w:rsidRPr="002606DB">
        <w:rPr>
          <w:snapToGrid w:val="0"/>
          <w:lang w:val="pt-PT"/>
        </w:rPr>
        <w:t xml:space="preserve"> tal como hemorragia no vítreo</w:t>
      </w:r>
      <w:r w:rsidR="00577CA5" w:rsidRPr="007155C0">
        <w:rPr>
          <w:lang w:val="pt-PT"/>
        </w:rPr>
        <w:t>,</w:t>
      </w:r>
      <w:r w:rsidRPr="002606DB">
        <w:rPr>
          <w:snapToGrid w:val="0"/>
          <w:lang w:val="pt-PT"/>
        </w:rPr>
        <w:t xml:space="preserve"> ou hemorragia retiniana e hemorragia da conjuntiva. Algumas destas reações resultaram em perda de visão de vários Graus, incluindo cegueira permanente.</w:t>
      </w:r>
    </w:p>
    <w:p w14:paraId="4605DCDB" w14:textId="77777777" w:rsidR="00162CE2" w:rsidRPr="002606DB" w:rsidRDefault="00162CE2" w:rsidP="00056F35">
      <w:pPr>
        <w:pStyle w:val="a3"/>
        <w:adjustRightInd w:val="0"/>
        <w:snapToGrid w:val="0"/>
        <w:rPr>
          <w:snapToGrid w:val="0"/>
          <w:lang w:val="pt-PT"/>
        </w:rPr>
      </w:pPr>
    </w:p>
    <w:p w14:paraId="69F68C88"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Efeitos sistémicos após utilização intravítrea</w:t>
      </w:r>
    </w:p>
    <w:p w14:paraId="327A287B" w14:textId="4B46455A" w:rsidR="00162CE2" w:rsidRPr="002606DB" w:rsidRDefault="00162CE2" w:rsidP="00056F35">
      <w:pPr>
        <w:pStyle w:val="a3"/>
        <w:adjustRightInd w:val="0"/>
        <w:snapToGrid w:val="0"/>
        <w:rPr>
          <w:snapToGrid w:val="0"/>
          <w:lang w:val="pt-PT"/>
        </w:rPr>
      </w:pPr>
      <w:r w:rsidRPr="002606DB">
        <w:rPr>
          <w:snapToGrid w:val="0"/>
          <w:lang w:val="pt-PT"/>
        </w:rPr>
        <w:t>Foi demonstrada uma diminuição da concentração do VEGF circulante após terapêutica anti</w:t>
      </w:r>
      <w:r w:rsidR="009220BB" w:rsidRPr="002606DB">
        <w:rPr>
          <w:snapToGrid w:val="0"/>
          <w:lang w:val="pt-PT"/>
        </w:rPr>
        <w:noBreakHyphen/>
      </w:r>
      <w:r w:rsidRPr="002606DB">
        <w:rPr>
          <w:snapToGrid w:val="0"/>
          <w:lang w:val="pt-PT"/>
        </w:rPr>
        <w:t>VEGF intravítrea. Foram notificadas reações adversas sistémicas após injeção intravítrea de inibidores do VEGF, incluindo hemorragias não oculares e reações tromboembólicas arteriais.</w:t>
      </w:r>
    </w:p>
    <w:p w14:paraId="136FBFD1" w14:textId="77777777" w:rsidR="00162CE2" w:rsidRPr="002606DB" w:rsidRDefault="00162CE2" w:rsidP="00056F35">
      <w:pPr>
        <w:pStyle w:val="a3"/>
        <w:adjustRightInd w:val="0"/>
        <w:snapToGrid w:val="0"/>
        <w:rPr>
          <w:snapToGrid w:val="0"/>
          <w:lang w:val="pt-PT"/>
        </w:rPr>
      </w:pPr>
    </w:p>
    <w:p w14:paraId="411E7331" w14:textId="582B6A32" w:rsidR="00162CE2" w:rsidRPr="001C687C" w:rsidRDefault="00162CE2" w:rsidP="00056F35">
      <w:pPr>
        <w:adjustRightInd w:val="0"/>
        <w:snapToGrid w:val="0"/>
        <w:rPr>
          <w:iCs/>
          <w:snapToGrid w:val="0"/>
          <w:u w:val="single"/>
          <w:lang w:val="pt-PT"/>
        </w:rPr>
      </w:pPr>
      <w:r w:rsidRPr="001C687C">
        <w:rPr>
          <w:iCs/>
          <w:snapToGrid w:val="0"/>
          <w:u w:val="single"/>
          <w:lang w:val="pt-PT"/>
        </w:rPr>
        <w:t>Insuficiência ovárica/fertilidade</w:t>
      </w:r>
    </w:p>
    <w:p w14:paraId="4835F677" w14:textId="2F5AAAC3" w:rsidR="00162CE2" w:rsidRDefault="009220BB" w:rsidP="00056F35">
      <w:pPr>
        <w:pStyle w:val="a3"/>
        <w:adjustRightInd w:val="0"/>
        <w:snapToGrid w:val="0"/>
        <w:rPr>
          <w:rFonts w:eastAsia="맑은 고딕"/>
          <w:snapToGrid w:val="0"/>
          <w:lang w:val="pt-PT" w:eastAsia="ko-KR"/>
        </w:rPr>
      </w:pPr>
      <w:r w:rsidRPr="002606DB">
        <w:rPr>
          <w:snapToGrid w:val="0"/>
          <w:lang w:val="pt-PT"/>
        </w:rPr>
        <w:t>O b</w:t>
      </w:r>
      <w:r w:rsidR="00162CE2" w:rsidRPr="002606DB">
        <w:rPr>
          <w:snapToGrid w:val="0"/>
          <w:lang w:val="pt-PT"/>
        </w:rPr>
        <w:t>evacizumab pode comprometer a fertilidade feminina (ver secções 4.6 e 4.8). Por esse motivo, estratégias de preservação da fertilidade devem ser discutidas com as mulheres com potencial para engravidar</w:t>
      </w:r>
      <w:r w:rsidR="00577CA5" w:rsidRPr="007155C0">
        <w:rPr>
          <w:lang w:val="pt-PT"/>
        </w:rPr>
        <w:t>,</w:t>
      </w:r>
      <w:r w:rsidR="00162CE2" w:rsidRPr="002606DB">
        <w:rPr>
          <w:snapToGrid w:val="0"/>
          <w:lang w:val="pt-PT"/>
        </w:rPr>
        <w:t xml:space="preserve"> antes do início do tratamento com </w:t>
      </w:r>
      <w:r w:rsidR="00FB2483">
        <w:rPr>
          <w:color w:val="000000"/>
          <w:lang w:val="pt-PT"/>
        </w:rPr>
        <w:t>Vegzelma</w:t>
      </w:r>
      <w:r w:rsidR="00162CE2" w:rsidRPr="002606DB">
        <w:rPr>
          <w:snapToGrid w:val="0"/>
          <w:lang w:val="pt-PT"/>
        </w:rPr>
        <w:t>.</w:t>
      </w:r>
    </w:p>
    <w:p w14:paraId="4823D482" w14:textId="77777777" w:rsidR="00C25AC8" w:rsidRDefault="00C25AC8" w:rsidP="00056F35">
      <w:pPr>
        <w:pStyle w:val="a3"/>
        <w:adjustRightInd w:val="0"/>
        <w:snapToGrid w:val="0"/>
        <w:rPr>
          <w:rFonts w:eastAsia="맑은 고딕"/>
          <w:snapToGrid w:val="0"/>
          <w:lang w:val="pt-PT" w:eastAsia="ko-KR"/>
        </w:rPr>
      </w:pPr>
    </w:p>
    <w:p w14:paraId="6A95D590" w14:textId="77777777" w:rsidR="00C25AC8" w:rsidRPr="007155C0" w:rsidRDefault="00C25AC8" w:rsidP="00C25AC8">
      <w:pPr>
        <w:pStyle w:val="a3"/>
        <w:widowControl/>
        <w:adjustRightInd w:val="0"/>
        <w:snapToGrid w:val="0"/>
        <w:rPr>
          <w:rFonts w:eastAsia="맑은 고딕"/>
          <w:u w:val="single"/>
          <w:lang w:val="fr-CA" w:eastAsia="ko-KR"/>
        </w:rPr>
      </w:pPr>
      <w:bookmarkStart w:id="2" w:name="_Hlk190261210"/>
      <w:r w:rsidRPr="007155C0">
        <w:rPr>
          <w:rFonts w:eastAsiaTheme="minorEastAsia"/>
          <w:u w:val="single"/>
          <w:lang w:val="fr-CA" w:eastAsia="ko-KR"/>
        </w:rPr>
        <w:t>Excipientes</w:t>
      </w:r>
    </w:p>
    <w:p w14:paraId="3686895D" w14:textId="1683B6D9" w:rsidR="00C25AC8" w:rsidRPr="00C25AC8" w:rsidRDefault="00C25AC8" w:rsidP="00C25AC8">
      <w:pPr>
        <w:pStyle w:val="a3"/>
        <w:widowControl/>
        <w:adjustRightInd w:val="0"/>
        <w:snapToGrid w:val="0"/>
        <w:rPr>
          <w:rFonts w:eastAsiaTheme="minorEastAsia"/>
          <w:lang w:val="pt-PT" w:eastAsia="ko-KR"/>
        </w:rPr>
      </w:pPr>
      <w:r w:rsidRPr="002606DB">
        <w:rPr>
          <w:snapToGrid w:val="0"/>
          <w:lang w:val="pt-PT"/>
        </w:rPr>
        <w:t>Este medicamento contém menos do que 1 mmol (23 mg) de sódio por frasco para injetáveis</w:t>
      </w:r>
      <w:r w:rsidRPr="007155C0">
        <w:rPr>
          <w:lang w:val="fr-CA"/>
        </w:rPr>
        <w:t>,</w:t>
      </w:r>
      <w:r w:rsidRPr="002606DB">
        <w:rPr>
          <w:snapToGrid w:val="0"/>
          <w:lang w:val="pt-PT"/>
        </w:rPr>
        <w:t xml:space="preserve"> ou seja, é praticamente “isento de sódio”.</w:t>
      </w:r>
    </w:p>
    <w:p w14:paraId="5A3B146F" w14:textId="77777777" w:rsidR="00C25AC8" w:rsidRPr="007155C0" w:rsidRDefault="00C25AC8" w:rsidP="00C25AC8">
      <w:pPr>
        <w:pStyle w:val="a3"/>
        <w:widowControl/>
        <w:adjustRightInd w:val="0"/>
        <w:snapToGrid w:val="0"/>
        <w:rPr>
          <w:rFonts w:eastAsiaTheme="minorEastAsia"/>
          <w:lang w:val="fr-CA" w:eastAsia="ko-KR"/>
        </w:rPr>
      </w:pPr>
    </w:p>
    <w:p w14:paraId="2C300912" w14:textId="3B7823F9" w:rsidR="00C25AC8" w:rsidRPr="00C25AC8" w:rsidRDefault="00C25AC8" w:rsidP="00C25AC8">
      <w:pPr>
        <w:pStyle w:val="a3"/>
        <w:rPr>
          <w:snapToGrid w:val="0"/>
          <w:lang w:val="pt-PT"/>
        </w:rPr>
      </w:pPr>
      <w:bookmarkStart w:id="3" w:name="_Hlk191035944"/>
      <w:r w:rsidRPr="007155C0">
        <w:rPr>
          <w:lang w:val="fr-CA"/>
        </w:rPr>
        <w:t>Este medicamento contém 0,</w:t>
      </w:r>
      <w:r w:rsidRPr="007155C0">
        <w:rPr>
          <w:rFonts w:eastAsia="맑은 고딕" w:hint="eastAsia"/>
          <w:lang w:val="fr-CA" w:eastAsia="ko-KR"/>
        </w:rPr>
        <w:t>4</w:t>
      </w:r>
      <w:r w:rsidRPr="007155C0">
        <w:rPr>
          <w:lang w:val="fr-CA"/>
        </w:rPr>
        <w:t> mg de polissorbato </w:t>
      </w:r>
      <w:r w:rsidRPr="007155C0">
        <w:rPr>
          <w:rFonts w:eastAsia="맑은 고딕" w:hint="eastAsia"/>
          <w:lang w:val="fr-CA" w:eastAsia="ko-KR"/>
        </w:rPr>
        <w:t>20</w:t>
      </w:r>
      <w:r w:rsidRPr="007155C0">
        <w:rPr>
          <w:lang w:val="fr-CA"/>
        </w:rPr>
        <w:t xml:space="preserve"> em cada ml.</w:t>
      </w:r>
      <w:r w:rsidRPr="007155C0">
        <w:rPr>
          <w:rFonts w:eastAsiaTheme="minorEastAsia" w:hint="eastAsia"/>
          <w:lang w:val="fr-CA" w:eastAsia="ko-KR"/>
        </w:rPr>
        <w:t xml:space="preserve"> </w:t>
      </w:r>
      <w:bookmarkEnd w:id="2"/>
      <w:bookmarkEnd w:id="3"/>
      <w:r w:rsidRPr="007155C0">
        <w:rPr>
          <w:lang w:val="fr-CA"/>
        </w:rPr>
        <w:t>Os polissorbatos podem causar reações alérgicas. Os doentes com alergia aos polissorbatos não devem tomar este medicamento.</w:t>
      </w:r>
    </w:p>
    <w:p w14:paraId="593D2100" w14:textId="77777777" w:rsidR="00162CE2" w:rsidRPr="002606DB" w:rsidRDefault="00162CE2" w:rsidP="00056F35">
      <w:pPr>
        <w:pStyle w:val="a3"/>
        <w:adjustRightInd w:val="0"/>
        <w:snapToGrid w:val="0"/>
        <w:rPr>
          <w:snapToGrid w:val="0"/>
          <w:lang w:val="pt-PT"/>
        </w:rPr>
      </w:pPr>
    </w:p>
    <w:p w14:paraId="51B5E2E3" w14:textId="77777777" w:rsidR="00162CE2" w:rsidRPr="002606DB" w:rsidRDefault="00162CE2" w:rsidP="00552771">
      <w:pPr>
        <w:pStyle w:val="2"/>
        <w:adjustRightInd w:val="0"/>
        <w:snapToGrid w:val="0"/>
        <w:ind w:left="567" w:hanging="567"/>
        <w:rPr>
          <w:snapToGrid w:val="0"/>
          <w:lang w:val="pt-PT"/>
        </w:rPr>
      </w:pPr>
      <w:r w:rsidRPr="007155C0">
        <w:rPr>
          <w:snapToGrid w:val="0"/>
          <w:spacing w:val="-6"/>
          <w:w w:val="101"/>
          <w:lang w:val="pt-PT"/>
        </w:rPr>
        <w:t>4.5</w:t>
      </w:r>
      <w:r w:rsidRPr="007155C0">
        <w:rPr>
          <w:snapToGrid w:val="0"/>
          <w:spacing w:val="-6"/>
          <w:w w:val="101"/>
          <w:lang w:val="pt-PT"/>
        </w:rPr>
        <w:tab/>
      </w:r>
      <w:r w:rsidRPr="002606DB">
        <w:rPr>
          <w:snapToGrid w:val="0"/>
          <w:lang w:val="pt-PT"/>
        </w:rPr>
        <w:t>Interações medicamentosas e outras formas de interação</w:t>
      </w:r>
    </w:p>
    <w:p w14:paraId="49CE008C" w14:textId="77777777" w:rsidR="00162CE2" w:rsidRPr="002606DB" w:rsidRDefault="00162CE2" w:rsidP="00056F35">
      <w:pPr>
        <w:pStyle w:val="a3"/>
        <w:adjustRightInd w:val="0"/>
        <w:snapToGrid w:val="0"/>
        <w:rPr>
          <w:b/>
          <w:snapToGrid w:val="0"/>
          <w:lang w:val="pt-PT"/>
        </w:rPr>
      </w:pPr>
    </w:p>
    <w:p w14:paraId="7EF7CBC7"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Efeito de fármacos antineoplásicos na farmacocinética do bevacizumab</w:t>
      </w:r>
    </w:p>
    <w:p w14:paraId="03519818" w14:textId="274565D9" w:rsidR="00162CE2" w:rsidRPr="002606DB" w:rsidRDefault="00162CE2" w:rsidP="00056F35">
      <w:pPr>
        <w:pStyle w:val="a3"/>
        <w:adjustRightInd w:val="0"/>
        <w:snapToGrid w:val="0"/>
        <w:rPr>
          <w:snapToGrid w:val="0"/>
          <w:lang w:val="pt-PT"/>
        </w:rPr>
      </w:pPr>
      <w:r w:rsidRPr="002606DB">
        <w:rPr>
          <w:snapToGrid w:val="0"/>
          <w:lang w:val="pt-PT"/>
        </w:rPr>
        <w:t>Com base nos resultados da análise farmacocinética populacional, não foram observadas</w:t>
      </w:r>
      <w:r w:rsidR="00FC34B8">
        <w:rPr>
          <w:snapToGrid w:val="0"/>
          <w:lang w:val="pt-PT"/>
        </w:rPr>
        <w:t xml:space="preserve"> </w:t>
      </w:r>
      <w:r w:rsidRPr="002606DB">
        <w:rPr>
          <w:snapToGrid w:val="0"/>
          <w:lang w:val="pt-PT"/>
        </w:rPr>
        <w:t>interações clinicamente relevantes para a farmacocinética de bevacizumab, decorrentes da coadministração com quimioterapia. Não houve diferenças estatisticamente significativas ou clinicamente relevantes na depuração de bevacizumab em doentes tratados com bevacizumab em monoterapia</w:t>
      </w:r>
      <w:r w:rsidR="00B047DF" w:rsidRPr="007155C0">
        <w:rPr>
          <w:lang w:val="pt-PT"/>
        </w:rPr>
        <w:t>,</w:t>
      </w:r>
      <w:r w:rsidRPr="002606DB">
        <w:rPr>
          <w:snapToGrid w:val="0"/>
          <w:lang w:val="pt-PT"/>
        </w:rPr>
        <w:t xml:space="preserve"> comparativamente a doentes tratados com bevacizumab em associação com interferão alfa</w:t>
      </w:r>
      <w:r w:rsidR="005B3AE6" w:rsidRPr="002606DB">
        <w:rPr>
          <w:snapToGrid w:val="0"/>
          <w:lang w:val="pt-PT"/>
        </w:rPr>
        <w:noBreakHyphen/>
      </w:r>
      <w:r w:rsidRPr="002606DB">
        <w:rPr>
          <w:snapToGrid w:val="0"/>
          <w:lang w:val="pt-PT"/>
        </w:rPr>
        <w:t>2a, erlotinib ou quimioterapias (IFL, 5</w:t>
      </w:r>
      <w:r w:rsidR="005B3AE6" w:rsidRPr="002606DB">
        <w:rPr>
          <w:snapToGrid w:val="0"/>
          <w:lang w:val="pt-PT"/>
        </w:rPr>
        <w:noBreakHyphen/>
      </w:r>
      <w:r w:rsidRPr="002606DB">
        <w:rPr>
          <w:snapToGrid w:val="0"/>
          <w:lang w:val="pt-PT"/>
        </w:rPr>
        <w:t>FU/LV, carboplatina/paclitaxel, capecitabina doxorrubicina ou cisplatina/gemcitabina).</w:t>
      </w:r>
    </w:p>
    <w:p w14:paraId="6C447B80" w14:textId="77777777" w:rsidR="00162CE2" w:rsidRPr="002606DB" w:rsidRDefault="00162CE2" w:rsidP="00056F35">
      <w:pPr>
        <w:pStyle w:val="a3"/>
        <w:adjustRightInd w:val="0"/>
        <w:snapToGrid w:val="0"/>
        <w:rPr>
          <w:snapToGrid w:val="0"/>
          <w:lang w:val="pt-PT"/>
        </w:rPr>
      </w:pPr>
    </w:p>
    <w:p w14:paraId="1A42D2D8"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Efeito do bevacizumab na farmacocinética de outros fármacos antineoplásicos</w:t>
      </w:r>
    </w:p>
    <w:p w14:paraId="109F5DE5" w14:textId="1DFFB229" w:rsidR="00162CE2" w:rsidRPr="002606DB" w:rsidRDefault="00162CE2" w:rsidP="00056F35">
      <w:pPr>
        <w:pStyle w:val="a3"/>
        <w:adjustRightInd w:val="0"/>
        <w:snapToGrid w:val="0"/>
        <w:rPr>
          <w:snapToGrid w:val="0"/>
          <w:lang w:val="pt-PT"/>
        </w:rPr>
      </w:pPr>
      <w:r w:rsidRPr="002606DB">
        <w:rPr>
          <w:snapToGrid w:val="0"/>
          <w:lang w:val="pt-PT"/>
        </w:rPr>
        <w:t xml:space="preserve">Não foi observada interação clinicamente relevante de bevacizumab na farmacocinética de interferão </w:t>
      </w:r>
      <w:r w:rsidRPr="002606DB">
        <w:rPr>
          <w:snapToGrid w:val="0"/>
          <w:lang w:val="pt-PT"/>
        </w:rPr>
        <w:lastRenderedPageBreak/>
        <w:t>alfa</w:t>
      </w:r>
      <w:r w:rsidR="005B3AE6" w:rsidRPr="002606DB">
        <w:rPr>
          <w:snapToGrid w:val="0"/>
          <w:lang w:val="pt-PT"/>
        </w:rPr>
        <w:noBreakHyphen/>
      </w:r>
      <w:r w:rsidRPr="002606DB">
        <w:rPr>
          <w:snapToGrid w:val="0"/>
          <w:lang w:val="pt-PT"/>
        </w:rPr>
        <w:t>2a, erlotinib (e o seu metabolito ativo OSI</w:t>
      </w:r>
      <w:r w:rsidR="005B3AE6" w:rsidRPr="002606DB">
        <w:rPr>
          <w:snapToGrid w:val="0"/>
          <w:lang w:val="pt-PT"/>
        </w:rPr>
        <w:noBreakHyphen/>
      </w:r>
      <w:r w:rsidRPr="002606DB">
        <w:rPr>
          <w:snapToGrid w:val="0"/>
          <w:lang w:val="pt-PT"/>
        </w:rPr>
        <w:t>420), ou das quimioterapias irinotecano (e o seu metabolito ativo SN38), capecitabina, oxaliplatina (determinado pela medição de platina livre e total) e cisplatina, quando coadministrados. Não podem ser tiradas conclusões acerca do impacto de bevacizumab na farmacocinética da gemcitabina.</w:t>
      </w:r>
    </w:p>
    <w:p w14:paraId="4CE1E139" w14:textId="77777777" w:rsidR="00162CE2" w:rsidRPr="002606DB" w:rsidRDefault="00162CE2" w:rsidP="00056F35">
      <w:pPr>
        <w:pStyle w:val="a3"/>
        <w:adjustRightInd w:val="0"/>
        <w:snapToGrid w:val="0"/>
        <w:rPr>
          <w:snapToGrid w:val="0"/>
          <w:lang w:val="pt-PT"/>
        </w:rPr>
      </w:pPr>
    </w:p>
    <w:p w14:paraId="108A290B" w14:textId="77777777" w:rsidR="00162CE2" w:rsidRPr="001C687C" w:rsidRDefault="00162CE2" w:rsidP="00056F35">
      <w:pPr>
        <w:adjustRightInd w:val="0"/>
        <w:snapToGrid w:val="0"/>
        <w:jc w:val="both"/>
        <w:rPr>
          <w:iCs/>
          <w:snapToGrid w:val="0"/>
          <w:u w:val="single"/>
          <w:lang w:val="pt-PT"/>
        </w:rPr>
      </w:pPr>
      <w:r w:rsidRPr="001C687C">
        <w:rPr>
          <w:iCs/>
          <w:snapToGrid w:val="0"/>
          <w:u w:val="single"/>
          <w:lang w:val="pt-PT"/>
        </w:rPr>
        <w:t>Associação de bevacizumab e malato de sunitinib</w:t>
      </w:r>
    </w:p>
    <w:p w14:paraId="1F553C9A" w14:textId="505B7C97" w:rsidR="00162CE2" w:rsidRPr="002606DB" w:rsidRDefault="00162CE2" w:rsidP="00056F35">
      <w:pPr>
        <w:pStyle w:val="a3"/>
        <w:adjustRightInd w:val="0"/>
        <w:snapToGrid w:val="0"/>
        <w:jc w:val="both"/>
        <w:rPr>
          <w:snapToGrid w:val="0"/>
          <w:lang w:val="pt-PT"/>
        </w:rPr>
      </w:pPr>
      <w:r w:rsidRPr="002606DB">
        <w:rPr>
          <w:snapToGrid w:val="0"/>
          <w:lang w:val="pt-PT"/>
        </w:rPr>
        <w:t>Em dois ensaios clínicos no carcinoma de células renais metastizado</w:t>
      </w:r>
      <w:r w:rsidR="00B047DF" w:rsidRPr="007155C0">
        <w:rPr>
          <w:lang w:val="pt-PT"/>
        </w:rPr>
        <w:t>,</w:t>
      </w:r>
      <w:r w:rsidRPr="002606DB">
        <w:rPr>
          <w:snapToGrid w:val="0"/>
          <w:lang w:val="pt-PT"/>
        </w:rPr>
        <w:t xml:space="preserve"> foi notificada anemia hemolítica microangiopática (MAHA), em 7 de 19 doentes tratados com a associação de bevacizumab (10 mg/kg cada duas semanas) e malato de sunitinib (50 mg uma vez por dia).</w:t>
      </w:r>
    </w:p>
    <w:p w14:paraId="24029CDD" w14:textId="77777777" w:rsidR="00162CE2" w:rsidRPr="002606DB" w:rsidRDefault="00162CE2" w:rsidP="00056F35">
      <w:pPr>
        <w:adjustRightInd w:val="0"/>
        <w:snapToGrid w:val="0"/>
        <w:jc w:val="both"/>
        <w:rPr>
          <w:snapToGrid w:val="0"/>
          <w:lang w:val="pt-PT"/>
        </w:rPr>
      </w:pPr>
    </w:p>
    <w:p w14:paraId="1348979D" w14:textId="5D7A0D2F" w:rsidR="00162CE2" w:rsidRPr="002606DB" w:rsidRDefault="00162CE2" w:rsidP="00702512">
      <w:pPr>
        <w:pStyle w:val="a3"/>
        <w:keepNext/>
        <w:keepLines/>
        <w:widowControl/>
        <w:adjustRightInd w:val="0"/>
        <w:snapToGrid w:val="0"/>
        <w:rPr>
          <w:snapToGrid w:val="0"/>
          <w:lang w:val="pt-PT"/>
        </w:rPr>
      </w:pPr>
      <w:r w:rsidRPr="002606DB">
        <w:rPr>
          <w:snapToGrid w:val="0"/>
          <w:lang w:val="pt-PT"/>
        </w:rPr>
        <w:t>A MAHA é uma alteração hemolítica que pode apresentar-se com fragmentação de glóbulos vermelhos, anemia e trombocitopenia. Adicionalmente, foi observada</w:t>
      </w:r>
      <w:r w:rsidR="00B047DF" w:rsidRPr="007155C0">
        <w:rPr>
          <w:lang w:val="fr-CA"/>
        </w:rPr>
        <w:t>,</w:t>
      </w:r>
      <w:r w:rsidRPr="002606DB">
        <w:rPr>
          <w:snapToGrid w:val="0"/>
          <w:lang w:val="pt-PT"/>
        </w:rPr>
        <w:t xml:space="preserve"> em alguns destes doentes</w:t>
      </w:r>
      <w:r w:rsidR="008B7A8F">
        <w:rPr>
          <w:snapToGrid w:val="0"/>
          <w:lang w:val="pt-PT"/>
        </w:rPr>
        <w:t>,</w:t>
      </w:r>
      <w:r w:rsidRPr="002606DB">
        <w:rPr>
          <w:snapToGrid w:val="0"/>
          <w:lang w:val="pt-PT"/>
        </w:rPr>
        <w:t xml:space="preserve"> hipertensão (incluindo crise hipertensiva), aumento nos níveis de creatinina e sintomas neurológicos. Todos estes efeitos foram reversíveis após a descontinuação do bevacizumab e malato de sunitinib (ver </w:t>
      </w:r>
      <w:r w:rsidRPr="002606DB">
        <w:rPr>
          <w:i/>
          <w:snapToGrid w:val="0"/>
          <w:lang w:val="pt-PT"/>
        </w:rPr>
        <w:t>Hipertensão</w:t>
      </w:r>
      <w:r w:rsidRPr="002606DB">
        <w:rPr>
          <w:snapToGrid w:val="0"/>
          <w:lang w:val="pt-PT"/>
        </w:rPr>
        <w:t xml:space="preserve">, </w:t>
      </w:r>
      <w:r w:rsidRPr="002606DB">
        <w:rPr>
          <w:i/>
          <w:snapToGrid w:val="0"/>
          <w:lang w:val="pt-PT"/>
        </w:rPr>
        <w:t>Proteinúria</w:t>
      </w:r>
      <w:r w:rsidRPr="002606DB">
        <w:rPr>
          <w:snapToGrid w:val="0"/>
          <w:lang w:val="pt-PT"/>
        </w:rPr>
        <w:t xml:space="preserve">, </w:t>
      </w:r>
      <w:r w:rsidRPr="002606DB">
        <w:rPr>
          <w:i/>
          <w:snapToGrid w:val="0"/>
          <w:lang w:val="pt-PT"/>
        </w:rPr>
        <w:t>SEPR</w:t>
      </w:r>
      <w:r w:rsidRPr="002606DB">
        <w:rPr>
          <w:snapToGrid w:val="0"/>
          <w:lang w:val="pt-PT"/>
        </w:rPr>
        <w:t>, na secção 4.4).</w:t>
      </w:r>
    </w:p>
    <w:p w14:paraId="62ED26E4" w14:textId="77777777" w:rsidR="00162CE2" w:rsidRPr="002606DB" w:rsidRDefault="00162CE2" w:rsidP="00056F35">
      <w:pPr>
        <w:pStyle w:val="a3"/>
        <w:adjustRightInd w:val="0"/>
        <w:snapToGrid w:val="0"/>
        <w:rPr>
          <w:snapToGrid w:val="0"/>
          <w:lang w:val="pt-PT"/>
        </w:rPr>
      </w:pPr>
    </w:p>
    <w:p w14:paraId="3EF9F642" w14:textId="5538548B" w:rsidR="00162CE2" w:rsidRPr="002606DB" w:rsidRDefault="00162CE2" w:rsidP="00056F35">
      <w:pPr>
        <w:adjustRightInd w:val="0"/>
        <w:snapToGrid w:val="0"/>
        <w:rPr>
          <w:snapToGrid w:val="0"/>
          <w:lang w:val="pt-PT"/>
        </w:rPr>
      </w:pPr>
      <w:r w:rsidRPr="001C687C">
        <w:rPr>
          <w:iCs/>
          <w:snapToGrid w:val="0"/>
          <w:u w:val="single"/>
          <w:lang w:val="pt-PT"/>
        </w:rPr>
        <w:t>Associação com terapêuticas baseadas em compostos de platina ou em taxanos</w:t>
      </w:r>
      <w:r w:rsidRPr="002606DB">
        <w:rPr>
          <w:i/>
          <w:snapToGrid w:val="0"/>
          <w:lang w:val="pt-PT"/>
        </w:rPr>
        <w:t xml:space="preserve"> </w:t>
      </w:r>
      <w:r w:rsidRPr="002606DB">
        <w:rPr>
          <w:snapToGrid w:val="0"/>
          <w:lang w:val="pt-PT"/>
        </w:rPr>
        <w:t>(ver secções 4.4 e 4.8) Foram observadas taxas aumentadas de neutropenia grave, neutropenia febril, ou infeção com ou sem neutropenia grave (incluindo algumas mortes)</w:t>
      </w:r>
      <w:r w:rsidR="00B047DF" w:rsidRPr="007155C0">
        <w:rPr>
          <w:lang w:val="pt-PT"/>
        </w:rPr>
        <w:t>,</w:t>
      </w:r>
      <w:r w:rsidRPr="002606DB">
        <w:rPr>
          <w:snapToGrid w:val="0"/>
          <w:lang w:val="pt-PT"/>
        </w:rPr>
        <w:t xml:space="preserve"> principalmente em doentes com </w:t>
      </w:r>
      <w:r w:rsidR="00B72472">
        <w:rPr>
          <w:snapToGrid w:val="0"/>
          <w:lang w:val="pt-PT"/>
        </w:rPr>
        <w:t>NSCLC</w:t>
      </w:r>
      <w:r w:rsidR="00B72472" w:rsidRPr="002606DB">
        <w:rPr>
          <w:snapToGrid w:val="0"/>
          <w:lang w:val="pt-PT"/>
        </w:rPr>
        <w:t xml:space="preserve"> </w:t>
      </w:r>
      <w:r w:rsidRPr="002606DB">
        <w:rPr>
          <w:snapToGrid w:val="0"/>
          <w:lang w:val="pt-PT"/>
        </w:rPr>
        <w:t>e</w:t>
      </w:r>
      <w:r w:rsidR="00B72472">
        <w:rPr>
          <w:snapToGrid w:val="0"/>
          <w:lang w:val="pt-PT"/>
        </w:rPr>
        <w:t xml:space="preserve"> mBC</w:t>
      </w:r>
      <w:r w:rsidRPr="002606DB">
        <w:rPr>
          <w:snapToGrid w:val="0"/>
          <w:lang w:val="pt-PT"/>
        </w:rPr>
        <w:t xml:space="preserve"> tratados com terapêuticas baseadas em compostos de platina ou em taxanos.</w:t>
      </w:r>
    </w:p>
    <w:p w14:paraId="16691E5E" w14:textId="77777777" w:rsidR="00162CE2" w:rsidRPr="002606DB" w:rsidRDefault="00162CE2" w:rsidP="00056F35">
      <w:pPr>
        <w:pStyle w:val="a3"/>
        <w:adjustRightInd w:val="0"/>
        <w:snapToGrid w:val="0"/>
        <w:rPr>
          <w:snapToGrid w:val="0"/>
          <w:lang w:val="pt-PT"/>
        </w:rPr>
      </w:pPr>
    </w:p>
    <w:p w14:paraId="59BEAE33"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Radioterapia</w:t>
      </w:r>
    </w:p>
    <w:p w14:paraId="032DC142" w14:textId="5FFE2C5B" w:rsidR="00162CE2" w:rsidRPr="002606DB" w:rsidRDefault="00162CE2" w:rsidP="00056F35">
      <w:pPr>
        <w:pStyle w:val="a3"/>
        <w:adjustRightInd w:val="0"/>
        <w:snapToGrid w:val="0"/>
        <w:rPr>
          <w:snapToGrid w:val="0"/>
          <w:lang w:val="pt-PT"/>
        </w:rPr>
      </w:pPr>
      <w:r w:rsidRPr="002606DB">
        <w:rPr>
          <w:snapToGrid w:val="0"/>
          <w:lang w:val="pt-PT"/>
        </w:rPr>
        <w:t>A segurança e a eficácia da administração concomitante de radioterapia e bevacizumab não foram estabelecidas.</w:t>
      </w:r>
    </w:p>
    <w:p w14:paraId="0D5BB594" w14:textId="77777777" w:rsidR="00162CE2" w:rsidRPr="002606DB" w:rsidRDefault="00162CE2" w:rsidP="00056F35">
      <w:pPr>
        <w:pStyle w:val="a3"/>
        <w:adjustRightInd w:val="0"/>
        <w:snapToGrid w:val="0"/>
        <w:rPr>
          <w:snapToGrid w:val="0"/>
          <w:lang w:val="pt-PT"/>
        </w:rPr>
      </w:pPr>
    </w:p>
    <w:p w14:paraId="1251B5E1" w14:textId="39D492A7" w:rsidR="00162CE2" w:rsidRPr="002606DB" w:rsidRDefault="00162CE2" w:rsidP="00056F35">
      <w:pPr>
        <w:pStyle w:val="a3"/>
        <w:adjustRightInd w:val="0"/>
        <w:snapToGrid w:val="0"/>
        <w:rPr>
          <w:snapToGrid w:val="0"/>
          <w:lang w:val="pt-PT"/>
        </w:rPr>
      </w:pPr>
      <w:r w:rsidRPr="001C687C">
        <w:rPr>
          <w:iCs/>
          <w:snapToGrid w:val="0"/>
          <w:u w:val="single"/>
          <w:lang w:val="pt-PT"/>
        </w:rPr>
        <w:t xml:space="preserve">Anticorpos monoclonais EGFR em associação com regimes de quimioterapia com bevacizumab </w:t>
      </w:r>
      <w:r w:rsidR="00702512" w:rsidRPr="001C687C">
        <w:rPr>
          <w:iCs/>
          <w:snapToGrid w:val="0"/>
          <w:u w:val="single"/>
          <w:lang w:val="pt-PT"/>
        </w:rPr>
        <w:br/>
      </w:r>
      <w:r w:rsidRPr="002606DB">
        <w:rPr>
          <w:snapToGrid w:val="0"/>
          <w:lang w:val="pt-PT"/>
        </w:rPr>
        <w:t xml:space="preserve">Não foram realizados estudos de interação. Os anticorpos monoclonais EGFR não devem ser administrados para o tratamento do carcinoma metastizado do cólon ou do reto em associação com quimioterapia </w:t>
      </w:r>
      <w:r w:rsidR="00966331">
        <w:rPr>
          <w:snapToGrid w:val="0"/>
          <w:lang w:val="pt-PT"/>
        </w:rPr>
        <w:t>baseada em</w:t>
      </w:r>
      <w:r w:rsidR="00966331" w:rsidRPr="002606DB">
        <w:rPr>
          <w:snapToGrid w:val="0"/>
          <w:lang w:val="pt-PT"/>
        </w:rPr>
        <w:t xml:space="preserve"> </w:t>
      </w:r>
      <w:r w:rsidRPr="002606DB">
        <w:rPr>
          <w:snapToGrid w:val="0"/>
          <w:lang w:val="pt-PT"/>
        </w:rPr>
        <w:t>bevacizumab. Os resultados dos estudos aleatorizados de fase III PACCE e CAIRO-2, em doentes com carcinoma metastizado do cólon ou do reto</w:t>
      </w:r>
      <w:r w:rsidR="00B047DF" w:rsidRPr="007155C0">
        <w:rPr>
          <w:lang w:val="pt-PT"/>
        </w:rPr>
        <w:t>,</w:t>
      </w:r>
      <w:r w:rsidRPr="002606DB">
        <w:rPr>
          <w:snapToGrid w:val="0"/>
          <w:lang w:val="pt-PT"/>
        </w:rPr>
        <w:t xml:space="preserve"> sugerem que a utilização dos anticorpos monoclonais anti</w:t>
      </w:r>
      <w:r w:rsidR="005B3AE6" w:rsidRPr="002606DB">
        <w:rPr>
          <w:snapToGrid w:val="0"/>
          <w:lang w:val="pt-PT"/>
        </w:rPr>
        <w:noBreakHyphen/>
      </w:r>
      <w:r w:rsidRPr="002606DB">
        <w:rPr>
          <w:snapToGrid w:val="0"/>
          <w:lang w:val="pt-PT"/>
        </w:rPr>
        <w:t>EGFR panitumumab e cetuximab, respetivamente, em combinação com bevacizumab mais quimioterapia, está associada a uma sobrevivência livre de progressão (PFS) e/ou sobrevivência global (OS) diminuídas e a toxicidade aumentada, comparativamente a bevacizumab sozinho com quimioterapia.</w:t>
      </w:r>
    </w:p>
    <w:p w14:paraId="63BB2B50" w14:textId="77777777" w:rsidR="00162CE2" w:rsidRPr="002606DB" w:rsidRDefault="00162CE2" w:rsidP="00056F35">
      <w:pPr>
        <w:pStyle w:val="a3"/>
        <w:adjustRightInd w:val="0"/>
        <w:snapToGrid w:val="0"/>
        <w:rPr>
          <w:snapToGrid w:val="0"/>
          <w:lang w:val="pt-PT"/>
        </w:rPr>
      </w:pPr>
    </w:p>
    <w:p w14:paraId="1E798D35" w14:textId="77777777" w:rsidR="00162CE2" w:rsidRPr="002606DB" w:rsidRDefault="00162CE2" w:rsidP="00552771">
      <w:pPr>
        <w:pStyle w:val="2"/>
        <w:adjustRightInd w:val="0"/>
        <w:snapToGrid w:val="0"/>
        <w:ind w:left="567" w:hanging="567"/>
        <w:rPr>
          <w:snapToGrid w:val="0"/>
          <w:lang w:val="pt-PT"/>
        </w:rPr>
      </w:pPr>
      <w:r w:rsidRPr="007155C0">
        <w:rPr>
          <w:snapToGrid w:val="0"/>
          <w:spacing w:val="-6"/>
          <w:w w:val="101"/>
          <w:lang w:val="fr-CA"/>
        </w:rPr>
        <w:t>4.6</w:t>
      </w:r>
      <w:r w:rsidRPr="007155C0">
        <w:rPr>
          <w:snapToGrid w:val="0"/>
          <w:spacing w:val="-6"/>
          <w:w w:val="101"/>
          <w:lang w:val="fr-CA"/>
        </w:rPr>
        <w:tab/>
      </w:r>
      <w:r w:rsidRPr="002606DB">
        <w:rPr>
          <w:snapToGrid w:val="0"/>
          <w:lang w:val="pt-PT"/>
        </w:rPr>
        <w:t>Fertilidade, gravidez e aleitamento</w:t>
      </w:r>
    </w:p>
    <w:p w14:paraId="382AE85F" w14:textId="77777777" w:rsidR="00162CE2" w:rsidRPr="002606DB" w:rsidRDefault="00162CE2" w:rsidP="00056F35">
      <w:pPr>
        <w:pStyle w:val="a3"/>
        <w:adjustRightInd w:val="0"/>
        <w:snapToGrid w:val="0"/>
        <w:rPr>
          <w:b/>
          <w:snapToGrid w:val="0"/>
          <w:lang w:val="pt-PT"/>
        </w:rPr>
      </w:pPr>
    </w:p>
    <w:p w14:paraId="61214E3D"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Mulheres com potencial para engravidar</w:t>
      </w:r>
    </w:p>
    <w:p w14:paraId="55C3702C" w14:textId="77777777" w:rsidR="00162CE2" w:rsidRPr="002606DB" w:rsidRDefault="00162CE2" w:rsidP="00056F35">
      <w:pPr>
        <w:pStyle w:val="a3"/>
        <w:adjustRightInd w:val="0"/>
        <w:snapToGrid w:val="0"/>
        <w:rPr>
          <w:snapToGrid w:val="0"/>
          <w:lang w:val="pt-PT"/>
        </w:rPr>
      </w:pPr>
      <w:r w:rsidRPr="002606DB">
        <w:rPr>
          <w:snapToGrid w:val="0"/>
          <w:lang w:val="pt-PT"/>
        </w:rPr>
        <w:t>As mulheres com potencial para engravidar têm de utilizar um método contracetivo eficaz durante (e até 6 meses após) o tratamento.</w:t>
      </w:r>
    </w:p>
    <w:p w14:paraId="45B3250C" w14:textId="77777777" w:rsidR="00162CE2" w:rsidRPr="002606DB" w:rsidRDefault="00162CE2" w:rsidP="00056F35">
      <w:pPr>
        <w:pStyle w:val="a3"/>
        <w:adjustRightInd w:val="0"/>
        <w:snapToGrid w:val="0"/>
        <w:rPr>
          <w:snapToGrid w:val="0"/>
          <w:lang w:val="pt-PT"/>
        </w:rPr>
      </w:pPr>
    </w:p>
    <w:p w14:paraId="04A107C4"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Gravidez</w:t>
      </w:r>
    </w:p>
    <w:p w14:paraId="30B3ABD7" w14:textId="268459B4" w:rsidR="00162CE2" w:rsidRPr="002606DB" w:rsidRDefault="00162CE2" w:rsidP="00056F35">
      <w:pPr>
        <w:pStyle w:val="a3"/>
        <w:adjustRightInd w:val="0"/>
        <w:snapToGrid w:val="0"/>
        <w:rPr>
          <w:snapToGrid w:val="0"/>
          <w:lang w:val="pt-PT"/>
        </w:rPr>
      </w:pPr>
      <w:r w:rsidRPr="002606DB">
        <w:rPr>
          <w:snapToGrid w:val="0"/>
          <w:lang w:val="pt-PT"/>
        </w:rPr>
        <w:t>Não existem dados de ensaios clínicos sobre a utilização de bevacizumab na mulher grávida. Os estudos em animais revelaram toxicidade reprodutiva</w:t>
      </w:r>
      <w:r w:rsidR="00B047DF" w:rsidRPr="007155C0">
        <w:rPr>
          <w:lang w:val="pt-PT"/>
        </w:rPr>
        <w:t>,</w:t>
      </w:r>
      <w:r w:rsidRPr="002606DB">
        <w:rPr>
          <w:snapToGrid w:val="0"/>
          <w:lang w:val="pt-PT"/>
        </w:rPr>
        <w:t xml:space="preserve"> incluindo malformações (ver secção 5.3). Sabe-se que as imunoglobulinas G (IgG) atravessam a placenta e calcula-se que bevacizumab iniba a angiogénese no feto, podendo provocar graves anomalias congénitas em caso de administração durante a gravidez. Após comercialização, foram observados casos de anomalias fetais em mulheres tratadas com bevacizumab em monoterapia ou em associação com citotóxicos com efeitos embriotóxicos conhecidos (ver secção 4.8). Bevacizumab é contraindicado durante a gravidez (ver secção 4.3).</w:t>
      </w:r>
    </w:p>
    <w:p w14:paraId="77D43570" w14:textId="77777777" w:rsidR="00162CE2" w:rsidRPr="002606DB" w:rsidRDefault="00162CE2" w:rsidP="00056F35">
      <w:pPr>
        <w:pStyle w:val="a3"/>
        <w:adjustRightInd w:val="0"/>
        <w:snapToGrid w:val="0"/>
        <w:rPr>
          <w:snapToGrid w:val="0"/>
          <w:lang w:val="pt-PT"/>
        </w:rPr>
      </w:pPr>
    </w:p>
    <w:p w14:paraId="2312FDD4"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Amamentação</w:t>
      </w:r>
    </w:p>
    <w:p w14:paraId="2AA07679" w14:textId="62CC266E" w:rsidR="00162CE2" w:rsidRPr="002606DB" w:rsidRDefault="00162CE2" w:rsidP="00056F35">
      <w:pPr>
        <w:pStyle w:val="a3"/>
        <w:adjustRightInd w:val="0"/>
        <w:snapToGrid w:val="0"/>
        <w:rPr>
          <w:snapToGrid w:val="0"/>
          <w:lang w:val="pt-PT"/>
        </w:rPr>
      </w:pPr>
      <w:r w:rsidRPr="002606DB">
        <w:rPr>
          <w:snapToGrid w:val="0"/>
          <w:lang w:val="pt-PT"/>
        </w:rPr>
        <w:t>Não se sabe se o bevacizumab é excretado no leite humano. Uma vez que a IgG materna é excretada no leite e que o bevacizumab pode ter efeitos nefastos sobre o crescimento e desenvolvimento do lactente (ver secção 5.3), a mulher deve suspender a amamentação durante a terapêutica e não amamentar durante pelo menos 6 meses após a administração da última dose de bevacizumab.</w:t>
      </w:r>
    </w:p>
    <w:p w14:paraId="68EDCC3B" w14:textId="77777777" w:rsidR="00162CE2" w:rsidRPr="002606DB" w:rsidRDefault="00162CE2" w:rsidP="00056F35">
      <w:pPr>
        <w:pStyle w:val="a3"/>
        <w:adjustRightInd w:val="0"/>
        <w:snapToGrid w:val="0"/>
        <w:rPr>
          <w:snapToGrid w:val="0"/>
          <w:lang w:val="pt-PT"/>
        </w:rPr>
      </w:pPr>
    </w:p>
    <w:p w14:paraId="05C0F031" w14:textId="77777777" w:rsidR="00162CE2" w:rsidRPr="001C687C" w:rsidRDefault="00162CE2" w:rsidP="00056F35">
      <w:pPr>
        <w:adjustRightInd w:val="0"/>
        <w:snapToGrid w:val="0"/>
        <w:rPr>
          <w:iCs/>
          <w:snapToGrid w:val="0"/>
          <w:u w:val="single"/>
          <w:lang w:val="pt-PT"/>
        </w:rPr>
      </w:pPr>
      <w:r w:rsidRPr="001C687C">
        <w:rPr>
          <w:iCs/>
          <w:snapToGrid w:val="0"/>
          <w:u w:val="single"/>
          <w:lang w:val="pt-PT"/>
        </w:rPr>
        <w:t>Fertilidade</w:t>
      </w:r>
    </w:p>
    <w:p w14:paraId="55CB4BD6" w14:textId="53202DF8" w:rsidR="00162CE2" w:rsidRPr="002606DB" w:rsidRDefault="00162CE2" w:rsidP="00056F35">
      <w:pPr>
        <w:pStyle w:val="a3"/>
        <w:adjustRightInd w:val="0"/>
        <w:snapToGrid w:val="0"/>
        <w:rPr>
          <w:snapToGrid w:val="0"/>
          <w:lang w:val="pt-PT"/>
        </w:rPr>
      </w:pPr>
      <w:r w:rsidRPr="002606DB">
        <w:rPr>
          <w:snapToGrid w:val="0"/>
          <w:lang w:val="pt-PT"/>
        </w:rPr>
        <w:lastRenderedPageBreak/>
        <w:t>Os estudos de toxicidade de dose repetida em animais revelaram que bevacizumab pode ter um efeito adverso na fertilidade feminina (ver secção 5.3). Num ensaio de fase III no tratamento adjuvante de doentes com cancro do cólon, um sub-estudo em mulheres pré-menopáusicas demonstrou uma maior incidência de novos casos de insuficiência ovárica no grupo do bevacizumab</w:t>
      </w:r>
      <w:r w:rsidR="00B047DF" w:rsidRPr="007155C0">
        <w:rPr>
          <w:lang w:val="pt-PT"/>
        </w:rPr>
        <w:t>,</w:t>
      </w:r>
      <w:r w:rsidRPr="002606DB">
        <w:rPr>
          <w:snapToGrid w:val="0"/>
          <w:lang w:val="pt-PT"/>
        </w:rPr>
        <w:t xml:space="preserve"> comparativamente com o grupo controlo. Após descontinuação do tratamento com bevacizumab, a função ovárica foi recuperada na maioria das doentes. Os efeitos a longo prazo do tratamento com bevacizumab na fertilidade são desconhecidos.</w:t>
      </w:r>
    </w:p>
    <w:p w14:paraId="732927E2" w14:textId="77777777" w:rsidR="00162CE2" w:rsidRPr="002606DB" w:rsidRDefault="00162CE2" w:rsidP="00056F35">
      <w:pPr>
        <w:adjustRightInd w:val="0"/>
        <w:snapToGrid w:val="0"/>
        <w:rPr>
          <w:snapToGrid w:val="0"/>
          <w:lang w:val="pt-PT"/>
        </w:rPr>
      </w:pPr>
    </w:p>
    <w:p w14:paraId="0CEBEC76" w14:textId="77777777" w:rsidR="00162CE2" w:rsidRPr="002606DB" w:rsidRDefault="00162CE2" w:rsidP="00702512">
      <w:pPr>
        <w:pStyle w:val="2"/>
        <w:keepNext/>
        <w:keepLines/>
        <w:widowControl/>
        <w:adjustRightInd w:val="0"/>
        <w:snapToGrid w:val="0"/>
        <w:ind w:left="567" w:hanging="567"/>
        <w:rPr>
          <w:snapToGrid w:val="0"/>
          <w:lang w:val="pt-PT"/>
        </w:rPr>
      </w:pPr>
      <w:r w:rsidRPr="007155C0">
        <w:rPr>
          <w:snapToGrid w:val="0"/>
          <w:spacing w:val="-6"/>
          <w:w w:val="101"/>
          <w:lang w:val="fr-CA"/>
        </w:rPr>
        <w:t>4.7</w:t>
      </w:r>
      <w:r w:rsidRPr="007155C0">
        <w:rPr>
          <w:snapToGrid w:val="0"/>
          <w:spacing w:val="-6"/>
          <w:w w:val="101"/>
          <w:lang w:val="fr-CA"/>
        </w:rPr>
        <w:tab/>
      </w:r>
      <w:r w:rsidRPr="002606DB">
        <w:rPr>
          <w:snapToGrid w:val="0"/>
          <w:lang w:val="pt-PT"/>
        </w:rPr>
        <w:t>Efeitos sobre a capacidade de conduzir e utilizar máquinas</w:t>
      </w:r>
    </w:p>
    <w:p w14:paraId="51DB18F3" w14:textId="77777777" w:rsidR="00162CE2" w:rsidRPr="002606DB" w:rsidRDefault="00162CE2" w:rsidP="00702512">
      <w:pPr>
        <w:pStyle w:val="a3"/>
        <w:keepNext/>
        <w:keepLines/>
        <w:widowControl/>
        <w:adjustRightInd w:val="0"/>
        <w:snapToGrid w:val="0"/>
        <w:rPr>
          <w:b/>
          <w:snapToGrid w:val="0"/>
          <w:lang w:val="pt-PT"/>
        </w:rPr>
      </w:pPr>
    </w:p>
    <w:p w14:paraId="5D58F0F3" w14:textId="2B0AE424" w:rsidR="00162CE2" w:rsidRPr="002606DB" w:rsidRDefault="00162CE2" w:rsidP="00056F35">
      <w:pPr>
        <w:pStyle w:val="a3"/>
        <w:adjustRightInd w:val="0"/>
        <w:snapToGrid w:val="0"/>
        <w:rPr>
          <w:snapToGrid w:val="0"/>
          <w:lang w:val="pt-PT"/>
        </w:rPr>
      </w:pPr>
      <w:r w:rsidRPr="002606DB">
        <w:rPr>
          <w:snapToGrid w:val="0"/>
          <w:lang w:val="pt-PT"/>
        </w:rPr>
        <w:t>Bevacizumab não tem ou tem influência desprezível na capacidade de conduzir e utilizar máquinas. No entanto, foram notificadas sonolência e síncope com o uso de bevacizumab (ver tabela 1 na secção 4.8). Se os doentes apresentarem sintomas que afetam a visão ou a concentração ou a sua capacidade de reagir, devem ser aconselhados a não conduzir e utilizar máquinas até resolução da sintomatologia.</w:t>
      </w:r>
    </w:p>
    <w:p w14:paraId="38208FD7" w14:textId="77777777" w:rsidR="00162CE2" w:rsidRPr="002606DB" w:rsidRDefault="00162CE2" w:rsidP="00056F35">
      <w:pPr>
        <w:pStyle w:val="a3"/>
        <w:adjustRightInd w:val="0"/>
        <w:snapToGrid w:val="0"/>
        <w:rPr>
          <w:snapToGrid w:val="0"/>
          <w:lang w:val="pt-PT"/>
        </w:rPr>
      </w:pPr>
    </w:p>
    <w:p w14:paraId="543B04B8" w14:textId="77777777" w:rsidR="00162CE2" w:rsidRPr="002606DB" w:rsidRDefault="00162CE2" w:rsidP="00552771">
      <w:pPr>
        <w:pStyle w:val="2"/>
        <w:adjustRightInd w:val="0"/>
        <w:snapToGrid w:val="0"/>
        <w:ind w:left="567" w:hanging="567"/>
        <w:rPr>
          <w:snapToGrid w:val="0"/>
          <w:lang w:val="pt-PT"/>
        </w:rPr>
      </w:pPr>
      <w:r w:rsidRPr="002606DB">
        <w:rPr>
          <w:snapToGrid w:val="0"/>
          <w:spacing w:val="-6"/>
          <w:w w:val="101"/>
        </w:rPr>
        <w:t>4.8</w:t>
      </w:r>
      <w:r w:rsidRPr="002606DB">
        <w:rPr>
          <w:snapToGrid w:val="0"/>
          <w:spacing w:val="-6"/>
          <w:w w:val="101"/>
        </w:rPr>
        <w:tab/>
      </w:r>
      <w:r w:rsidRPr="002606DB">
        <w:rPr>
          <w:snapToGrid w:val="0"/>
          <w:lang w:val="pt-PT"/>
        </w:rPr>
        <w:t>Efeitos indesejáveis</w:t>
      </w:r>
    </w:p>
    <w:p w14:paraId="7730E9F9" w14:textId="77777777" w:rsidR="00162CE2" w:rsidRPr="002606DB" w:rsidRDefault="00162CE2" w:rsidP="00056F35">
      <w:pPr>
        <w:pStyle w:val="a3"/>
        <w:adjustRightInd w:val="0"/>
        <w:snapToGrid w:val="0"/>
        <w:rPr>
          <w:b/>
          <w:snapToGrid w:val="0"/>
          <w:lang w:val="pt-PT"/>
        </w:rPr>
      </w:pPr>
    </w:p>
    <w:p w14:paraId="2A8CDB36" w14:textId="77777777" w:rsidR="00162CE2" w:rsidRPr="002606DB" w:rsidRDefault="00162CE2" w:rsidP="00056F35">
      <w:pPr>
        <w:pStyle w:val="a3"/>
        <w:adjustRightInd w:val="0"/>
        <w:snapToGrid w:val="0"/>
        <w:rPr>
          <w:snapToGrid w:val="0"/>
          <w:lang w:val="pt-PT"/>
        </w:rPr>
      </w:pPr>
      <w:r w:rsidRPr="002606DB">
        <w:rPr>
          <w:snapToGrid w:val="0"/>
          <w:u w:val="single"/>
          <w:lang w:val="pt-PT"/>
        </w:rPr>
        <w:t>Resumo do perfil de segurança</w:t>
      </w:r>
    </w:p>
    <w:p w14:paraId="78C273DD" w14:textId="77777777" w:rsidR="00162CE2" w:rsidRPr="002606DB" w:rsidRDefault="00162CE2" w:rsidP="00056F35">
      <w:pPr>
        <w:pStyle w:val="a3"/>
        <w:adjustRightInd w:val="0"/>
        <w:snapToGrid w:val="0"/>
        <w:rPr>
          <w:snapToGrid w:val="0"/>
          <w:lang w:val="pt-PT"/>
        </w:rPr>
      </w:pPr>
    </w:p>
    <w:p w14:paraId="56E3EFE7" w14:textId="5C57BEE0" w:rsidR="00162CE2" w:rsidRPr="002606DB" w:rsidRDefault="00162CE2" w:rsidP="00056F35">
      <w:pPr>
        <w:pStyle w:val="a3"/>
        <w:adjustRightInd w:val="0"/>
        <w:snapToGrid w:val="0"/>
        <w:rPr>
          <w:snapToGrid w:val="0"/>
          <w:lang w:val="pt-PT"/>
        </w:rPr>
      </w:pPr>
      <w:r w:rsidRPr="002606DB">
        <w:rPr>
          <w:snapToGrid w:val="0"/>
          <w:lang w:val="pt-PT"/>
        </w:rPr>
        <w:t>O perfil global de segurança do bevacizumab baseia-se em dados referentes a mais de 5700 doentes com várias malignidades, predominantemente tratados com bevacizumab em associação com quimioterapia, no âmbito dos ensaios clínicos.</w:t>
      </w:r>
    </w:p>
    <w:p w14:paraId="01774C42" w14:textId="77777777" w:rsidR="00162CE2" w:rsidRPr="002606DB" w:rsidRDefault="00162CE2" w:rsidP="00056F35">
      <w:pPr>
        <w:pStyle w:val="a3"/>
        <w:adjustRightInd w:val="0"/>
        <w:snapToGrid w:val="0"/>
        <w:rPr>
          <w:snapToGrid w:val="0"/>
          <w:lang w:val="pt-PT"/>
        </w:rPr>
      </w:pPr>
    </w:p>
    <w:p w14:paraId="58B54390" w14:textId="77777777" w:rsidR="00162CE2" w:rsidRPr="002606DB" w:rsidRDefault="00162CE2" w:rsidP="00056F35">
      <w:pPr>
        <w:pStyle w:val="a3"/>
        <w:adjustRightInd w:val="0"/>
        <w:snapToGrid w:val="0"/>
        <w:rPr>
          <w:snapToGrid w:val="0"/>
          <w:lang w:val="pt-PT"/>
        </w:rPr>
      </w:pPr>
      <w:r w:rsidRPr="002606DB">
        <w:rPr>
          <w:snapToGrid w:val="0"/>
          <w:lang w:val="pt-PT"/>
        </w:rPr>
        <w:t>As reações adversas mais graves foram:</w:t>
      </w:r>
    </w:p>
    <w:p w14:paraId="3CEDBF02" w14:textId="77777777" w:rsidR="00162CE2" w:rsidRPr="002606DB" w:rsidRDefault="00162CE2" w:rsidP="00056F35">
      <w:pPr>
        <w:pStyle w:val="a3"/>
        <w:adjustRightInd w:val="0"/>
        <w:snapToGrid w:val="0"/>
        <w:rPr>
          <w:snapToGrid w:val="0"/>
          <w:lang w:val="pt-PT"/>
        </w:rPr>
      </w:pPr>
    </w:p>
    <w:p w14:paraId="07C590EA" w14:textId="2D427483" w:rsidR="00162CE2" w:rsidRPr="002606DB" w:rsidRDefault="00162CE2" w:rsidP="00552771">
      <w:pPr>
        <w:pStyle w:val="a4"/>
        <w:adjustRightInd w:val="0"/>
        <w:snapToGrid w:val="0"/>
        <w:ind w:left="567" w:hanging="567"/>
        <w:jc w:val="both"/>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Perfuração gastrointestinal (ver secção 4.4).</w:t>
      </w:r>
    </w:p>
    <w:p w14:paraId="415504AD" w14:textId="6BB83F3F" w:rsidR="00162CE2" w:rsidRPr="002606DB" w:rsidRDefault="00162CE2" w:rsidP="00552771">
      <w:pPr>
        <w:pStyle w:val="a4"/>
        <w:adjustRightInd w:val="0"/>
        <w:snapToGrid w:val="0"/>
        <w:ind w:left="567" w:hanging="567"/>
        <w:jc w:val="both"/>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 xml:space="preserve">Hemorragia, incluindo hemorragia pulmonar/hemoptise, que é mais frequente em doentes com </w:t>
      </w:r>
      <w:r w:rsidR="005B3AE6" w:rsidRPr="002606DB">
        <w:rPr>
          <w:snapToGrid w:val="0"/>
          <w:lang w:val="pt-PT"/>
        </w:rPr>
        <w:t>NSCLC</w:t>
      </w:r>
      <w:r w:rsidRPr="002606DB">
        <w:rPr>
          <w:snapToGrid w:val="0"/>
          <w:lang w:val="pt-PT"/>
        </w:rPr>
        <w:t xml:space="preserve"> (ver secção 4.4).</w:t>
      </w:r>
    </w:p>
    <w:p w14:paraId="75A12601" w14:textId="165F3299" w:rsidR="00162CE2" w:rsidRPr="002606DB" w:rsidRDefault="00162CE2" w:rsidP="00552771">
      <w:pPr>
        <w:pStyle w:val="a4"/>
        <w:adjustRightInd w:val="0"/>
        <w:snapToGrid w:val="0"/>
        <w:ind w:left="567" w:hanging="567"/>
        <w:jc w:val="both"/>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Tromboembolismo arterial (ver secção 4.4).</w:t>
      </w:r>
    </w:p>
    <w:p w14:paraId="423BE74E" w14:textId="77777777" w:rsidR="00162CE2" w:rsidRPr="002606DB" w:rsidRDefault="00162CE2" w:rsidP="00056F35">
      <w:pPr>
        <w:pStyle w:val="a3"/>
        <w:adjustRightInd w:val="0"/>
        <w:snapToGrid w:val="0"/>
        <w:rPr>
          <w:snapToGrid w:val="0"/>
          <w:lang w:val="pt-PT"/>
        </w:rPr>
      </w:pPr>
    </w:p>
    <w:p w14:paraId="0F256764" w14:textId="5D24E1D6" w:rsidR="00162CE2" w:rsidRPr="002606DB" w:rsidRDefault="00162CE2" w:rsidP="00056F35">
      <w:pPr>
        <w:pStyle w:val="a3"/>
        <w:adjustRightInd w:val="0"/>
        <w:snapToGrid w:val="0"/>
        <w:rPr>
          <w:snapToGrid w:val="0"/>
          <w:lang w:val="pt-PT"/>
        </w:rPr>
      </w:pPr>
      <w:r w:rsidRPr="002606DB">
        <w:rPr>
          <w:snapToGrid w:val="0"/>
          <w:lang w:val="pt-PT"/>
        </w:rPr>
        <w:t>No âmbito de ensaios clínicos as reações adversas mais frequentemente observadas em doentes em tratamento com bevacizumab foram hipertensão arterial, fadiga ou astenia, diarreia e dor abdominal.</w:t>
      </w:r>
    </w:p>
    <w:p w14:paraId="28FC28D1" w14:textId="77777777" w:rsidR="00162CE2" w:rsidRPr="002606DB" w:rsidRDefault="00162CE2" w:rsidP="00056F35">
      <w:pPr>
        <w:pStyle w:val="a3"/>
        <w:adjustRightInd w:val="0"/>
        <w:snapToGrid w:val="0"/>
        <w:rPr>
          <w:snapToGrid w:val="0"/>
          <w:lang w:val="pt-PT"/>
        </w:rPr>
      </w:pPr>
    </w:p>
    <w:p w14:paraId="6CB6AA52" w14:textId="6AF8A8CE" w:rsidR="00162CE2" w:rsidRPr="002606DB" w:rsidRDefault="00162CE2" w:rsidP="00056F35">
      <w:pPr>
        <w:pStyle w:val="a3"/>
        <w:adjustRightInd w:val="0"/>
        <w:snapToGrid w:val="0"/>
        <w:rPr>
          <w:snapToGrid w:val="0"/>
          <w:lang w:val="pt-PT"/>
        </w:rPr>
      </w:pPr>
      <w:r w:rsidRPr="002606DB">
        <w:rPr>
          <w:snapToGrid w:val="0"/>
          <w:lang w:val="pt-PT"/>
        </w:rPr>
        <w:t>A análise dos dados de segurança clínica sugere que a ocorrência de hipertensão arterial e proteinúria com a terapêutica com bevacizumab está provavelmente relacionada com a dose.</w:t>
      </w:r>
    </w:p>
    <w:p w14:paraId="36B1082C" w14:textId="77777777" w:rsidR="00162CE2" w:rsidRPr="002606DB" w:rsidRDefault="00162CE2" w:rsidP="00056F35">
      <w:pPr>
        <w:pStyle w:val="a3"/>
        <w:adjustRightInd w:val="0"/>
        <w:snapToGrid w:val="0"/>
        <w:rPr>
          <w:snapToGrid w:val="0"/>
          <w:lang w:val="pt-PT"/>
        </w:rPr>
      </w:pPr>
    </w:p>
    <w:p w14:paraId="4093478B" w14:textId="77777777" w:rsidR="00162CE2" w:rsidRPr="002606DB" w:rsidRDefault="00162CE2" w:rsidP="00056F35">
      <w:pPr>
        <w:pStyle w:val="a3"/>
        <w:adjustRightInd w:val="0"/>
        <w:snapToGrid w:val="0"/>
        <w:rPr>
          <w:snapToGrid w:val="0"/>
          <w:lang w:val="pt-PT"/>
        </w:rPr>
      </w:pPr>
      <w:r w:rsidRPr="002606DB">
        <w:rPr>
          <w:snapToGrid w:val="0"/>
          <w:u w:val="single"/>
          <w:lang w:val="pt-PT"/>
        </w:rPr>
        <w:t>Lista tabular das reações adversas</w:t>
      </w:r>
    </w:p>
    <w:p w14:paraId="6D2C64E1" w14:textId="77777777" w:rsidR="00162CE2" w:rsidRPr="002606DB" w:rsidRDefault="00162CE2" w:rsidP="00056F35">
      <w:pPr>
        <w:pStyle w:val="a3"/>
        <w:adjustRightInd w:val="0"/>
        <w:snapToGrid w:val="0"/>
        <w:rPr>
          <w:snapToGrid w:val="0"/>
          <w:lang w:val="pt-PT"/>
        </w:rPr>
      </w:pPr>
    </w:p>
    <w:p w14:paraId="5B26ED38" w14:textId="5BDEF9E4" w:rsidR="00162CE2" w:rsidRPr="002606DB" w:rsidRDefault="00162CE2" w:rsidP="00056F35">
      <w:pPr>
        <w:pStyle w:val="a3"/>
        <w:adjustRightInd w:val="0"/>
        <w:snapToGrid w:val="0"/>
        <w:rPr>
          <w:snapToGrid w:val="0"/>
          <w:lang w:val="pt-PT"/>
        </w:rPr>
      </w:pPr>
      <w:r w:rsidRPr="002606DB">
        <w:rPr>
          <w:snapToGrid w:val="0"/>
          <w:lang w:val="pt-PT"/>
        </w:rPr>
        <w:t xml:space="preserve">As reações adversas listadas nesta secção pertencem às seguintes categorias de frequência: </w:t>
      </w:r>
      <w:r w:rsidR="001B1CFD" w:rsidRPr="007155C0">
        <w:rPr>
          <w:lang w:val="pt-PT"/>
        </w:rPr>
        <w:t>m</w:t>
      </w:r>
      <w:r w:rsidRPr="002606DB">
        <w:rPr>
          <w:snapToGrid w:val="0"/>
          <w:lang w:val="pt-PT"/>
        </w:rPr>
        <w:t>uito frequentes (≥1/10); frequentes (≥1/100 a &lt;1/10); pouco frequentes (≥1/1.000 a &lt;1/100); raros (≥1/10.000 a &lt;1/1.000); muito raros (&lt;1/10.000); desconhecido (não pode ser calculado a partir dos dados disponíveis).</w:t>
      </w:r>
    </w:p>
    <w:p w14:paraId="7F676351" w14:textId="77777777" w:rsidR="00162CE2" w:rsidRPr="002606DB" w:rsidRDefault="00162CE2" w:rsidP="00056F35">
      <w:pPr>
        <w:pStyle w:val="a3"/>
        <w:adjustRightInd w:val="0"/>
        <w:snapToGrid w:val="0"/>
        <w:rPr>
          <w:snapToGrid w:val="0"/>
          <w:lang w:val="pt-PT"/>
        </w:rPr>
      </w:pPr>
    </w:p>
    <w:p w14:paraId="3C5A22CC" w14:textId="6070CD69" w:rsidR="00162CE2" w:rsidRPr="002606DB" w:rsidRDefault="00162CE2" w:rsidP="00056F35">
      <w:pPr>
        <w:pStyle w:val="a3"/>
        <w:adjustRightInd w:val="0"/>
        <w:snapToGrid w:val="0"/>
        <w:rPr>
          <w:snapToGrid w:val="0"/>
          <w:lang w:val="pt-PT"/>
        </w:rPr>
      </w:pPr>
      <w:r w:rsidRPr="002606DB">
        <w:rPr>
          <w:snapToGrid w:val="0"/>
          <w:lang w:val="pt-PT"/>
        </w:rPr>
        <w:t>As Tabelas 1 e 2 listam as reações adversas relacionadas com a utilização de bevacizumab em associação com diferentes regimes de quimioterapia, em várias indicações, por classe de sistemas de órgãos MedDRA.</w:t>
      </w:r>
    </w:p>
    <w:p w14:paraId="68F5B610" w14:textId="77777777" w:rsidR="00162CE2" w:rsidRPr="002606DB" w:rsidRDefault="00162CE2" w:rsidP="00056F35">
      <w:pPr>
        <w:pStyle w:val="a3"/>
        <w:adjustRightInd w:val="0"/>
        <w:snapToGrid w:val="0"/>
        <w:rPr>
          <w:snapToGrid w:val="0"/>
          <w:lang w:val="pt-PT"/>
        </w:rPr>
      </w:pPr>
    </w:p>
    <w:p w14:paraId="3556685E" w14:textId="3E568C71" w:rsidR="00162CE2" w:rsidRPr="002606DB" w:rsidRDefault="00162CE2" w:rsidP="00056F35">
      <w:pPr>
        <w:pStyle w:val="a3"/>
        <w:adjustRightInd w:val="0"/>
        <w:snapToGrid w:val="0"/>
        <w:jc w:val="both"/>
        <w:rPr>
          <w:snapToGrid w:val="0"/>
          <w:lang w:val="pt-PT"/>
        </w:rPr>
      </w:pPr>
      <w:r w:rsidRPr="002606DB">
        <w:rPr>
          <w:snapToGrid w:val="0"/>
          <w:lang w:val="pt-PT"/>
        </w:rPr>
        <w:t>A tabela 1 apresenta todas as reações adversas</w:t>
      </w:r>
      <w:r w:rsidR="003E6859" w:rsidRPr="008E19BD">
        <w:t>,</w:t>
      </w:r>
      <w:r w:rsidRPr="002606DB">
        <w:rPr>
          <w:snapToGrid w:val="0"/>
          <w:lang w:val="pt-PT"/>
        </w:rPr>
        <w:t xml:space="preserve"> por frequência</w:t>
      </w:r>
      <w:r w:rsidR="003E6859" w:rsidRPr="008E19BD">
        <w:t>,</w:t>
      </w:r>
      <w:r w:rsidRPr="002606DB">
        <w:rPr>
          <w:snapToGrid w:val="0"/>
          <w:lang w:val="pt-PT"/>
        </w:rPr>
        <w:t xml:space="preserve"> que foram determinadas como tendo uma relação causal com </w:t>
      </w:r>
      <w:r w:rsidR="00FC34B8" w:rsidRPr="00361C98">
        <w:rPr>
          <w:color w:val="000000"/>
          <w:lang w:val="en-GB"/>
        </w:rPr>
        <w:t>bevacizumab</w:t>
      </w:r>
      <w:r w:rsidRPr="002606DB">
        <w:rPr>
          <w:snapToGrid w:val="0"/>
          <w:lang w:val="pt-PT"/>
        </w:rPr>
        <w:t>, através de:</w:t>
      </w:r>
    </w:p>
    <w:p w14:paraId="4EEEAED8" w14:textId="3AF55570" w:rsidR="00162CE2" w:rsidRPr="002606DB" w:rsidRDefault="00162CE2" w:rsidP="00702512">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 xml:space="preserve">incidências comparativas observadas entre </w:t>
      </w:r>
      <w:r w:rsidR="00EE5C44">
        <w:rPr>
          <w:snapToGrid w:val="0"/>
          <w:lang w:val="pt-PT"/>
        </w:rPr>
        <w:t>grupos</w:t>
      </w:r>
      <w:r w:rsidR="00B72472">
        <w:rPr>
          <w:snapToGrid w:val="0"/>
          <w:lang w:val="pt-PT"/>
        </w:rPr>
        <w:t xml:space="preserve"> </w:t>
      </w:r>
      <w:r w:rsidRPr="002606DB">
        <w:rPr>
          <w:snapToGrid w:val="0"/>
          <w:lang w:val="pt-PT"/>
        </w:rPr>
        <w:t>de tratamento de ensaios clínicos (com uma diferença de pelo menos 10% para reações de Grau 1-5 do NCI</w:t>
      </w:r>
      <w:r w:rsidR="000650DE">
        <w:rPr>
          <w:snapToGrid w:val="0"/>
          <w:lang w:val="pt-PT"/>
        </w:rPr>
        <w:t>-</w:t>
      </w:r>
      <w:r w:rsidRPr="002606DB">
        <w:rPr>
          <w:snapToGrid w:val="0"/>
          <w:lang w:val="pt-PT"/>
        </w:rPr>
        <w:t xml:space="preserve">CTCAE em comparação com o </w:t>
      </w:r>
      <w:r w:rsidR="00B72472">
        <w:rPr>
          <w:snapToGrid w:val="0"/>
          <w:lang w:val="pt-PT"/>
        </w:rPr>
        <w:t>grupo</w:t>
      </w:r>
      <w:r w:rsidRPr="002606DB">
        <w:rPr>
          <w:snapToGrid w:val="0"/>
          <w:lang w:val="pt-PT"/>
        </w:rPr>
        <w:t xml:space="preserve"> de controlo ou uma diferença de pelo menos 2% para reações de Grau 3-5 do NCI</w:t>
      </w:r>
      <w:r w:rsidR="000650DE">
        <w:rPr>
          <w:snapToGrid w:val="0"/>
          <w:lang w:val="pt-PT"/>
        </w:rPr>
        <w:t>-</w:t>
      </w:r>
      <w:r w:rsidRPr="002606DB">
        <w:rPr>
          <w:snapToGrid w:val="0"/>
          <w:lang w:val="pt-PT"/>
        </w:rPr>
        <w:t xml:space="preserve">CTCAE em comparação com o </w:t>
      </w:r>
      <w:r w:rsidR="00EE5C44">
        <w:rPr>
          <w:snapToGrid w:val="0"/>
          <w:lang w:val="pt-PT"/>
        </w:rPr>
        <w:t xml:space="preserve">grupo </w:t>
      </w:r>
      <w:r w:rsidRPr="002606DB">
        <w:rPr>
          <w:snapToGrid w:val="0"/>
          <w:lang w:val="pt-PT"/>
        </w:rPr>
        <w:t>de controlo),</w:t>
      </w:r>
    </w:p>
    <w:p w14:paraId="35B6865C" w14:textId="77777777" w:rsidR="00162CE2" w:rsidRPr="002606DB" w:rsidRDefault="00162CE2" w:rsidP="00552771">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estudos de segurança pós-autorização,</w:t>
      </w:r>
    </w:p>
    <w:p w14:paraId="364D54DC" w14:textId="77777777" w:rsidR="00162CE2" w:rsidRPr="002606DB" w:rsidRDefault="00162CE2" w:rsidP="00552771">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notificações espontâneas,</w:t>
      </w:r>
    </w:p>
    <w:p w14:paraId="4FBD42CE" w14:textId="77777777" w:rsidR="00162CE2" w:rsidRPr="002606DB" w:rsidRDefault="00162CE2" w:rsidP="00552771">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estudos epidemiológicos/não interventivos ou estudos observacionais,</w:t>
      </w:r>
    </w:p>
    <w:p w14:paraId="2AB8AC3C" w14:textId="77777777" w:rsidR="00162CE2" w:rsidRPr="002606DB" w:rsidRDefault="00162CE2" w:rsidP="00552771">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ou através de uma avaliação de casos individuais notificados.</w:t>
      </w:r>
    </w:p>
    <w:p w14:paraId="09B433A5" w14:textId="77777777" w:rsidR="00162CE2" w:rsidRPr="002606DB" w:rsidRDefault="00162CE2" w:rsidP="00056F35">
      <w:pPr>
        <w:pStyle w:val="a3"/>
        <w:adjustRightInd w:val="0"/>
        <w:snapToGrid w:val="0"/>
        <w:rPr>
          <w:snapToGrid w:val="0"/>
          <w:lang w:val="pt-PT"/>
        </w:rPr>
      </w:pPr>
    </w:p>
    <w:p w14:paraId="612DFD1B" w14:textId="70DB81BA" w:rsidR="00162CE2" w:rsidRPr="002606DB" w:rsidRDefault="00162CE2" w:rsidP="00702512">
      <w:pPr>
        <w:pStyle w:val="a3"/>
        <w:adjustRightInd w:val="0"/>
        <w:snapToGrid w:val="0"/>
        <w:rPr>
          <w:snapToGrid w:val="0"/>
          <w:lang w:val="pt-PT"/>
        </w:rPr>
      </w:pPr>
      <w:r w:rsidRPr="002606DB">
        <w:rPr>
          <w:snapToGrid w:val="0"/>
          <w:lang w:val="pt-PT"/>
        </w:rPr>
        <w:t>A Tabela 2 apresenta a frequência das reações adversas graves. As reações graves são definidas como acontecimentos adversos em estudos clínicos com uma diferença de pelo menos 2% para reações de Grau 3-5 do NCI</w:t>
      </w:r>
      <w:r w:rsidR="00CB754C">
        <w:rPr>
          <w:snapToGrid w:val="0"/>
          <w:lang w:val="pt-PT"/>
        </w:rPr>
        <w:t>-</w:t>
      </w:r>
      <w:r w:rsidRPr="002606DB">
        <w:rPr>
          <w:snapToGrid w:val="0"/>
          <w:lang w:val="pt-PT"/>
        </w:rPr>
        <w:t xml:space="preserve">CTCAE em comparação com o </w:t>
      </w:r>
      <w:r w:rsidR="00B72472">
        <w:rPr>
          <w:snapToGrid w:val="0"/>
          <w:lang w:val="pt-PT"/>
        </w:rPr>
        <w:t>grupo</w:t>
      </w:r>
      <w:r w:rsidRPr="002606DB">
        <w:rPr>
          <w:snapToGrid w:val="0"/>
          <w:lang w:val="pt-PT"/>
        </w:rPr>
        <w:t xml:space="preserve"> de controlo. A tabela 2 também inclui reações adversas que são consideradas pelo titular de AIM como sendo clinicamente significativas ou graves.</w:t>
      </w:r>
    </w:p>
    <w:p w14:paraId="3C53EF8B" w14:textId="77777777" w:rsidR="00162CE2" w:rsidRPr="002606DB" w:rsidRDefault="00162CE2" w:rsidP="00056F35">
      <w:pPr>
        <w:pStyle w:val="a3"/>
        <w:adjustRightInd w:val="0"/>
        <w:snapToGrid w:val="0"/>
        <w:rPr>
          <w:snapToGrid w:val="0"/>
          <w:lang w:val="pt-PT"/>
        </w:rPr>
      </w:pPr>
    </w:p>
    <w:p w14:paraId="7B196F33" w14:textId="77777777" w:rsidR="00162CE2" w:rsidRPr="002606DB" w:rsidRDefault="00162CE2" w:rsidP="00056F35">
      <w:pPr>
        <w:pStyle w:val="a3"/>
        <w:adjustRightInd w:val="0"/>
        <w:snapToGrid w:val="0"/>
        <w:rPr>
          <w:snapToGrid w:val="0"/>
          <w:lang w:val="pt-PT"/>
        </w:rPr>
      </w:pPr>
      <w:r w:rsidRPr="002606DB">
        <w:rPr>
          <w:snapToGrid w:val="0"/>
          <w:lang w:val="pt-PT"/>
        </w:rPr>
        <w:t>As reações adversas pós-comercialização são incluídas nas Tabelas 1 e 2, quando aplicável. Informação detalhada sobre estas reações pós-comercialização são apresentadas na Tabela 3.</w:t>
      </w:r>
    </w:p>
    <w:p w14:paraId="19CBF137" w14:textId="77777777" w:rsidR="00162CE2" w:rsidRPr="002606DB" w:rsidRDefault="00162CE2" w:rsidP="00056F35">
      <w:pPr>
        <w:adjustRightInd w:val="0"/>
        <w:snapToGrid w:val="0"/>
        <w:rPr>
          <w:snapToGrid w:val="0"/>
          <w:lang w:val="pt-PT"/>
        </w:rPr>
      </w:pPr>
    </w:p>
    <w:p w14:paraId="3FF17DDB" w14:textId="77777777" w:rsidR="00162CE2" w:rsidRPr="002606DB" w:rsidRDefault="00162CE2" w:rsidP="00056F35">
      <w:pPr>
        <w:pStyle w:val="a3"/>
        <w:adjustRightInd w:val="0"/>
        <w:snapToGrid w:val="0"/>
        <w:rPr>
          <w:snapToGrid w:val="0"/>
          <w:lang w:val="pt-PT"/>
        </w:rPr>
      </w:pPr>
      <w:r w:rsidRPr="002606DB">
        <w:rPr>
          <w:snapToGrid w:val="0"/>
          <w:lang w:val="pt-PT"/>
        </w:rPr>
        <w:t>Nas tabelas seguintes, as reações adversas são incluídas na categoria de frequência apropriada de acordo com a incidência mais elevada, observada em qualquer indicação.</w:t>
      </w:r>
    </w:p>
    <w:p w14:paraId="2E762136" w14:textId="77777777" w:rsidR="00162CE2" w:rsidRPr="002606DB" w:rsidRDefault="00162CE2" w:rsidP="00056F35">
      <w:pPr>
        <w:pStyle w:val="a3"/>
        <w:adjustRightInd w:val="0"/>
        <w:snapToGrid w:val="0"/>
        <w:rPr>
          <w:snapToGrid w:val="0"/>
          <w:lang w:val="pt-PT"/>
        </w:rPr>
      </w:pPr>
      <w:r w:rsidRPr="002606DB">
        <w:rPr>
          <w:snapToGrid w:val="0"/>
          <w:lang w:val="pt-PT"/>
        </w:rPr>
        <w:t>Dentro de cada categoria de frequência as reações adversas são apresentadas por ordem decrescente de gravidade.</w:t>
      </w:r>
    </w:p>
    <w:p w14:paraId="04E4E89E" w14:textId="77777777" w:rsidR="00162CE2" w:rsidRPr="002606DB" w:rsidRDefault="00162CE2" w:rsidP="00056F35">
      <w:pPr>
        <w:pStyle w:val="a3"/>
        <w:adjustRightInd w:val="0"/>
        <w:snapToGrid w:val="0"/>
        <w:rPr>
          <w:snapToGrid w:val="0"/>
          <w:lang w:val="pt-PT"/>
        </w:rPr>
      </w:pPr>
    </w:p>
    <w:p w14:paraId="5CBC9A43" w14:textId="14257E3E" w:rsidR="00162CE2" w:rsidRPr="002606DB" w:rsidRDefault="00162CE2" w:rsidP="00056F35">
      <w:pPr>
        <w:pStyle w:val="a3"/>
        <w:adjustRightInd w:val="0"/>
        <w:snapToGrid w:val="0"/>
        <w:rPr>
          <w:snapToGrid w:val="0"/>
          <w:lang w:val="pt-PT"/>
        </w:rPr>
      </w:pPr>
      <w:r w:rsidRPr="002606DB">
        <w:rPr>
          <w:snapToGrid w:val="0"/>
          <w:lang w:val="pt-PT"/>
        </w:rPr>
        <w:t xml:space="preserve">Algumas das reações adversas são reações frequentemente observadas com quimioterapia; no entanto, </w:t>
      </w:r>
      <w:r w:rsidR="00CB754C" w:rsidRPr="007155C0">
        <w:rPr>
          <w:lang w:val="pt-PT"/>
        </w:rPr>
        <w:t>bevacizumab</w:t>
      </w:r>
      <w:r w:rsidRPr="002606DB">
        <w:rPr>
          <w:snapToGrid w:val="0"/>
          <w:lang w:val="pt-PT"/>
        </w:rPr>
        <w:t xml:space="preserve"> poderá exacerbar estas reações quando associado a agentes de quimioterapia. Exemplos incluem síndrome de eritrodisestesia palmoplantar com doxorrubicina lipossómica peguilada ou capecitabina, neuropatia sensorial periférica com paclitaxel ou oxaliplatina, anomalia das unhas ou alopécia com paclitaxel e paroníquia com erlotinib.</w:t>
      </w:r>
    </w:p>
    <w:p w14:paraId="4A76E444" w14:textId="77777777" w:rsidR="00162CE2" w:rsidRPr="002606DB" w:rsidRDefault="00162CE2" w:rsidP="00056F35">
      <w:pPr>
        <w:pStyle w:val="a3"/>
        <w:adjustRightInd w:val="0"/>
        <w:snapToGrid w:val="0"/>
        <w:rPr>
          <w:snapToGrid w:val="0"/>
          <w:lang w:val="pt-PT"/>
        </w:rPr>
      </w:pPr>
    </w:p>
    <w:p w14:paraId="4E1FDC12" w14:textId="09CEABC0" w:rsidR="00162CE2" w:rsidRPr="00730741" w:rsidRDefault="00F71117"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1:</w:t>
      </w:r>
      <w:r w:rsidR="00162CE2" w:rsidRPr="00730741">
        <w:rPr>
          <w:b/>
          <w:bCs/>
          <w:snapToGrid w:val="0"/>
          <w:lang w:val="pt-PT"/>
        </w:rPr>
        <w:tab/>
        <w:t>Reações adversas por frequência</w:t>
      </w:r>
    </w:p>
    <w:p w14:paraId="374A7070"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594"/>
        <w:gridCol w:w="1398"/>
        <w:gridCol w:w="1399"/>
        <w:gridCol w:w="1051"/>
        <w:gridCol w:w="1146"/>
        <w:gridCol w:w="1160"/>
        <w:gridCol w:w="1318"/>
      </w:tblGrid>
      <w:tr w:rsidR="00162CE2" w:rsidRPr="002606DB" w14:paraId="2080C0F6" w14:textId="77777777" w:rsidTr="0059793E">
        <w:trPr>
          <w:tblHeader/>
        </w:trPr>
        <w:tc>
          <w:tcPr>
            <w:tcW w:w="1617" w:type="dxa"/>
          </w:tcPr>
          <w:p w14:paraId="4663D5A0" w14:textId="72C60995" w:rsidR="00162CE2" w:rsidRPr="00914003" w:rsidRDefault="00162CE2" w:rsidP="008A56ED">
            <w:pPr>
              <w:pStyle w:val="TableParagraph"/>
              <w:adjustRightInd w:val="0"/>
              <w:snapToGrid w:val="0"/>
              <w:rPr>
                <w:b/>
                <w:bCs/>
                <w:snapToGrid w:val="0"/>
                <w:sz w:val="20"/>
                <w:szCs w:val="20"/>
                <w:lang w:val="pt-PT"/>
              </w:rPr>
            </w:pPr>
            <w:r w:rsidRPr="00914003">
              <w:rPr>
                <w:b/>
                <w:bCs/>
                <w:snapToGrid w:val="0"/>
                <w:sz w:val="20"/>
                <w:szCs w:val="20"/>
                <w:lang w:val="pt-PT"/>
              </w:rPr>
              <w:t>Classes de sistemas de</w:t>
            </w:r>
            <w:r w:rsidR="008A56ED" w:rsidRPr="00914003">
              <w:rPr>
                <w:b/>
                <w:bCs/>
                <w:snapToGrid w:val="0"/>
                <w:sz w:val="20"/>
                <w:szCs w:val="20"/>
                <w:lang w:val="pt-PT"/>
              </w:rPr>
              <w:t xml:space="preserve"> </w:t>
            </w:r>
            <w:r w:rsidRPr="00914003">
              <w:rPr>
                <w:b/>
                <w:bCs/>
                <w:snapToGrid w:val="0"/>
                <w:sz w:val="20"/>
                <w:szCs w:val="20"/>
                <w:lang w:val="pt-PT"/>
              </w:rPr>
              <w:t>órgãos</w:t>
            </w:r>
          </w:p>
        </w:tc>
        <w:tc>
          <w:tcPr>
            <w:tcW w:w="1417" w:type="dxa"/>
          </w:tcPr>
          <w:p w14:paraId="7F0727FF" w14:textId="77777777" w:rsidR="00162CE2" w:rsidRPr="00914003" w:rsidRDefault="00162CE2" w:rsidP="008A56ED">
            <w:pPr>
              <w:pStyle w:val="TableParagraph"/>
              <w:adjustRightInd w:val="0"/>
              <w:snapToGrid w:val="0"/>
              <w:rPr>
                <w:b/>
                <w:bCs/>
                <w:snapToGrid w:val="0"/>
                <w:sz w:val="20"/>
                <w:szCs w:val="20"/>
                <w:lang w:val="pt-PT"/>
              </w:rPr>
            </w:pPr>
            <w:r w:rsidRPr="00914003">
              <w:rPr>
                <w:b/>
                <w:bCs/>
                <w:snapToGrid w:val="0"/>
                <w:sz w:val="20"/>
                <w:szCs w:val="20"/>
                <w:lang w:val="pt-PT"/>
              </w:rPr>
              <w:t>Muito frequentes</w:t>
            </w:r>
          </w:p>
        </w:tc>
        <w:tc>
          <w:tcPr>
            <w:tcW w:w="1418" w:type="dxa"/>
          </w:tcPr>
          <w:p w14:paraId="50966FC6" w14:textId="77777777" w:rsidR="00162CE2" w:rsidRPr="00914003" w:rsidRDefault="00162CE2" w:rsidP="008A56ED">
            <w:pPr>
              <w:pStyle w:val="TableParagraph"/>
              <w:adjustRightInd w:val="0"/>
              <w:snapToGrid w:val="0"/>
              <w:rPr>
                <w:b/>
                <w:bCs/>
                <w:snapToGrid w:val="0"/>
                <w:sz w:val="20"/>
                <w:szCs w:val="20"/>
                <w:lang w:val="pt-PT"/>
              </w:rPr>
            </w:pPr>
            <w:r w:rsidRPr="00914003">
              <w:rPr>
                <w:b/>
                <w:bCs/>
                <w:snapToGrid w:val="0"/>
                <w:sz w:val="20"/>
                <w:szCs w:val="20"/>
                <w:lang w:val="pt-PT"/>
              </w:rPr>
              <w:t>Frequentes</w:t>
            </w:r>
          </w:p>
        </w:tc>
        <w:tc>
          <w:tcPr>
            <w:tcW w:w="1065" w:type="dxa"/>
          </w:tcPr>
          <w:p w14:paraId="364AEECC" w14:textId="615BBD57" w:rsidR="00162CE2" w:rsidRPr="00914003" w:rsidRDefault="00162CE2" w:rsidP="008A56ED">
            <w:pPr>
              <w:pStyle w:val="TableParagraph"/>
              <w:adjustRightInd w:val="0"/>
              <w:snapToGrid w:val="0"/>
              <w:rPr>
                <w:b/>
                <w:bCs/>
                <w:snapToGrid w:val="0"/>
                <w:sz w:val="20"/>
                <w:szCs w:val="20"/>
                <w:lang w:val="pt-PT"/>
              </w:rPr>
            </w:pPr>
            <w:r w:rsidRPr="00914003" w:rsidDel="00CA5E1C">
              <w:rPr>
                <w:b/>
                <w:bCs/>
                <w:snapToGrid w:val="0"/>
                <w:sz w:val="20"/>
                <w:szCs w:val="20"/>
                <w:lang w:val="pt-PT"/>
              </w:rPr>
              <w:t xml:space="preserve">Pouco </w:t>
            </w:r>
            <w:r w:rsidR="00BA70E8" w:rsidDel="00CA5E1C">
              <w:rPr>
                <w:b/>
                <w:bCs/>
                <w:snapToGrid w:val="0"/>
                <w:sz w:val="20"/>
                <w:szCs w:val="20"/>
                <w:lang w:val="pt-PT"/>
              </w:rPr>
              <w:t>f</w:t>
            </w:r>
            <w:r w:rsidRPr="00914003" w:rsidDel="00CA5E1C">
              <w:rPr>
                <w:b/>
                <w:bCs/>
                <w:snapToGrid w:val="0"/>
                <w:sz w:val="20"/>
                <w:szCs w:val="20"/>
                <w:lang w:val="pt-PT"/>
              </w:rPr>
              <w:t>requentes</w:t>
            </w:r>
          </w:p>
        </w:tc>
        <w:tc>
          <w:tcPr>
            <w:tcW w:w="1161" w:type="dxa"/>
          </w:tcPr>
          <w:p w14:paraId="73B7E937" w14:textId="77777777" w:rsidR="00162CE2" w:rsidRPr="00914003" w:rsidRDefault="00162CE2" w:rsidP="008A56ED">
            <w:pPr>
              <w:pStyle w:val="TableParagraph"/>
              <w:adjustRightInd w:val="0"/>
              <w:snapToGrid w:val="0"/>
              <w:rPr>
                <w:b/>
                <w:bCs/>
                <w:snapToGrid w:val="0"/>
                <w:sz w:val="20"/>
                <w:szCs w:val="20"/>
                <w:lang w:val="pt-PT"/>
              </w:rPr>
            </w:pPr>
            <w:r w:rsidRPr="00914003">
              <w:rPr>
                <w:b/>
                <w:bCs/>
                <w:snapToGrid w:val="0"/>
                <w:sz w:val="20"/>
                <w:szCs w:val="20"/>
                <w:lang w:val="pt-PT"/>
              </w:rPr>
              <w:t>Raros</w:t>
            </w:r>
          </w:p>
        </w:tc>
        <w:tc>
          <w:tcPr>
            <w:tcW w:w="1176" w:type="dxa"/>
          </w:tcPr>
          <w:p w14:paraId="717ACC67" w14:textId="77777777" w:rsidR="00162CE2" w:rsidRPr="00914003" w:rsidRDefault="00162CE2" w:rsidP="008A56ED">
            <w:pPr>
              <w:pStyle w:val="TableParagraph"/>
              <w:adjustRightInd w:val="0"/>
              <w:snapToGrid w:val="0"/>
              <w:rPr>
                <w:b/>
                <w:bCs/>
                <w:snapToGrid w:val="0"/>
                <w:sz w:val="20"/>
                <w:szCs w:val="20"/>
                <w:lang w:val="pt-PT"/>
              </w:rPr>
            </w:pPr>
            <w:r w:rsidRPr="00914003">
              <w:rPr>
                <w:b/>
                <w:bCs/>
                <w:snapToGrid w:val="0"/>
                <w:sz w:val="20"/>
                <w:szCs w:val="20"/>
                <w:lang w:val="pt-PT"/>
              </w:rPr>
              <w:t>Muito raros</w:t>
            </w:r>
          </w:p>
        </w:tc>
        <w:tc>
          <w:tcPr>
            <w:tcW w:w="1336" w:type="dxa"/>
          </w:tcPr>
          <w:p w14:paraId="0F007B24" w14:textId="387FC05C" w:rsidR="00162CE2" w:rsidRPr="00914003" w:rsidRDefault="00162CE2" w:rsidP="008A56ED">
            <w:pPr>
              <w:pStyle w:val="TableParagraph"/>
              <w:adjustRightInd w:val="0"/>
              <w:snapToGrid w:val="0"/>
              <w:rPr>
                <w:b/>
                <w:bCs/>
                <w:snapToGrid w:val="0"/>
                <w:sz w:val="20"/>
                <w:szCs w:val="20"/>
                <w:lang w:val="pt-PT"/>
              </w:rPr>
            </w:pPr>
            <w:r w:rsidRPr="00914003">
              <w:rPr>
                <w:b/>
                <w:bCs/>
                <w:snapToGrid w:val="0"/>
                <w:sz w:val="20"/>
                <w:szCs w:val="20"/>
                <w:lang w:val="pt-PT"/>
              </w:rPr>
              <w:t xml:space="preserve">Frequência </w:t>
            </w:r>
            <w:r w:rsidR="00FC34B8">
              <w:rPr>
                <w:b/>
                <w:bCs/>
                <w:snapToGrid w:val="0"/>
                <w:sz w:val="20"/>
                <w:szCs w:val="20"/>
                <w:lang w:val="pt-PT"/>
              </w:rPr>
              <w:t>d</w:t>
            </w:r>
            <w:r w:rsidRPr="00914003">
              <w:rPr>
                <w:b/>
                <w:bCs/>
                <w:snapToGrid w:val="0"/>
                <w:sz w:val="20"/>
                <w:szCs w:val="20"/>
                <w:lang w:val="pt-PT"/>
              </w:rPr>
              <w:t>esconhecida</w:t>
            </w:r>
          </w:p>
        </w:tc>
      </w:tr>
      <w:tr w:rsidR="00162CE2" w:rsidRPr="002606DB" w14:paraId="0B87D9A4" w14:textId="77777777" w:rsidTr="0059793E">
        <w:tc>
          <w:tcPr>
            <w:tcW w:w="1617" w:type="dxa"/>
          </w:tcPr>
          <w:p w14:paraId="06776FA4"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Infeções e infestações</w:t>
            </w:r>
          </w:p>
        </w:tc>
        <w:tc>
          <w:tcPr>
            <w:tcW w:w="1417" w:type="dxa"/>
          </w:tcPr>
          <w:p w14:paraId="2F02AAFD" w14:textId="77777777" w:rsidR="00162CE2" w:rsidRPr="00914003" w:rsidRDefault="00162CE2" w:rsidP="008A56ED">
            <w:pPr>
              <w:pStyle w:val="TableParagraph"/>
              <w:adjustRightInd w:val="0"/>
              <w:snapToGrid w:val="0"/>
              <w:rPr>
                <w:snapToGrid w:val="0"/>
                <w:sz w:val="20"/>
                <w:szCs w:val="20"/>
                <w:lang w:val="pt-PT"/>
              </w:rPr>
            </w:pPr>
          </w:p>
        </w:tc>
        <w:tc>
          <w:tcPr>
            <w:tcW w:w="1418" w:type="dxa"/>
          </w:tcPr>
          <w:p w14:paraId="3B375328" w14:textId="5A5D43DA"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 xml:space="preserve">Sepsis, </w:t>
            </w:r>
            <w:r w:rsidR="00FC34B8">
              <w:rPr>
                <w:snapToGrid w:val="0"/>
                <w:sz w:val="20"/>
                <w:szCs w:val="20"/>
                <w:lang w:val="pt-PT"/>
              </w:rPr>
              <w:t>a</w:t>
            </w:r>
            <w:r w:rsidRPr="00914003">
              <w:rPr>
                <w:snapToGrid w:val="0"/>
                <w:sz w:val="20"/>
                <w:szCs w:val="20"/>
                <w:lang w:val="pt-PT"/>
              </w:rPr>
              <w:t>bcessos</w:t>
            </w:r>
            <w:r w:rsidRPr="00914003">
              <w:rPr>
                <w:snapToGrid w:val="0"/>
                <w:sz w:val="20"/>
                <w:szCs w:val="20"/>
                <w:vertAlign w:val="superscript"/>
                <w:lang w:val="pt-PT"/>
              </w:rPr>
              <w:t>b,d</w:t>
            </w:r>
            <w:r w:rsidRPr="001C687C">
              <w:rPr>
                <w:snapToGrid w:val="0"/>
                <w:sz w:val="20"/>
                <w:szCs w:val="20"/>
                <w:lang w:val="pt-PT"/>
              </w:rPr>
              <w:t>,</w:t>
            </w:r>
            <w:r w:rsidRPr="00914003">
              <w:rPr>
                <w:snapToGrid w:val="0"/>
                <w:sz w:val="20"/>
                <w:szCs w:val="20"/>
                <w:vertAlign w:val="superscript"/>
                <w:lang w:val="pt-PT"/>
              </w:rPr>
              <w:t xml:space="preserve"> </w:t>
            </w:r>
            <w:r w:rsidR="00FC34B8">
              <w:rPr>
                <w:snapToGrid w:val="0"/>
                <w:sz w:val="20"/>
                <w:szCs w:val="20"/>
                <w:lang w:val="pt-PT"/>
              </w:rPr>
              <w:t>c</w:t>
            </w:r>
            <w:r w:rsidRPr="00914003">
              <w:rPr>
                <w:snapToGrid w:val="0"/>
                <w:sz w:val="20"/>
                <w:szCs w:val="20"/>
                <w:lang w:val="pt-PT"/>
              </w:rPr>
              <w:t xml:space="preserve">elulite, </w:t>
            </w:r>
            <w:r w:rsidR="00FC34B8">
              <w:rPr>
                <w:snapToGrid w:val="0"/>
                <w:sz w:val="20"/>
                <w:szCs w:val="20"/>
                <w:lang w:val="pt-PT"/>
              </w:rPr>
              <w:t>i</w:t>
            </w:r>
            <w:r w:rsidRPr="00914003">
              <w:rPr>
                <w:snapToGrid w:val="0"/>
                <w:sz w:val="20"/>
                <w:szCs w:val="20"/>
                <w:lang w:val="pt-PT"/>
              </w:rPr>
              <w:t xml:space="preserve">nfeção, </w:t>
            </w:r>
            <w:r w:rsidR="00FC34B8">
              <w:rPr>
                <w:snapToGrid w:val="0"/>
                <w:sz w:val="20"/>
                <w:szCs w:val="20"/>
                <w:lang w:val="pt-PT"/>
              </w:rPr>
              <w:t>i</w:t>
            </w:r>
            <w:r w:rsidRPr="00914003">
              <w:rPr>
                <w:snapToGrid w:val="0"/>
                <w:sz w:val="20"/>
                <w:szCs w:val="20"/>
                <w:lang w:val="pt-PT"/>
              </w:rPr>
              <w:t>nfeção</w:t>
            </w:r>
            <w:r w:rsidR="0059793E" w:rsidRPr="00914003">
              <w:rPr>
                <w:snapToGrid w:val="0"/>
                <w:sz w:val="20"/>
                <w:szCs w:val="20"/>
                <w:lang w:val="pt-PT"/>
              </w:rPr>
              <w:t xml:space="preserve"> </w:t>
            </w:r>
            <w:r w:rsidRPr="00914003">
              <w:rPr>
                <w:snapToGrid w:val="0"/>
                <w:sz w:val="20"/>
                <w:szCs w:val="20"/>
                <w:lang w:val="pt-PT"/>
              </w:rPr>
              <w:t>do trato urinário</w:t>
            </w:r>
          </w:p>
        </w:tc>
        <w:tc>
          <w:tcPr>
            <w:tcW w:w="1065" w:type="dxa"/>
          </w:tcPr>
          <w:p w14:paraId="547DFBB3"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002DD786"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Fascite necrotizante</w:t>
            </w:r>
            <w:r w:rsidRPr="00914003">
              <w:rPr>
                <w:snapToGrid w:val="0"/>
                <w:sz w:val="20"/>
                <w:szCs w:val="20"/>
                <w:vertAlign w:val="superscript"/>
                <w:lang w:val="pt-PT"/>
              </w:rPr>
              <w:t>a</w:t>
            </w:r>
          </w:p>
        </w:tc>
        <w:tc>
          <w:tcPr>
            <w:tcW w:w="1176" w:type="dxa"/>
          </w:tcPr>
          <w:p w14:paraId="79B1ECD1"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39D71686"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6E8E33F6" w14:textId="77777777" w:rsidTr="0059793E">
        <w:tc>
          <w:tcPr>
            <w:tcW w:w="1617" w:type="dxa"/>
          </w:tcPr>
          <w:p w14:paraId="75B51C93"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do sangue e do sistema linfático</w:t>
            </w:r>
          </w:p>
        </w:tc>
        <w:tc>
          <w:tcPr>
            <w:tcW w:w="1417" w:type="dxa"/>
          </w:tcPr>
          <w:p w14:paraId="401635DA" w14:textId="36ADAF13" w:rsidR="00162CE2" w:rsidRPr="00914003" w:rsidRDefault="00162CE2" w:rsidP="008A56ED">
            <w:pPr>
              <w:pStyle w:val="TableParagraph"/>
              <w:adjustRightInd w:val="0"/>
              <w:snapToGrid w:val="0"/>
              <w:rPr>
                <w:snapToGrid w:val="0"/>
                <w:sz w:val="20"/>
                <w:szCs w:val="20"/>
                <w:vertAlign w:val="superscript"/>
                <w:lang w:val="pt-PT"/>
              </w:rPr>
            </w:pPr>
            <w:r w:rsidRPr="00914003">
              <w:rPr>
                <w:snapToGrid w:val="0"/>
                <w:sz w:val="20"/>
                <w:szCs w:val="20"/>
                <w:lang w:val="pt-PT"/>
              </w:rPr>
              <w:t xml:space="preserve">Neutropenia febril, </w:t>
            </w:r>
            <w:r w:rsidR="00FC34B8">
              <w:rPr>
                <w:snapToGrid w:val="0"/>
                <w:sz w:val="20"/>
                <w:szCs w:val="20"/>
                <w:lang w:val="pt-PT"/>
              </w:rPr>
              <w:t>l</w:t>
            </w:r>
            <w:r w:rsidRPr="00914003">
              <w:rPr>
                <w:snapToGrid w:val="0"/>
                <w:sz w:val="20"/>
                <w:szCs w:val="20"/>
                <w:lang w:val="pt-PT"/>
              </w:rPr>
              <w:t xml:space="preserve">eucopenia, </w:t>
            </w:r>
            <w:r w:rsidR="00FC34B8">
              <w:rPr>
                <w:snapToGrid w:val="0"/>
                <w:sz w:val="20"/>
                <w:szCs w:val="20"/>
                <w:lang w:val="pt-PT"/>
              </w:rPr>
              <w:t>n</w:t>
            </w:r>
            <w:r w:rsidRPr="00914003">
              <w:rPr>
                <w:snapToGrid w:val="0"/>
                <w:sz w:val="20"/>
                <w:szCs w:val="20"/>
                <w:lang w:val="pt-PT"/>
              </w:rPr>
              <w:t>eutropenia</w:t>
            </w:r>
            <w:r w:rsidRPr="00914003">
              <w:rPr>
                <w:snapToGrid w:val="0"/>
                <w:sz w:val="20"/>
                <w:szCs w:val="20"/>
                <w:vertAlign w:val="superscript"/>
                <w:lang w:val="pt-PT"/>
              </w:rPr>
              <w:t>b</w:t>
            </w:r>
            <w:r w:rsidRPr="00914003">
              <w:rPr>
                <w:snapToGrid w:val="0"/>
                <w:sz w:val="20"/>
                <w:szCs w:val="20"/>
                <w:lang w:val="pt-PT"/>
              </w:rPr>
              <w:t xml:space="preserve">, </w:t>
            </w:r>
            <w:r w:rsidR="00FC34B8">
              <w:rPr>
                <w:snapToGrid w:val="0"/>
                <w:sz w:val="20"/>
                <w:szCs w:val="20"/>
                <w:lang w:val="pt-PT"/>
              </w:rPr>
              <w:t>t</w:t>
            </w:r>
            <w:r w:rsidRPr="00914003">
              <w:rPr>
                <w:snapToGrid w:val="0"/>
                <w:sz w:val="20"/>
                <w:szCs w:val="20"/>
                <w:lang w:val="pt-PT"/>
              </w:rPr>
              <w:t>rombocitopenia</w:t>
            </w:r>
          </w:p>
        </w:tc>
        <w:tc>
          <w:tcPr>
            <w:tcW w:w="1418" w:type="dxa"/>
          </w:tcPr>
          <w:p w14:paraId="2F1CCF2D" w14:textId="40223854"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 xml:space="preserve">Anemia, </w:t>
            </w:r>
            <w:r w:rsidR="00E11AA3">
              <w:rPr>
                <w:snapToGrid w:val="0"/>
                <w:sz w:val="20"/>
                <w:szCs w:val="20"/>
                <w:lang w:val="pt-PT"/>
              </w:rPr>
              <w:t>l</w:t>
            </w:r>
            <w:r w:rsidRPr="00914003">
              <w:rPr>
                <w:snapToGrid w:val="0"/>
                <w:sz w:val="20"/>
                <w:szCs w:val="20"/>
                <w:lang w:val="pt-PT"/>
              </w:rPr>
              <w:t>infopenia</w:t>
            </w:r>
          </w:p>
        </w:tc>
        <w:tc>
          <w:tcPr>
            <w:tcW w:w="1065" w:type="dxa"/>
          </w:tcPr>
          <w:p w14:paraId="7F44C929"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0CE6259B"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743D5A96"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70C91DEE"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5CE4434E" w14:textId="77777777" w:rsidTr="0059793E">
        <w:tc>
          <w:tcPr>
            <w:tcW w:w="1617" w:type="dxa"/>
          </w:tcPr>
          <w:p w14:paraId="606C51FC" w14:textId="66B09409"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do sistema</w:t>
            </w:r>
            <w:r w:rsidR="0059793E" w:rsidRPr="00914003">
              <w:rPr>
                <w:snapToGrid w:val="0"/>
                <w:sz w:val="20"/>
                <w:szCs w:val="20"/>
                <w:lang w:val="pt-PT"/>
              </w:rPr>
              <w:t xml:space="preserve"> </w:t>
            </w:r>
          </w:p>
          <w:p w14:paraId="369226DC"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imunitário</w:t>
            </w:r>
          </w:p>
        </w:tc>
        <w:tc>
          <w:tcPr>
            <w:tcW w:w="1417" w:type="dxa"/>
          </w:tcPr>
          <w:p w14:paraId="1FE9987F" w14:textId="77777777" w:rsidR="00162CE2" w:rsidRPr="00914003" w:rsidRDefault="00162CE2" w:rsidP="008A56ED">
            <w:pPr>
              <w:pStyle w:val="TableParagraph"/>
              <w:adjustRightInd w:val="0"/>
              <w:snapToGrid w:val="0"/>
              <w:rPr>
                <w:snapToGrid w:val="0"/>
                <w:sz w:val="20"/>
                <w:szCs w:val="20"/>
                <w:lang w:val="pt-PT"/>
              </w:rPr>
            </w:pPr>
          </w:p>
        </w:tc>
        <w:tc>
          <w:tcPr>
            <w:tcW w:w="1418" w:type="dxa"/>
          </w:tcPr>
          <w:p w14:paraId="5F8BFA0E" w14:textId="70688FA4" w:rsidR="00162CE2" w:rsidRPr="00914003" w:rsidRDefault="00360B37" w:rsidP="008A56ED">
            <w:pPr>
              <w:pStyle w:val="TableParagraph"/>
              <w:adjustRightInd w:val="0"/>
              <w:snapToGrid w:val="0"/>
              <w:rPr>
                <w:snapToGrid w:val="0"/>
                <w:sz w:val="20"/>
                <w:szCs w:val="20"/>
                <w:lang w:val="pt-PT"/>
              </w:rPr>
            </w:pPr>
            <w:r>
              <w:rPr>
                <w:snapToGrid w:val="0"/>
                <w:sz w:val="20"/>
                <w:szCs w:val="20"/>
                <w:lang w:val="pt-PT"/>
              </w:rPr>
              <w:t>H</w:t>
            </w:r>
            <w:r w:rsidR="00162CE2" w:rsidRPr="00914003">
              <w:rPr>
                <w:snapToGrid w:val="0"/>
                <w:sz w:val="20"/>
                <w:szCs w:val="20"/>
                <w:lang w:val="pt-PT"/>
              </w:rPr>
              <w:t>ipersensibilida</w:t>
            </w:r>
            <w:r>
              <w:rPr>
                <w:snapToGrid w:val="0"/>
                <w:sz w:val="20"/>
                <w:szCs w:val="20"/>
                <w:lang w:val="pt-PT"/>
              </w:rPr>
              <w:t>, reação</w:t>
            </w:r>
            <w:r w:rsidR="00162CE2" w:rsidRPr="00914003">
              <w:rPr>
                <w:snapToGrid w:val="0"/>
                <w:sz w:val="20"/>
                <w:szCs w:val="20"/>
                <w:lang w:val="pt-PT"/>
              </w:rPr>
              <w:t>à perfusão</w:t>
            </w:r>
            <w:r w:rsidR="00162CE2" w:rsidRPr="00914003">
              <w:rPr>
                <w:snapToGrid w:val="0"/>
                <w:sz w:val="20"/>
                <w:szCs w:val="20"/>
                <w:vertAlign w:val="superscript"/>
                <w:lang w:val="pt-PT"/>
              </w:rPr>
              <w:t>a,b,d</w:t>
            </w:r>
          </w:p>
        </w:tc>
        <w:tc>
          <w:tcPr>
            <w:tcW w:w="1065" w:type="dxa"/>
          </w:tcPr>
          <w:p w14:paraId="1804D496"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0C5C4EBE" w14:textId="69CDFCC3" w:rsidR="00162CE2" w:rsidRPr="00914003" w:rsidRDefault="00CA5E1C" w:rsidP="00CA5E1C">
            <w:pPr>
              <w:pStyle w:val="TableParagraph"/>
              <w:adjustRightInd w:val="0"/>
              <w:snapToGrid w:val="0"/>
              <w:rPr>
                <w:snapToGrid w:val="0"/>
                <w:sz w:val="20"/>
                <w:szCs w:val="20"/>
                <w:lang w:val="pt-PT"/>
              </w:rPr>
            </w:pPr>
            <w:r w:rsidRPr="00CA5E1C">
              <w:rPr>
                <w:snapToGrid w:val="0"/>
                <w:sz w:val="20"/>
                <w:szCs w:val="20"/>
                <w:lang w:val="pt-PT"/>
              </w:rPr>
              <w:t>Choque</w:t>
            </w:r>
            <w:r>
              <w:rPr>
                <w:snapToGrid w:val="0"/>
                <w:sz w:val="20"/>
                <w:szCs w:val="20"/>
                <w:lang w:val="pt-PT"/>
              </w:rPr>
              <w:t xml:space="preserve"> </w:t>
            </w:r>
            <w:r w:rsidRPr="00CA5E1C">
              <w:rPr>
                <w:snapToGrid w:val="0"/>
                <w:sz w:val="20"/>
                <w:szCs w:val="20"/>
                <w:lang w:val="pt-PT"/>
              </w:rPr>
              <w:t>anafilático</w:t>
            </w:r>
          </w:p>
        </w:tc>
        <w:tc>
          <w:tcPr>
            <w:tcW w:w="1176" w:type="dxa"/>
          </w:tcPr>
          <w:p w14:paraId="4C45971B"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24C2B69C"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319E1DE2" w14:textId="77777777" w:rsidTr="0059793E">
        <w:tc>
          <w:tcPr>
            <w:tcW w:w="1617" w:type="dxa"/>
          </w:tcPr>
          <w:p w14:paraId="3BF6EFDD"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do metabolismo e da nutrição</w:t>
            </w:r>
          </w:p>
        </w:tc>
        <w:tc>
          <w:tcPr>
            <w:tcW w:w="1417" w:type="dxa"/>
          </w:tcPr>
          <w:p w14:paraId="0B5CB3AD" w14:textId="7BD7D2D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Anorexia</w:t>
            </w:r>
            <w:r w:rsidR="005B3AE6" w:rsidRPr="00914003">
              <w:rPr>
                <w:snapToGrid w:val="0"/>
                <w:sz w:val="20"/>
                <w:szCs w:val="20"/>
                <w:lang w:val="pt-PT"/>
              </w:rPr>
              <w:t>,</w:t>
            </w:r>
            <w:r w:rsidRPr="00914003">
              <w:rPr>
                <w:snapToGrid w:val="0"/>
                <w:sz w:val="20"/>
                <w:szCs w:val="20"/>
                <w:lang w:val="pt-PT"/>
              </w:rPr>
              <w:t xml:space="preserve"> </w:t>
            </w:r>
            <w:r w:rsidR="00FC34B8">
              <w:rPr>
                <w:snapToGrid w:val="0"/>
                <w:sz w:val="20"/>
                <w:szCs w:val="20"/>
                <w:lang w:val="pt-PT"/>
              </w:rPr>
              <w:t>h</w:t>
            </w:r>
            <w:r w:rsidRPr="00914003">
              <w:rPr>
                <w:snapToGrid w:val="0"/>
                <w:sz w:val="20"/>
                <w:szCs w:val="20"/>
                <w:lang w:val="pt-PT"/>
              </w:rPr>
              <w:t>ipomagnesemia</w:t>
            </w:r>
            <w:r w:rsidR="00CC7F57">
              <w:rPr>
                <w:snapToGrid w:val="0"/>
                <w:sz w:val="20"/>
                <w:szCs w:val="20"/>
                <w:lang w:val="pt-PT"/>
              </w:rPr>
              <w:t>,</w:t>
            </w:r>
          </w:p>
          <w:p w14:paraId="7E65A4C6" w14:textId="21C08AA1" w:rsidR="00162CE2" w:rsidRPr="00914003" w:rsidRDefault="00FC34B8" w:rsidP="008A56ED">
            <w:pPr>
              <w:pStyle w:val="TableParagraph"/>
              <w:adjustRightInd w:val="0"/>
              <w:snapToGrid w:val="0"/>
              <w:rPr>
                <w:snapToGrid w:val="0"/>
                <w:sz w:val="20"/>
                <w:szCs w:val="20"/>
                <w:lang w:val="pt-PT"/>
              </w:rPr>
            </w:pPr>
            <w:r>
              <w:rPr>
                <w:snapToGrid w:val="0"/>
                <w:sz w:val="20"/>
                <w:szCs w:val="20"/>
                <w:lang w:val="pt-PT"/>
              </w:rPr>
              <w:t>h</w:t>
            </w:r>
            <w:r w:rsidR="00162CE2" w:rsidRPr="00914003">
              <w:rPr>
                <w:snapToGrid w:val="0"/>
                <w:sz w:val="20"/>
                <w:szCs w:val="20"/>
                <w:lang w:val="pt-PT"/>
              </w:rPr>
              <w:t>iponatremia</w:t>
            </w:r>
          </w:p>
        </w:tc>
        <w:tc>
          <w:tcPr>
            <w:tcW w:w="1418" w:type="dxa"/>
          </w:tcPr>
          <w:p w14:paraId="1C6F3139"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Desidratação</w:t>
            </w:r>
          </w:p>
        </w:tc>
        <w:tc>
          <w:tcPr>
            <w:tcW w:w="1065" w:type="dxa"/>
          </w:tcPr>
          <w:p w14:paraId="70C023C2"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1628B154"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3227B411"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3833ADC5"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2664DF2A" w14:textId="77777777" w:rsidTr="0059793E">
        <w:tc>
          <w:tcPr>
            <w:tcW w:w="1617" w:type="dxa"/>
          </w:tcPr>
          <w:p w14:paraId="19ED2D3D"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do sistema nervoso</w:t>
            </w:r>
          </w:p>
        </w:tc>
        <w:tc>
          <w:tcPr>
            <w:tcW w:w="1417" w:type="dxa"/>
          </w:tcPr>
          <w:p w14:paraId="3AED313C" w14:textId="0AADD982"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Neuropatia periférica sensorial</w:t>
            </w:r>
            <w:r w:rsidRPr="00914003">
              <w:rPr>
                <w:snapToGrid w:val="0"/>
                <w:sz w:val="20"/>
                <w:szCs w:val="20"/>
                <w:vertAlign w:val="superscript"/>
                <w:lang w:val="pt-PT"/>
              </w:rPr>
              <w:t>b</w:t>
            </w:r>
            <w:r w:rsidRPr="00914003">
              <w:rPr>
                <w:snapToGrid w:val="0"/>
                <w:sz w:val="20"/>
                <w:szCs w:val="20"/>
                <w:lang w:val="pt-PT"/>
              </w:rPr>
              <w:t xml:space="preserve">, </w:t>
            </w:r>
            <w:r w:rsidR="00FC34B8">
              <w:rPr>
                <w:snapToGrid w:val="0"/>
                <w:sz w:val="20"/>
                <w:szCs w:val="20"/>
                <w:lang w:val="pt-PT"/>
              </w:rPr>
              <w:t>d</w:t>
            </w:r>
            <w:r w:rsidRPr="00914003">
              <w:rPr>
                <w:snapToGrid w:val="0"/>
                <w:sz w:val="20"/>
                <w:szCs w:val="20"/>
                <w:lang w:val="pt-PT"/>
              </w:rPr>
              <w:t xml:space="preserve">isartria, </w:t>
            </w:r>
            <w:r w:rsidR="00FC34B8">
              <w:rPr>
                <w:snapToGrid w:val="0"/>
                <w:sz w:val="20"/>
                <w:szCs w:val="20"/>
                <w:lang w:val="pt-PT"/>
              </w:rPr>
              <w:t>c</w:t>
            </w:r>
            <w:r w:rsidRPr="00914003">
              <w:rPr>
                <w:snapToGrid w:val="0"/>
                <w:sz w:val="20"/>
                <w:szCs w:val="20"/>
                <w:lang w:val="pt-PT"/>
              </w:rPr>
              <w:t>efaleia,</w:t>
            </w:r>
          </w:p>
          <w:p w14:paraId="3886ADDA" w14:textId="4A7E1995" w:rsidR="00162CE2" w:rsidRPr="00914003" w:rsidRDefault="00FC34B8" w:rsidP="008A56ED">
            <w:pPr>
              <w:pStyle w:val="TableParagraph"/>
              <w:adjustRightInd w:val="0"/>
              <w:snapToGrid w:val="0"/>
              <w:rPr>
                <w:snapToGrid w:val="0"/>
                <w:sz w:val="20"/>
                <w:szCs w:val="20"/>
                <w:lang w:val="pt-PT"/>
              </w:rPr>
            </w:pPr>
            <w:r>
              <w:rPr>
                <w:snapToGrid w:val="0"/>
                <w:sz w:val="20"/>
                <w:szCs w:val="20"/>
                <w:lang w:val="pt-PT"/>
              </w:rPr>
              <w:t>d</w:t>
            </w:r>
            <w:r w:rsidR="00162CE2" w:rsidRPr="00914003">
              <w:rPr>
                <w:snapToGrid w:val="0"/>
                <w:sz w:val="20"/>
                <w:szCs w:val="20"/>
                <w:lang w:val="pt-PT"/>
              </w:rPr>
              <w:t>isgeusia</w:t>
            </w:r>
          </w:p>
        </w:tc>
        <w:tc>
          <w:tcPr>
            <w:tcW w:w="1418" w:type="dxa"/>
          </w:tcPr>
          <w:p w14:paraId="21C862FB" w14:textId="6B1E2146"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 xml:space="preserve">Acidente vascular cerebral, </w:t>
            </w:r>
            <w:r w:rsidR="00BA70E8">
              <w:rPr>
                <w:snapToGrid w:val="0"/>
                <w:sz w:val="20"/>
                <w:szCs w:val="20"/>
                <w:lang w:val="pt-PT"/>
              </w:rPr>
              <w:t>s</w:t>
            </w:r>
            <w:r w:rsidRPr="00914003">
              <w:rPr>
                <w:snapToGrid w:val="0"/>
                <w:sz w:val="20"/>
                <w:szCs w:val="20"/>
                <w:lang w:val="pt-PT"/>
              </w:rPr>
              <w:t xml:space="preserve">íncope, </w:t>
            </w:r>
            <w:r w:rsidR="00BA70E8">
              <w:rPr>
                <w:snapToGrid w:val="0"/>
                <w:sz w:val="20"/>
                <w:szCs w:val="20"/>
                <w:lang w:val="pt-PT"/>
              </w:rPr>
              <w:t>s</w:t>
            </w:r>
            <w:r w:rsidRPr="00914003">
              <w:rPr>
                <w:snapToGrid w:val="0"/>
                <w:sz w:val="20"/>
                <w:szCs w:val="20"/>
                <w:lang w:val="pt-PT"/>
              </w:rPr>
              <w:t>onolência</w:t>
            </w:r>
          </w:p>
        </w:tc>
        <w:tc>
          <w:tcPr>
            <w:tcW w:w="1065" w:type="dxa"/>
          </w:tcPr>
          <w:p w14:paraId="1F8A0868"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0D7153BA"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Síndrome de encefalopatia posterior reversível</w:t>
            </w:r>
            <w:r w:rsidRPr="00914003">
              <w:rPr>
                <w:snapToGrid w:val="0"/>
                <w:sz w:val="20"/>
                <w:szCs w:val="20"/>
                <w:vertAlign w:val="superscript"/>
                <w:lang w:val="pt-PT"/>
              </w:rPr>
              <w:t>a,b,d</w:t>
            </w:r>
          </w:p>
        </w:tc>
        <w:tc>
          <w:tcPr>
            <w:tcW w:w="1176" w:type="dxa"/>
          </w:tcPr>
          <w:p w14:paraId="4FA5C728"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Encefalopati a hipertensiva</w:t>
            </w:r>
            <w:r w:rsidRPr="00914003">
              <w:rPr>
                <w:snapToGrid w:val="0"/>
                <w:sz w:val="20"/>
                <w:szCs w:val="20"/>
                <w:vertAlign w:val="superscript"/>
                <w:lang w:val="pt-PT"/>
              </w:rPr>
              <w:t>a</w:t>
            </w:r>
          </w:p>
        </w:tc>
        <w:tc>
          <w:tcPr>
            <w:tcW w:w="1336" w:type="dxa"/>
          </w:tcPr>
          <w:p w14:paraId="25D63967"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16B781D0" w14:textId="77777777" w:rsidTr="0059793E">
        <w:tc>
          <w:tcPr>
            <w:tcW w:w="1617" w:type="dxa"/>
          </w:tcPr>
          <w:p w14:paraId="06D21153"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Afeções oculares</w:t>
            </w:r>
          </w:p>
        </w:tc>
        <w:tc>
          <w:tcPr>
            <w:tcW w:w="1417" w:type="dxa"/>
          </w:tcPr>
          <w:p w14:paraId="43EF4012" w14:textId="7DEF6952"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 xml:space="preserve">Afeção ocular, </w:t>
            </w:r>
            <w:r w:rsidR="00CC7F57">
              <w:rPr>
                <w:snapToGrid w:val="0"/>
                <w:sz w:val="20"/>
                <w:szCs w:val="20"/>
                <w:lang w:val="pt-PT"/>
              </w:rPr>
              <w:t>h</w:t>
            </w:r>
            <w:r w:rsidR="00CC7F57" w:rsidRPr="00914003">
              <w:rPr>
                <w:snapToGrid w:val="0"/>
                <w:sz w:val="20"/>
                <w:szCs w:val="20"/>
                <w:lang w:val="pt-PT"/>
              </w:rPr>
              <w:t>ipersecreção</w:t>
            </w:r>
          </w:p>
          <w:p w14:paraId="4C79BEBE"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lacrimal</w:t>
            </w:r>
          </w:p>
        </w:tc>
        <w:tc>
          <w:tcPr>
            <w:tcW w:w="1418" w:type="dxa"/>
          </w:tcPr>
          <w:p w14:paraId="75974E72" w14:textId="77777777" w:rsidR="00162CE2" w:rsidRPr="00914003" w:rsidRDefault="00162CE2" w:rsidP="008A56ED">
            <w:pPr>
              <w:pStyle w:val="TableParagraph"/>
              <w:adjustRightInd w:val="0"/>
              <w:snapToGrid w:val="0"/>
              <w:rPr>
                <w:snapToGrid w:val="0"/>
                <w:sz w:val="20"/>
                <w:szCs w:val="20"/>
                <w:lang w:val="pt-PT"/>
              </w:rPr>
            </w:pPr>
          </w:p>
        </w:tc>
        <w:tc>
          <w:tcPr>
            <w:tcW w:w="1065" w:type="dxa"/>
          </w:tcPr>
          <w:p w14:paraId="48A959EF"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23EBFCAB"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2F48F39B"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1CB63FBA"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7C66CF60" w14:textId="77777777" w:rsidTr="0059793E">
        <w:tc>
          <w:tcPr>
            <w:tcW w:w="1617" w:type="dxa"/>
          </w:tcPr>
          <w:p w14:paraId="18FBC7BB"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Cardiopatias</w:t>
            </w:r>
          </w:p>
        </w:tc>
        <w:tc>
          <w:tcPr>
            <w:tcW w:w="1417" w:type="dxa"/>
          </w:tcPr>
          <w:p w14:paraId="0E2A0922" w14:textId="77777777" w:rsidR="00162CE2" w:rsidRPr="00914003" w:rsidRDefault="00162CE2" w:rsidP="008A56ED">
            <w:pPr>
              <w:pStyle w:val="TableParagraph"/>
              <w:adjustRightInd w:val="0"/>
              <w:snapToGrid w:val="0"/>
              <w:rPr>
                <w:snapToGrid w:val="0"/>
                <w:sz w:val="20"/>
                <w:szCs w:val="20"/>
                <w:lang w:val="pt-PT"/>
              </w:rPr>
            </w:pPr>
          </w:p>
        </w:tc>
        <w:tc>
          <w:tcPr>
            <w:tcW w:w="1418" w:type="dxa"/>
          </w:tcPr>
          <w:p w14:paraId="74BE976D" w14:textId="64A86865"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Insuficiência cardíaca congestiva</w:t>
            </w:r>
            <w:r w:rsidRPr="00914003">
              <w:rPr>
                <w:snapToGrid w:val="0"/>
                <w:sz w:val="20"/>
                <w:szCs w:val="20"/>
                <w:vertAlign w:val="superscript"/>
                <w:lang w:val="pt-PT"/>
              </w:rPr>
              <w:t>b,d,</w:t>
            </w:r>
            <w:r w:rsidRPr="00914003">
              <w:rPr>
                <w:snapToGrid w:val="0"/>
                <w:sz w:val="20"/>
                <w:szCs w:val="20"/>
                <w:lang w:val="pt-PT"/>
              </w:rPr>
              <w:t xml:space="preserve"> </w:t>
            </w:r>
            <w:r w:rsidR="00FC34B8">
              <w:rPr>
                <w:snapToGrid w:val="0"/>
                <w:sz w:val="20"/>
                <w:szCs w:val="20"/>
                <w:lang w:val="pt-PT"/>
              </w:rPr>
              <w:t>t</w:t>
            </w:r>
            <w:r w:rsidRPr="00914003">
              <w:rPr>
                <w:snapToGrid w:val="0"/>
                <w:sz w:val="20"/>
                <w:szCs w:val="20"/>
                <w:lang w:val="pt-PT"/>
              </w:rPr>
              <w:t>aquicardia</w:t>
            </w:r>
            <w:r w:rsidR="0059793E" w:rsidRPr="00914003">
              <w:rPr>
                <w:snapToGrid w:val="0"/>
                <w:sz w:val="20"/>
                <w:szCs w:val="20"/>
                <w:lang w:val="pt-PT"/>
              </w:rPr>
              <w:t xml:space="preserve"> </w:t>
            </w:r>
            <w:r w:rsidRPr="00914003">
              <w:rPr>
                <w:snapToGrid w:val="0"/>
                <w:sz w:val="20"/>
                <w:szCs w:val="20"/>
                <w:lang w:val="pt-PT"/>
              </w:rPr>
              <w:t>supraventricular</w:t>
            </w:r>
          </w:p>
        </w:tc>
        <w:tc>
          <w:tcPr>
            <w:tcW w:w="1065" w:type="dxa"/>
          </w:tcPr>
          <w:p w14:paraId="4EC4166D"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539D27BE"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4F0A7D30"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60717A1F" w14:textId="77777777" w:rsidR="00162CE2" w:rsidRPr="00914003" w:rsidRDefault="00162CE2" w:rsidP="008A56ED">
            <w:pPr>
              <w:pStyle w:val="TableParagraph"/>
              <w:adjustRightInd w:val="0"/>
              <w:snapToGrid w:val="0"/>
              <w:rPr>
                <w:snapToGrid w:val="0"/>
                <w:sz w:val="20"/>
                <w:szCs w:val="20"/>
                <w:lang w:val="pt-PT"/>
              </w:rPr>
            </w:pPr>
          </w:p>
        </w:tc>
      </w:tr>
      <w:tr w:rsidR="00162CE2" w:rsidRPr="008F0C27" w14:paraId="0DE85095" w14:textId="77777777" w:rsidTr="0059793E">
        <w:tc>
          <w:tcPr>
            <w:tcW w:w="1617" w:type="dxa"/>
          </w:tcPr>
          <w:p w14:paraId="0F2E8718"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Vasculopatias</w:t>
            </w:r>
          </w:p>
        </w:tc>
        <w:tc>
          <w:tcPr>
            <w:tcW w:w="1417" w:type="dxa"/>
          </w:tcPr>
          <w:p w14:paraId="070168E2" w14:textId="2BB9E36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Hipertensão</w:t>
            </w:r>
            <w:r w:rsidRPr="00914003">
              <w:rPr>
                <w:snapToGrid w:val="0"/>
                <w:sz w:val="20"/>
                <w:szCs w:val="20"/>
                <w:vertAlign w:val="superscript"/>
                <w:lang w:val="pt-PT"/>
              </w:rPr>
              <w:t>b,d,</w:t>
            </w:r>
            <w:r w:rsidRPr="00914003">
              <w:rPr>
                <w:snapToGrid w:val="0"/>
                <w:sz w:val="20"/>
                <w:szCs w:val="20"/>
                <w:lang w:val="pt-PT"/>
              </w:rPr>
              <w:t xml:space="preserve"> </w:t>
            </w:r>
            <w:r w:rsidR="00BA70E8">
              <w:rPr>
                <w:snapToGrid w:val="0"/>
                <w:sz w:val="20"/>
                <w:szCs w:val="20"/>
                <w:lang w:val="pt-PT"/>
              </w:rPr>
              <w:t>t</w:t>
            </w:r>
            <w:r w:rsidRPr="00914003">
              <w:rPr>
                <w:snapToGrid w:val="0"/>
                <w:sz w:val="20"/>
                <w:szCs w:val="20"/>
                <w:lang w:val="pt-PT"/>
              </w:rPr>
              <w:t>romboembolis mo (venoso)</w:t>
            </w:r>
            <w:r w:rsidRPr="00914003">
              <w:rPr>
                <w:snapToGrid w:val="0"/>
                <w:sz w:val="20"/>
                <w:szCs w:val="20"/>
                <w:vertAlign w:val="superscript"/>
                <w:lang w:val="pt-PT"/>
              </w:rPr>
              <w:t>b,d</w:t>
            </w:r>
          </w:p>
        </w:tc>
        <w:tc>
          <w:tcPr>
            <w:tcW w:w="1418" w:type="dxa"/>
          </w:tcPr>
          <w:p w14:paraId="5C214C50" w14:textId="1392AE9D"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Tromboembolis mo (arterial)</w:t>
            </w:r>
            <w:r w:rsidRPr="00914003">
              <w:rPr>
                <w:snapToGrid w:val="0"/>
                <w:sz w:val="20"/>
                <w:szCs w:val="20"/>
                <w:vertAlign w:val="superscript"/>
                <w:lang w:val="pt-PT"/>
              </w:rPr>
              <w:t>b,d,</w:t>
            </w:r>
            <w:r w:rsidRPr="00914003">
              <w:rPr>
                <w:snapToGrid w:val="0"/>
                <w:sz w:val="20"/>
                <w:szCs w:val="20"/>
                <w:lang w:val="pt-PT"/>
              </w:rPr>
              <w:t xml:space="preserve"> </w:t>
            </w:r>
            <w:r w:rsidR="00BA70E8">
              <w:rPr>
                <w:snapToGrid w:val="0"/>
                <w:sz w:val="20"/>
                <w:szCs w:val="20"/>
                <w:lang w:val="pt-PT"/>
              </w:rPr>
              <w:t>h</w:t>
            </w:r>
            <w:r w:rsidRPr="00914003">
              <w:rPr>
                <w:snapToGrid w:val="0"/>
                <w:sz w:val="20"/>
                <w:szCs w:val="20"/>
                <w:lang w:val="pt-PT"/>
              </w:rPr>
              <w:t>emorragia</w:t>
            </w:r>
            <w:r w:rsidRPr="00914003">
              <w:rPr>
                <w:snapToGrid w:val="0"/>
                <w:sz w:val="20"/>
                <w:szCs w:val="20"/>
                <w:vertAlign w:val="superscript"/>
                <w:lang w:val="pt-PT"/>
              </w:rPr>
              <w:t>b,d,</w:t>
            </w:r>
            <w:r w:rsidRPr="00914003">
              <w:rPr>
                <w:snapToGrid w:val="0"/>
                <w:sz w:val="20"/>
                <w:szCs w:val="20"/>
                <w:lang w:val="pt-PT"/>
              </w:rPr>
              <w:t xml:space="preserve"> </w:t>
            </w:r>
            <w:r w:rsidR="00BA70E8">
              <w:rPr>
                <w:snapToGrid w:val="0"/>
                <w:sz w:val="20"/>
                <w:szCs w:val="20"/>
                <w:lang w:val="pt-PT"/>
              </w:rPr>
              <w:t>t</w:t>
            </w:r>
            <w:r w:rsidRPr="00914003">
              <w:rPr>
                <w:snapToGrid w:val="0"/>
                <w:sz w:val="20"/>
                <w:szCs w:val="20"/>
                <w:lang w:val="pt-PT"/>
              </w:rPr>
              <w:t>rombose venosa profunda</w:t>
            </w:r>
          </w:p>
        </w:tc>
        <w:tc>
          <w:tcPr>
            <w:tcW w:w="1065" w:type="dxa"/>
          </w:tcPr>
          <w:p w14:paraId="04798B55"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45E2EF6E"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2E08279A"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09E41438" w14:textId="7D4165CB"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Microangiopa tia trombótica renal</w:t>
            </w:r>
            <w:r w:rsidRPr="00914003">
              <w:rPr>
                <w:snapToGrid w:val="0"/>
                <w:sz w:val="20"/>
                <w:szCs w:val="20"/>
                <w:vertAlign w:val="superscript"/>
                <w:lang w:val="pt-PT"/>
              </w:rPr>
              <w:t xml:space="preserve">a,b, </w:t>
            </w:r>
            <w:r w:rsidR="00BA70E8">
              <w:rPr>
                <w:snapToGrid w:val="0"/>
                <w:sz w:val="20"/>
                <w:szCs w:val="20"/>
                <w:lang w:val="pt-PT"/>
              </w:rPr>
              <w:t>a</w:t>
            </w:r>
            <w:r w:rsidRPr="00914003">
              <w:rPr>
                <w:snapToGrid w:val="0"/>
                <w:sz w:val="20"/>
                <w:szCs w:val="20"/>
                <w:lang w:val="pt-PT"/>
              </w:rPr>
              <w:t>neurismas e dissecções das artérias</w:t>
            </w:r>
          </w:p>
        </w:tc>
      </w:tr>
      <w:tr w:rsidR="00162CE2" w:rsidRPr="002606DB" w14:paraId="4AB3230C" w14:textId="77777777" w:rsidTr="0059793E">
        <w:tc>
          <w:tcPr>
            <w:tcW w:w="1617" w:type="dxa"/>
          </w:tcPr>
          <w:p w14:paraId="24682C5D"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respiratórias, torácicas e do mediastino</w:t>
            </w:r>
          </w:p>
        </w:tc>
        <w:tc>
          <w:tcPr>
            <w:tcW w:w="1417" w:type="dxa"/>
          </w:tcPr>
          <w:p w14:paraId="4B7AA328" w14:textId="70B5D908"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 xml:space="preserve">Dispneia </w:t>
            </w:r>
            <w:r w:rsidR="00BA70E8">
              <w:rPr>
                <w:snapToGrid w:val="0"/>
                <w:sz w:val="20"/>
                <w:szCs w:val="20"/>
                <w:lang w:val="pt-PT"/>
              </w:rPr>
              <w:t>r</w:t>
            </w:r>
            <w:r w:rsidRPr="00914003">
              <w:rPr>
                <w:snapToGrid w:val="0"/>
                <w:sz w:val="20"/>
                <w:szCs w:val="20"/>
                <w:lang w:val="pt-PT"/>
              </w:rPr>
              <w:t>inite</w:t>
            </w:r>
            <w:r w:rsidR="005B3AE6" w:rsidRPr="00914003">
              <w:rPr>
                <w:snapToGrid w:val="0"/>
                <w:sz w:val="20"/>
                <w:szCs w:val="20"/>
                <w:lang w:val="pt-PT"/>
              </w:rPr>
              <w:t>,</w:t>
            </w:r>
            <w:r w:rsidRPr="00914003">
              <w:rPr>
                <w:snapToGrid w:val="0"/>
                <w:sz w:val="20"/>
                <w:szCs w:val="20"/>
                <w:lang w:val="pt-PT"/>
              </w:rPr>
              <w:t xml:space="preserve"> </w:t>
            </w:r>
            <w:r w:rsidR="00BA70E8">
              <w:rPr>
                <w:snapToGrid w:val="0"/>
                <w:sz w:val="20"/>
                <w:szCs w:val="20"/>
                <w:lang w:val="pt-PT"/>
              </w:rPr>
              <w:t>e</w:t>
            </w:r>
            <w:r w:rsidRPr="00914003">
              <w:rPr>
                <w:snapToGrid w:val="0"/>
                <w:sz w:val="20"/>
                <w:szCs w:val="20"/>
                <w:lang w:val="pt-PT"/>
              </w:rPr>
              <w:t>pistaxe</w:t>
            </w:r>
            <w:r w:rsidR="005B3AE6" w:rsidRPr="00914003">
              <w:rPr>
                <w:snapToGrid w:val="0"/>
                <w:sz w:val="20"/>
                <w:szCs w:val="20"/>
                <w:lang w:val="pt-PT"/>
              </w:rPr>
              <w:t>,</w:t>
            </w:r>
            <w:r w:rsidRPr="00914003">
              <w:rPr>
                <w:snapToGrid w:val="0"/>
                <w:sz w:val="20"/>
                <w:szCs w:val="20"/>
                <w:lang w:val="pt-PT"/>
              </w:rPr>
              <w:t xml:space="preserve"> </w:t>
            </w:r>
            <w:r w:rsidR="00BA70E8">
              <w:rPr>
                <w:snapToGrid w:val="0"/>
                <w:sz w:val="20"/>
                <w:szCs w:val="20"/>
                <w:lang w:val="pt-PT"/>
              </w:rPr>
              <w:t>t</w:t>
            </w:r>
            <w:r w:rsidRPr="00914003">
              <w:rPr>
                <w:snapToGrid w:val="0"/>
                <w:sz w:val="20"/>
                <w:szCs w:val="20"/>
                <w:lang w:val="pt-PT"/>
              </w:rPr>
              <w:t>osse</w:t>
            </w:r>
          </w:p>
        </w:tc>
        <w:tc>
          <w:tcPr>
            <w:tcW w:w="1418" w:type="dxa"/>
          </w:tcPr>
          <w:p w14:paraId="28FA91CC" w14:textId="2FC842F1" w:rsidR="00162CE2" w:rsidRPr="00914003" w:rsidRDefault="00162CE2" w:rsidP="002C1DB3">
            <w:pPr>
              <w:pStyle w:val="TableParagraph"/>
              <w:adjustRightInd w:val="0"/>
              <w:snapToGrid w:val="0"/>
              <w:rPr>
                <w:snapToGrid w:val="0"/>
                <w:sz w:val="20"/>
                <w:szCs w:val="20"/>
                <w:lang w:val="pt-PT"/>
              </w:rPr>
            </w:pPr>
            <w:r w:rsidRPr="00914003">
              <w:rPr>
                <w:snapToGrid w:val="0"/>
                <w:sz w:val="20"/>
                <w:szCs w:val="20"/>
                <w:lang w:val="pt-PT"/>
              </w:rPr>
              <w:t xml:space="preserve">Hemorragia pulmonar/ </w:t>
            </w:r>
            <w:r w:rsidR="00BA70E8">
              <w:rPr>
                <w:snapToGrid w:val="0"/>
                <w:sz w:val="20"/>
                <w:szCs w:val="20"/>
                <w:lang w:val="pt-PT"/>
              </w:rPr>
              <w:t>h</w:t>
            </w:r>
            <w:r w:rsidRPr="00914003">
              <w:rPr>
                <w:snapToGrid w:val="0"/>
                <w:sz w:val="20"/>
                <w:szCs w:val="20"/>
                <w:lang w:val="pt-PT"/>
              </w:rPr>
              <w:t>emoptise</w:t>
            </w:r>
            <w:r w:rsidRPr="00914003">
              <w:rPr>
                <w:snapToGrid w:val="0"/>
                <w:sz w:val="20"/>
                <w:szCs w:val="20"/>
                <w:vertAlign w:val="superscript"/>
                <w:lang w:val="pt-PT"/>
              </w:rPr>
              <w:t>b,d,</w:t>
            </w:r>
            <w:r w:rsidRPr="00914003">
              <w:rPr>
                <w:snapToGrid w:val="0"/>
                <w:sz w:val="20"/>
                <w:szCs w:val="20"/>
                <w:lang w:val="pt-PT"/>
              </w:rPr>
              <w:t xml:space="preserve"> Embolia pulmonar,</w:t>
            </w:r>
            <w:r w:rsidR="002C1DB3" w:rsidRPr="00914003">
              <w:rPr>
                <w:snapToGrid w:val="0"/>
                <w:sz w:val="20"/>
                <w:szCs w:val="20"/>
                <w:lang w:val="pt-PT"/>
              </w:rPr>
              <w:t xml:space="preserve"> </w:t>
            </w:r>
            <w:r w:rsidR="004B2273">
              <w:rPr>
                <w:snapToGrid w:val="0"/>
                <w:sz w:val="20"/>
                <w:szCs w:val="20"/>
                <w:lang w:val="pt-PT"/>
              </w:rPr>
              <w:t>h</w:t>
            </w:r>
            <w:r w:rsidRPr="00914003">
              <w:rPr>
                <w:snapToGrid w:val="0"/>
                <w:sz w:val="20"/>
                <w:szCs w:val="20"/>
                <w:lang w:val="pt-PT"/>
              </w:rPr>
              <w:t>ipóxia,</w:t>
            </w:r>
          </w:p>
          <w:p w14:paraId="2FB7FA74" w14:textId="30BCD631" w:rsidR="00162CE2" w:rsidRPr="00914003" w:rsidRDefault="004B2273" w:rsidP="008A56ED">
            <w:pPr>
              <w:pStyle w:val="TableParagraph"/>
              <w:adjustRightInd w:val="0"/>
              <w:snapToGrid w:val="0"/>
              <w:rPr>
                <w:snapToGrid w:val="0"/>
                <w:sz w:val="20"/>
                <w:szCs w:val="20"/>
                <w:lang w:val="pt-PT"/>
              </w:rPr>
            </w:pPr>
            <w:r>
              <w:rPr>
                <w:snapToGrid w:val="0"/>
                <w:sz w:val="20"/>
                <w:szCs w:val="20"/>
                <w:lang w:val="pt-PT"/>
              </w:rPr>
              <w:t>d</w:t>
            </w:r>
            <w:r w:rsidR="00162CE2" w:rsidRPr="00914003">
              <w:rPr>
                <w:snapToGrid w:val="0"/>
                <w:sz w:val="20"/>
                <w:szCs w:val="20"/>
                <w:lang w:val="pt-PT"/>
              </w:rPr>
              <w:t>isfonia</w:t>
            </w:r>
            <w:r w:rsidR="00162CE2" w:rsidRPr="00914003">
              <w:rPr>
                <w:snapToGrid w:val="0"/>
                <w:sz w:val="20"/>
                <w:szCs w:val="20"/>
                <w:vertAlign w:val="superscript"/>
                <w:lang w:val="pt-PT"/>
              </w:rPr>
              <w:t>a</w:t>
            </w:r>
          </w:p>
        </w:tc>
        <w:tc>
          <w:tcPr>
            <w:tcW w:w="1065" w:type="dxa"/>
          </w:tcPr>
          <w:p w14:paraId="40100896"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4226312B"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4E390DD2"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7DD40AE6" w14:textId="5771E9F2"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Hipertensão pulmonar</w:t>
            </w:r>
            <w:r w:rsidRPr="00914003">
              <w:rPr>
                <w:snapToGrid w:val="0"/>
                <w:sz w:val="20"/>
                <w:szCs w:val="20"/>
                <w:vertAlign w:val="superscript"/>
                <w:lang w:val="pt-PT"/>
              </w:rPr>
              <w:t>a</w:t>
            </w:r>
            <w:r w:rsidRPr="00914003">
              <w:rPr>
                <w:snapToGrid w:val="0"/>
                <w:sz w:val="20"/>
                <w:szCs w:val="20"/>
                <w:lang w:val="pt-PT"/>
              </w:rPr>
              <w:t xml:space="preserve">, </w:t>
            </w:r>
            <w:r w:rsidR="00BA70E8">
              <w:rPr>
                <w:snapToGrid w:val="0"/>
                <w:sz w:val="20"/>
                <w:szCs w:val="20"/>
                <w:lang w:val="pt-PT"/>
              </w:rPr>
              <w:t>p</w:t>
            </w:r>
            <w:r w:rsidRPr="00914003">
              <w:rPr>
                <w:snapToGrid w:val="0"/>
                <w:sz w:val="20"/>
                <w:szCs w:val="20"/>
                <w:lang w:val="pt-PT"/>
              </w:rPr>
              <w:t>erfuração do septo nasal</w:t>
            </w:r>
            <w:r w:rsidRPr="00914003">
              <w:rPr>
                <w:snapToGrid w:val="0"/>
                <w:sz w:val="20"/>
                <w:szCs w:val="20"/>
                <w:vertAlign w:val="superscript"/>
                <w:lang w:val="pt-PT"/>
              </w:rPr>
              <w:t>a</w:t>
            </w:r>
          </w:p>
        </w:tc>
      </w:tr>
      <w:tr w:rsidR="00162CE2" w:rsidRPr="002606DB" w14:paraId="3C148EBD" w14:textId="77777777" w:rsidTr="0059793E">
        <w:tc>
          <w:tcPr>
            <w:tcW w:w="1617" w:type="dxa"/>
          </w:tcPr>
          <w:p w14:paraId="55546930"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gastrointestinais</w:t>
            </w:r>
          </w:p>
        </w:tc>
        <w:tc>
          <w:tcPr>
            <w:tcW w:w="1417" w:type="dxa"/>
          </w:tcPr>
          <w:p w14:paraId="22542A82" w14:textId="765B801C"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 xml:space="preserve">Hemorragia </w:t>
            </w:r>
            <w:r w:rsidR="00AA4661">
              <w:rPr>
                <w:snapToGrid w:val="0"/>
                <w:sz w:val="20"/>
                <w:szCs w:val="20"/>
                <w:lang w:val="pt-PT"/>
              </w:rPr>
              <w:t>rectal</w:t>
            </w:r>
            <w:r w:rsidRPr="00914003">
              <w:rPr>
                <w:snapToGrid w:val="0"/>
                <w:sz w:val="20"/>
                <w:szCs w:val="20"/>
                <w:lang w:val="pt-PT"/>
              </w:rPr>
              <w:t xml:space="preserve">, </w:t>
            </w:r>
            <w:r w:rsidR="004B2273">
              <w:rPr>
                <w:snapToGrid w:val="0"/>
                <w:sz w:val="20"/>
                <w:szCs w:val="20"/>
                <w:lang w:val="pt-PT"/>
              </w:rPr>
              <w:t>e</w:t>
            </w:r>
            <w:r w:rsidRPr="00914003">
              <w:rPr>
                <w:snapToGrid w:val="0"/>
                <w:sz w:val="20"/>
                <w:szCs w:val="20"/>
                <w:lang w:val="pt-PT"/>
              </w:rPr>
              <w:t xml:space="preserve">stomatite, </w:t>
            </w:r>
            <w:r w:rsidR="004B2273">
              <w:rPr>
                <w:snapToGrid w:val="0"/>
                <w:sz w:val="20"/>
                <w:szCs w:val="20"/>
                <w:lang w:val="pt-PT"/>
              </w:rPr>
              <w:t>o</w:t>
            </w:r>
            <w:r w:rsidRPr="00914003">
              <w:rPr>
                <w:snapToGrid w:val="0"/>
                <w:sz w:val="20"/>
                <w:szCs w:val="20"/>
                <w:lang w:val="pt-PT"/>
              </w:rPr>
              <w:t xml:space="preserve">bstipação, </w:t>
            </w:r>
            <w:r w:rsidR="004B2273">
              <w:rPr>
                <w:snapToGrid w:val="0"/>
                <w:sz w:val="20"/>
                <w:szCs w:val="20"/>
                <w:lang w:val="pt-PT"/>
              </w:rPr>
              <w:t>d</w:t>
            </w:r>
            <w:r w:rsidRPr="00914003">
              <w:rPr>
                <w:snapToGrid w:val="0"/>
                <w:sz w:val="20"/>
                <w:szCs w:val="20"/>
                <w:lang w:val="pt-PT"/>
              </w:rPr>
              <w:t xml:space="preserve">iarreia, </w:t>
            </w:r>
            <w:r w:rsidR="004B2273">
              <w:rPr>
                <w:snapToGrid w:val="0"/>
                <w:sz w:val="20"/>
                <w:szCs w:val="20"/>
                <w:lang w:val="pt-PT"/>
              </w:rPr>
              <w:t>n</w:t>
            </w:r>
            <w:r w:rsidRPr="00914003">
              <w:rPr>
                <w:snapToGrid w:val="0"/>
                <w:sz w:val="20"/>
                <w:szCs w:val="20"/>
                <w:lang w:val="pt-PT"/>
              </w:rPr>
              <w:t xml:space="preserve">áusea, </w:t>
            </w:r>
            <w:r w:rsidR="004B2273">
              <w:rPr>
                <w:snapToGrid w:val="0"/>
                <w:sz w:val="20"/>
                <w:szCs w:val="20"/>
                <w:lang w:val="pt-PT"/>
              </w:rPr>
              <w:t>v</w:t>
            </w:r>
            <w:r w:rsidRPr="00914003">
              <w:rPr>
                <w:snapToGrid w:val="0"/>
                <w:sz w:val="20"/>
                <w:szCs w:val="20"/>
                <w:lang w:val="pt-PT"/>
              </w:rPr>
              <w:t xml:space="preserve">ómitos, </w:t>
            </w:r>
            <w:r w:rsidR="004B2273">
              <w:rPr>
                <w:snapToGrid w:val="0"/>
                <w:sz w:val="20"/>
                <w:szCs w:val="20"/>
                <w:lang w:val="pt-PT"/>
              </w:rPr>
              <w:t>d</w:t>
            </w:r>
            <w:r w:rsidRPr="00914003">
              <w:rPr>
                <w:snapToGrid w:val="0"/>
                <w:sz w:val="20"/>
                <w:szCs w:val="20"/>
                <w:lang w:val="pt-PT"/>
              </w:rPr>
              <w:t>or abdominal</w:t>
            </w:r>
          </w:p>
        </w:tc>
        <w:tc>
          <w:tcPr>
            <w:tcW w:w="1418" w:type="dxa"/>
          </w:tcPr>
          <w:p w14:paraId="11EF8F6D"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Perfuração gastrointestinal</w:t>
            </w:r>
            <w:r w:rsidRPr="00914003">
              <w:rPr>
                <w:snapToGrid w:val="0"/>
                <w:sz w:val="20"/>
                <w:szCs w:val="20"/>
                <w:vertAlign w:val="superscript"/>
                <w:lang w:val="pt-PT"/>
              </w:rPr>
              <w:t>b,d,</w:t>
            </w:r>
          </w:p>
          <w:p w14:paraId="2E5E060A" w14:textId="65A4BA5A" w:rsidR="00162CE2" w:rsidRPr="00914003" w:rsidRDefault="004B2273" w:rsidP="008A56ED">
            <w:pPr>
              <w:pStyle w:val="TableParagraph"/>
              <w:adjustRightInd w:val="0"/>
              <w:snapToGrid w:val="0"/>
              <w:rPr>
                <w:snapToGrid w:val="0"/>
                <w:sz w:val="20"/>
                <w:szCs w:val="20"/>
                <w:lang w:val="pt-PT"/>
              </w:rPr>
            </w:pPr>
            <w:r>
              <w:rPr>
                <w:snapToGrid w:val="0"/>
                <w:sz w:val="20"/>
                <w:szCs w:val="20"/>
                <w:lang w:val="pt-PT"/>
              </w:rPr>
              <w:t>p</w:t>
            </w:r>
            <w:r w:rsidR="00162CE2" w:rsidRPr="00914003">
              <w:rPr>
                <w:snapToGrid w:val="0"/>
                <w:sz w:val="20"/>
                <w:szCs w:val="20"/>
                <w:lang w:val="pt-PT"/>
              </w:rPr>
              <w:t xml:space="preserve">erfuração intestinal, </w:t>
            </w:r>
            <w:proofErr w:type="spellStart"/>
            <w:r w:rsidR="005B1405">
              <w:t>íleo</w:t>
            </w:r>
            <w:proofErr w:type="spellEnd"/>
            <w:r w:rsidR="00162CE2" w:rsidRPr="00914003">
              <w:rPr>
                <w:snapToGrid w:val="0"/>
                <w:sz w:val="20"/>
                <w:szCs w:val="20"/>
                <w:lang w:val="pt-PT"/>
              </w:rPr>
              <w:t xml:space="preserve">, </w:t>
            </w:r>
            <w:r>
              <w:rPr>
                <w:snapToGrid w:val="0"/>
                <w:sz w:val="20"/>
                <w:szCs w:val="20"/>
                <w:lang w:val="pt-PT"/>
              </w:rPr>
              <w:t>o</w:t>
            </w:r>
            <w:r w:rsidR="00162CE2" w:rsidRPr="00914003">
              <w:rPr>
                <w:snapToGrid w:val="0"/>
                <w:sz w:val="20"/>
                <w:szCs w:val="20"/>
                <w:lang w:val="pt-PT"/>
              </w:rPr>
              <w:t xml:space="preserve">bstrução intestinal, </w:t>
            </w:r>
            <w:r>
              <w:rPr>
                <w:snapToGrid w:val="0"/>
                <w:sz w:val="20"/>
                <w:szCs w:val="20"/>
                <w:lang w:val="pt-PT"/>
              </w:rPr>
              <w:t>f</w:t>
            </w:r>
            <w:r w:rsidR="00162CE2" w:rsidRPr="00914003">
              <w:rPr>
                <w:snapToGrid w:val="0"/>
                <w:sz w:val="20"/>
                <w:szCs w:val="20"/>
                <w:lang w:val="pt-PT"/>
              </w:rPr>
              <w:t xml:space="preserve">ístula retovaginal </w:t>
            </w:r>
            <w:r w:rsidR="00162CE2" w:rsidRPr="00914003">
              <w:rPr>
                <w:snapToGrid w:val="0"/>
                <w:sz w:val="20"/>
                <w:szCs w:val="20"/>
                <w:vertAlign w:val="superscript"/>
                <w:lang w:val="pt-PT"/>
              </w:rPr>
              <w:t>d,e,</w:t>
            </w:r>
          </w:p>
          <w:p w14:paraId="681A855F" w14:textId="7B8DFF76" w:rsidR="00162CE2" w:rsidRPr="00914003" w:rsidRDefault="004B2273" w:rsidP="008A56ED">
            <w:pPr>
              <w:pStyle w:val="TableParagraph"/>
              <w:adjustRightInd w:val="0"/>
              <w:snapToGrid w:val="0"/>
              <w:rPr>
                <w:snapToGrid w:val="0"/>
                <w:sz w:val="20"/>
                <w:szCs w:val="20"/>
                <w:lang w:val="pt-PT"/>
              </w:rPr>
            </w:pPr>
            <w:r>
              <w:rPr>
                <w:snapToGrid w:val="0"/>
                <w:sz w:val="20"/>
                <w:szCs w:val="20"/>
                <w:lang w:val="pt-PT"/>
              </w:rPr>
              <w:t>a</w:t>
            </w:r>
            <w:r w:rsidR="00162CE2" w:rsidRPr="00914003">
              <w:rPr>
                <w:snapToGrid w:val="0"/>
                <w:sz w:val="20"/>
                <w:szCs w:val="20"/>
                <w:lang w:val="pt-PT"/>
              </w:rPr>
              <w:t xml:space="preserve">feção </w:t>
            </w:r>
            <w:r w:rsidR="00162CE2" w:rsidRPr="00914003">
              <w:rPr>
                <w:snapToGrid w:val="0"/>
                <w:sz w:val="20"/>
                <w:szCs w:val="20"/>
                <w:lang w:val="pt-PT"/>
              </w:rPr>
              <w:lastRenderedPageBreak/>
              <w:t>gastrointestinal,</w:t>
            </w:r>
          </w:p>
          <w:p w14:paraId="5C7B8240" w14:textId="118E39DF" w:rsidR="00162CE2" w:rsidRPr="00914003" w:rsidRDefault="004B2273" w:rsidP="008A56ED">
            <w:pPr>
              <w:pStyle w:val="TableParagraph"/>
              <w:adjustRightInd w:val="0"/>
              <w:snapToGrid w:val="0"/>
              <w:rPr>
                <w:snapToGrid w:val="0"/>
                <w:sz w:val="20"/>
                <w:szCs w:val="20"/>
                <w:lang w:val="pt-PT"/>
              </w:rPr>
            </w:pPr>
            <w:r>
              <w:rPr>
                <w:snapToGrid w:val="0"/>
                <w:sz w:val="20"/>
                <w:szCs w:val="20"/>
                <w:lang w:val="pt-PT"/>
              </w:rPr>
              <w:t>p</w:t>
            </w:r>
            <w:r w:rsidR="00162CE2" w:rsidRPr="00914003">
              <w:rPr>
                <w:snapToGrid w:val="0"/>
                <w:sz w:val="20"/>
                <w:szCs w:val="20"/>
                <w:lang w:val="pt-PT"/>
              </w:rPr>
              <w:t>roctalgia</w:t>
            </w:r>
          </w:p>
        </w:tc>
        <w:tc>
          <w:tcPr>
            <w:tcW w:w="1065" w:type="dxa"/>
          </w:tcPr>
          <w:p w14:paraId="0940AAF1"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10EAA34A"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14870927"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1B76EAA5"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Úlcera gastrointestina l</w:t>
            </w:r>
            <w:r w:rsidRPr="00914003">
              <w:rPr>
                <w:snapToGrid w:val="0"/>
                <w:sz w:val="20"/>
                <w:szCs w:val="20"/>
                <w:vertAlign w:val="superscript"/>
                <w:lang w:val="pt-PT"/>
              </w:rPr>
              <w:t>a</w:t>
            </w:r>
          </w:p>
        </w:tc>
      </w:tr>
      <w:tr w:rsidR="00162CE2" w:rsidRPr="002606DB" w14:paraId="5B11E2CC" w14:textId="77777777" w:rsidTr="0059793E">
        <w:tc>
          <w:tcPr>
            <w:tcW w:w="1617" w:type="dxa"/>
          </w:tcPr>
          <w:p w14:paraId="7BB4B77B"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Afeções hepatobiliares</w:t>
            </w:r>
          </w:p>
        </w:tc>
        <w:tc>
          <w:tcPr>
            <w:tcW w:w="1417" w:type="dxa"/>
          </w:tcPr>
          <w:p w14:paraId="5EEFED2E" w14:textId="77777777" w:rsidR="00162CE2" w:rsidRPr="00914003" w:rsidRDefault="00162CE2" w:rsidP="008A56ED">
            <w:pPr>
              <w:pStyle w:val="TableParagraph"/>
              <w:adjustRightInd w:val="0"/>
              <w:snapToGrid w:val="0"/>
              <w:rPr>
                <w:snapToGrid w:val="0"/>
                <w:sz w:val="20"/>
                <w:szCs w:val="20"/>
                <w:lang w:val="pt-PT"/>
              </w:rPr>
            </w:pPr>
          </w:p>
        </w:tc>
        <w:tc>
          <w:tcPr>
            <w:tcW w:w="1418" w:type="dxa"/>
          </w:tcPr>
          <w:p w14:paraId="356AF586" w14:textId="77777777" w:rsidR="00162CE2" w:rsidRPr="00914003" w:rsidRDefault="00162CE2" w:rsidP="008A56ED">
            <w:pPr>
              <w:pStyle w:val="TableParagraph"/>
              <w:adjustRightInd w:val="0"/>
              <w:snapToGrid w:val="0"/>
              <w:rPr>
                <w:snapToGrid w:val="0"/>
                <w:sz w:val="20"/>
                <w:szCs w:val="20"/>
                <w:lang w:val="pt-PT"/>
              </w:rPr>
            </w:pPr>
          </w:p>
        </w:tc>
        <w:tc>
          <w:tcPr>
            <w:tcW w:w="1065" w:type="dxa"/>
          </w:tcPr>
          <w:p w14:paraId="6359DA2A"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091357DA"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461DEA76"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362F991E" w14:textId="2D353C8E"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Perfuração da vesícula</w:t>
            </w:r>
            <w:r w:rsidR="0059793E" w:rsidRPr="00914003">
              <w:rPr>
                <w:snapToGrid w:val="0"/>
                <w:sz w:val="20"/>
                <w:szCs w:val="20"/>
                <w:lang w:val="pt-PT"/>
              </w:rPr>
              <w:t xml:space="preserve"> </w:t>
            </w:r>
            <w:r w:rsidRPr="00914003">
              <w:rPr>
                <w:snapToGrid w:val="0"/>
                <w:sz w:val="20"/>
                <w:szCs w:val="20"/>
                <w:lang w:val="pt-PT"/>
              </w:rPr>
              <w:t>biliar</w:t>
            </w:r>
            <w:r w:rsidRPr="00914003">
              <w:rPr>
                <w:snapToGrid w:val="0"/>
                <w:sz w:val="20"/>
                <w:szCs w:val="20"/>
                <w:vertAlign w:val="superscript"/>
                <w:lang w:val="pt-PT"/>
              </w:rPr>
              <w:t>a,b</w:t>
            </w:r>
          </w:p>
        </w:tc>
      </w:tr>
      <w:tr w:rsidR="00162CE2" w:rsidRPr="002606DB" w14:paraId="23977176" w14:textId="77777777" w:rsidTr="0059793E">
        <w:tc>
          <w:tcPr>
            <w:tcW w:w="1617" w:type="dxa"/>
          </w:tcPr>
          <w:p w14:paraId="58369036"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Afeções dos tecidos cutâneos e subcutâneos</w:t>
            </w:r>
          </w:p>
        </w:tc>
        <w:tc>
          <w:tcPr>
            <w:tcW w:w="1417" w:type="dxa"/>
          </w:tcPr>
          <w:p w14:paraId="37039D20" w14:textId="319FB476"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Complicações na cicatrização de feridas</w:t>
            </w:r>
            <w:r w:rsidRPr="00914003">
              <w:rPr>
                <w:snapToGrid w:val="0"/>
                <w:sz w:val="20"/>
                <w:szCs w:val="20"/>
                <w:vertAlign w:val="superscript"/>
                <w:lang w:val="pt-PT"/>
              </w:rPr>
              <w:t>b,d,</w:t>
            </w:r>
            <w:r w:rsidRPr="00914003">
              <w:rPr>
                <w:snapToGrid w:val="0"/>
                <w:sz w:val="20"/>
                <w:szCs w:val="20"/>
                <w:lang w:val="pt-PT"/>
              </w:rPr>
              <w:t xml:space="preserve"> </w:t>
            </w:r>
            <w:r w:rsidR="004B2273">
              <w:rPr>
                <w:snapToGrid w:val="0"/>
                <w:sz w:val="20"/>
                <w:szCs w:val="20"/>
                <w:lang w:val="pt-PT"/>
              </w:rPr>
              <w:t>d</w:t>
            </w:r>
            <w:r w:rsidRPr="00914003">
              <w:rPr>
                <w:snapToGrid w:val="0"/>
                <w:sz w:val="20"/>
                <w:szCs w:val="20"/>
                <w:lang w:val="pt-PT"/>
              </w:rPr>
              <w:t xml:space="preserve">ermatite exfoliativa, </w:t>
            </w:r>
            <w:r w:rsidR="0059793E" w:rsidRPr="00914003">
              <w:rPr>
                <w:snapToGrid w:val="0"/>
                <w:sz w:val="20"/>
                <w:szCs w:val="20"/>
                <w:lang w:val="pt-PT"/>
              </w:rPr>
              <w:br/>
            </w:r>
            <w:r w:rsidR="004B2273">
              <w:rPr>
                <w:snapToGrid w:val="0"/>
                <w:sz w:val="20"/>
                <w:szCs w:val="20"/>
                <w:lang w:val="pt-PT"/>
              </w:rPr>
              <w:t>p</w:t>
            </w:r>
            <w:r w:rsidRPr="00914003">
              <w:rPr>
                <w:snapToGrid w:val="0"/>
                <w:sz w:val="20"/>
                <w:szCs w:val="20"/>
                <w:lang w:val="pt-PT"/>
              </w:rPr>
              <w:t>ele seca,</w:t>
            </w:r>
            <w:r w:rsidR="0059793E" w:rsidRPr="00914003">
              <w:rPr>
                <w:snapToGrid w:val="0"/>
                <w:sz w:val="20"/>
                <w:szCs w:val="20"/>
                <w:lang w:val="pt-PT"/>
              </w:rPr>
              <w:t xml:space="preserve"> </w:t>
            </w:r>
            <w:r w:rsidR="004B2273">
              <w:rPr>
                <w:snapToGrid w:val="0"/>
                <w:sz w:val="20"/>
                <w:szCs w:val="20"/>
                <w:lang w:val="pt-PT"/>
              </w:rPr>
              <w:t>d</w:t>
            </w:r>
            <w:r w:rsidRPr="00914003">
              <w:rPr>
                <w:snapToGrid w:val="0"/>
                <w:sz w:val="20"/>
                <w:szCs w:val="20"/>
                <w:lang w:val="pt-PT"/>
              </w:rPr>
              <w:t>escoloração da</w:t>
            </w:r>
            <w:r w:rsidR="0059793E" w:rsidRPr="00914003">
              <w:rPr>
                <w:snapToGrid w:val="0"/>
                <w:sz w:val="20"/>
                <w:szCs w:val="20"/>
                <w:lang w:val="pt-PT"/>
              </w:rPr>
              <w:t xml:space="preserve"> </w:t>
            </w:r>
            <w:r w:rsidRPr="00914003">
              <w:rPr>
                <w:snapToGrid w:val="0"/>
                <w:sz w:val="20"/>
                <w:szCs w:val="20"/>
                <w:lang w:val="pt-PT"/>
              </w:rPr>
              <w:t>pele</w:t>
            </w:r>
          </w:p>
        </w:tc>
        <w:tc>
          <w:tcPr>
            <w:tcW w:w="1418" w:type="dxa"/>
          </w:tcPr>
          <w:p w14:paraId="20AFB0A4"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Síndrome de eritrodisestesia palmo-plantar</w:t>
            </w:r>
          </w:p>
        </w:tc>
        <w:tc>
          <w:tcPr>
            <w:tcW w:w="1065" w:type="dxa"/>
          </w:tcPr>
          <w:p w14:paraId="0F183928"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2F556223"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79A2B1CD"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718C048C"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2E878480" w14:textId="77777777" w:rsidTr="0059793E">
        <w:tc>
          <w:tcPr>
            <w:tcW w:w="1617" w:type="dxa"/>
          </w:tcPr>
          <w:p w14:paraId="03E8866D" w14:textId="56DAD135"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Afeções musculoesqueléticas e dos tecidos conjuntivos</w:t>
            </w:r>
          </w:p>
        </w:tc>
        <w:tc>
          <w:tcPr>
            <w:tcW w:w="1417" w:type="dxa"/>
          </w:tcPr>
          <w:p w14:paraId="0A79ACD0" w14:textId="2398BCE4"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Artralgia</w:t>
            </w:r>
            <w:r w:rsidR="005B3AE6" w:rsidRPr="00914003">
              <w:rPr>
                <w:snapToGrid w:val="0"/>
                <w:sz w:val="20"/>
                <w:szCs w:val="20"/>
                <w:lang w:val="pt-PT"/>
              </w:rPr>
              <w:t>,</w:t>
            </w:r>
            <w:r w:rsidRPr="00914003">
              <w:rPr>
                <w:snapToGrid w:val="0"/>
                <w:sz w:val="20"/>
                <w:szCs w:val="20"/>
                <w:lang w:val="pt-PT"/>
              </w:rPr>
              <w:t xml:space="preserve"> </w:t>
            </w:r>
            <w:r w:rsidR="004B2273">
              <w:rPr>
                <w:snapToGrid w:val="0"/>
                <w:sz w:val="20"/>
                <w:szCs w:val="20"/>
                <w:lang w:val="pt-PT"/>
              </w:rPr>
              <w:t>m</w:t>
            </w:r>
            <w:r w:rsidRPr="00914003">
              <w:rPr>
                <w:snapToGrid w:val="0"/>
                <w:sz w:val="20"/>
                <w:szCs w:val="20"/>
                <w:lang w:val="pt-PT"/>
              </w:rPr>
              <w:t>ialgia</w:t>
            </w:r>
          </w:p>
        </w:tc>
        <w:tc>
          <w:tcPr>
            <w:tcW w:w="1418" w:type="dxa"/>
          </w:tcPr>
          <w:p w14:paraId="78E7574A" w14:textId="6C2948B8"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Fístula</w:t>
            </w:r>
            <w:r w:rsidRPr="00914003">
              <w:rPr>
                <w:snapToGrid w:val="0"/>
                <w:sz w:val="20"/>
                <w:szCs w:val="20"/>
                <w:vertAlign w:val="superscript"/>
                <w:lang w:val="pt-PT"/>
              </w:rPr>
              <w:t>b,d,</w:t>
            </w:r>
            <w:r w:rsidRPr="00914003">
              <w:rPr>
                <w:snapToGrid w:val="0"/>
                <w:sz w:val="20"/>
                <w:szCs w:val="20"/>
                <w:lang w:val="pt-PT"/>
              </w:rPr>
              <w:t xml:space="preserve"> </w:t>
            </w:r>
            <w:r w:rsidR="004B2273">
              <w:rPr>
                <w:snapToGrid w:val="0"/>
                <w:sz w:val="20"/>
                <w:szCs w:val="20"/>
                <w:lang w:val="pt-PT"/>
              </w:rPr>
              <w:t>f</w:t>
            </w:r>
            <w:r w:rsidRPr="00914003">
              <w:rPr>
                <w:snapToGrid w:val="0"/>
                <w:sz w:val="20"/>
                <w:szCs w:val="20"/>
                <w:lang w:val="pt-PT"/>
              </w:rPr>
              <w:t xml:space="preserve">raqueza muscular, </w:t>
            </w:r>
            <w:r w:rsidR="004B2273">
              <w:rPr>
                <w:snapToGrid w:val="0"/>
                <w:sz w:val="20"/>
                <w:szCs w:val="20"/>
                <w:lang w:val="pt-PT"/>
              </w:rPr>
              <w:t>d</w:t>
            </w:r>
            <w:r w:rsidRPr="00914003">
              <w:rPr>
                <w:snapToGrid w:val="0"/>
                <w:sz w:val="20"/>
                <w:szCs w:val="20"/>
                <w:lang w:val="pt-PT"/>
              </w:rPr>
              <w:t>orsalgia</w:t>
            </w:r>
          </w:p>
        </w:tc>
        <w:tc>
          <w:tcPr>
            <w:tcW w:w="1065" w:type="dxa"/>
          </w:tcPr>
          <w:p w14:paraId="5E0CA6C5"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2666BB32"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4E2828A8"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793983F0" w14:textId="194A19E9"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Osteonecrose da mandíbula</w:t>
            </w:r>
            <w:r w:rsidRPr="00914003">
              <w:rPr>
                <w:snapToGrid w:val="0"/>
                <w:sz w:val="20"/>
                <w:szCs w:val="20"/>
                <w:vertAlign w:val="superscript"/>
                <w:lang w:val="pt-PT"/>
              </w:rPr>
              <w:t>a,b</w:t>
            </w:r>
            <w:r w:rsidR="00EF51D4">
              <w:rPr>
                <w:snapToGrid w:val="0"/>
                <w:sz w:val="20"/>
                <w:szCs w:val="20"/>
                <w:lang w:val="pt-PT"/>
              </w:rPr>
              <w:t xml:space="preserve">, </w:t>
            </w:r>
            <w:r w:rsidR="004B2273">
              <w:rPr>
                <w:snapToGrid w:val="0"/>
                <w:sz w:val="20"/>
                <w:szCs w:val="20"/>
                <w:lang w:val="pt-PT"/>
              </w:rPr>
              <w:t>o</w:t>
            </w:r>
            <w:r w:rsidRPr="00914003">
              <w:rPr>
                <w:snapToGrid w:val="0"/>
                <w:sz w:val="20"/>
                <w:szCs w:val="20"/>
                <w:lang w:val="pt-PT"/>
              </w:rPr>
              <w:t>steonecrose não</w:t>
            </w:r>
            <w:r w:rsidR="0059793E" w:rsidRPr="00914003">
              <w:rPr>
                <w:snapToGrid w:val="0"/>
                <w:sz w:val="20"/>
                <w:szCs w:val="20"/>
                <w:lang w:val="pt-PT"/>
              </w:rPr>
              <w:t xml:space="preserve"> </w:t>
            </w:r>
            <w:r w:rsidRPr="00914003">
              <w:rPr>
                <w:snapToGrid w:val="0"/>
                <w:sz w:val="20"/>
                <w:szCs w:val="20"/>
                <w:lang w:val="pt-PT"/>
              </w:rPr>
              <w:t>mandibular</w:t>
            </w:r>
            <w:r w:rsidRPr="00914003">
              <w:rPr>
                <w:snapToGrid w:val="0"/>
                <w:sz w:val="20"/>
                <w:szCs w:val="20"/>
                <w:vertAlign w:val="superscript"/>
                <w:lang w:val="pt-PT"/>
              </w:rPr>
              <w:t>a,f</w:t>
            </w:r>
          </w:p>
        </w:tc>
      </w:tr>
      <w:tr w:rsidR="00162CE2" w:rsidRPr="002606DB" w14:paraId="2B2DB28D" w14:textId="77777777" w:rsidTr="0059793E">
        <w:tc>
          <w:tcPr>
            <w:tcW w:w="1617" w:type="dxa"/>
          </w:tcPr>
          <w:p w14:paraId="1FF2F526"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Doenças renais</w:t>
            </w:r>
          </w:p>
          <w:p w14:paraId="46B373B1"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e urinárias</w:t>
            </w:r>
          </w:p>
        </w:tc>
        <w:tc>
          <w:tcPr>
            <w:tcW w:w="1417" w:type="dxa"/>
          </w:tcPr>
          <w:p w14:paraId="6D6A32AD"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Proteinúria</w:t>
            </w:r>
            <w:r w:rsidRPr="00914003">
              <w:rPr>
                <w:snapToGrid w:val="0"/>
                <w:sz w:val="20"/>
                <w:szCs w:val="20"/>
                <w:vertAlign w:val="superscript"/>
                <w:lang w:val="pt-PT"/>
              </w:rPr>
              <w:t>b,d</w:t>
            </w:r>
          </w:p>
        </w:tc>
        <w:tc>
          <w:tcPr>
            <w:tcW w:w="1418" w:type="dxa"/>
          </w:tcPr>
          <w:p w14:paraId="1E270DD6" w14:textId="77777777" w:rsidR="00162CE2" w:rsidRPr="00914003" w:rsidRDefault="00162CE2" w:rsidP="008A56ED">
            <w:pPr>
              <w:pStyle w:val="TableParagraph"/>
              <w:adjustRightInd w:val="0"/>
              <w:snapToGrid w:val="0"/>
              <w:rPr>
                <w:snapToGrid w:val="0"/>
                <w:sz w:val="20"/>
                <w:szCs w:val="20"/>
                <w:lang w:val="pt-PT"/>
              </w:rPr>
            </w:pPr>
          </w:p>
        </w:tc>
        <w:tc>
          <w:tcPr>
            <w:tcW w:w="1065" w:type="dxa"/>
          </w:tcPr>
          <w:p w14:paraId="5B4A8F4D"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56685E87"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7CFF4DE9"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695CE0EC"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1D4F947E" w14:textId="77777777" w:rsidTr="0059793E">
        <w:tc>
          <w:tcPr>
            <w:tcW w:w="1617" w:type="dxa"/>
          </w:tcPr>
          <w:p w14:paraId="6E39FEEE" w14:textId="4947D033"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Doenças dos órgãos genitais</w:t>
            </w:r>
            <w:r w:rsidR="0059793E" w:rsidRPr="00914003">
              <w:rPr>
                <w:snapToGrid w:val="0"/>
                <w:sz w:val="20"/>
                <w:szCs w:val="20"/>
                <w:lang w:val="pt-PT"/>
              </w:rPr>
              <w:t xml:space="preserve"> </w:t>
            </w:r>
            <w:r w:rsidRPr="00914003">
              <w:rPr>
                <w:snapToGrid w:val="0"/>
                <w:sz w:val="20"/>
                <w:szCs w:val="20"/>
                <w:lang w:val="pt-PT"/>
              </w:rPr>
              <w:t>e da mama</w:t>
            </w:r>
          </w:p>
        </w:tc>
        <w:tc>
          <w:tcPr>
            <w:tcW w:w="1417" w:type="dxa"/>
          </w:tcPr>
          <w:p w14:paraId="41F5D278"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Insuficiência dos ovários</w:t>
            </w:r>
            <w:r w:rsidRPr="00914003">
              <w:rPr>
                <w:snapToGrid w:val="0"/>
                <w:sz w:val="20"/>
                <w:szCs w:val="20"/>
                <w:vertAlign w:val="superscript"/>
                <w:lang w:val="pt-PT"/>
              </w:rPr>
              <w:t>b,c,d</w:t>
            </w:r>
          </w:p>
        </w:tc>
        <w:tc>
          <w:tcPr>
            <w:tcW w:w="1418" w:type="dxa"/>
          </w:tcPr>
          <w:p w14:paraId="0E980F8D"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Dor pélvica</w:t>
            </w:r>
          </w:p>
        </w:tc>
        <w:tc>
          <w:tcPr>
            <w:tcW w:w="1065" w:type="dxa"/>
          </w:tcPr>
          <w:p w14:paraId="7A995269"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66FB7D34"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58FF25DB"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4F5C26F6"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3CD89FE8" w14:textId="77777777" w:rsidTr="0059793E">
        <w:tc>
          <w:tcPr>
            <w:tcW w:w="1617" w:type="dxa"/>
          </w:tcPr>
          <w:p w14:paraId="5A43A62E" w14:textId="38FC8BCA"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Afeções congénitas, familiares e</w:t>
            </w:r>
            <w:r w:rsidR="0059793E" w:rsidRPr="00914003">
              <w:rPr>
                <w:snapToGrid w:val="0"/>
                <w:sz w:val="20"/>
                <w:szCs w:val="20"/>
                <w:lang w:val="pt-PT"/>
              </w:rPr>
              <w:t xml:space="preserve"> </w:t>
            </w:r>
            <w:r w:rsidRPr="00914003">
              <w:rPr>
                <w:snapToGrid w:val="0"/>
                <w:sz w:val="20"/>
                <w:szCs w:val="20"/>
                <w:lang w:val="pt-PT"/>
              </w:rPr>
              <w:t>genéticas</w:t>
            </w:r>
          </w:p>
        </w:tc>
        <w:tc>
          <w:tcPr>
            <w:tcW w:w="1417" w:type="dxa"/>
          </w:tcPr>
          <w:p w14:paraId="704B26FF" w14:textId="77777777" w:rsidR="00162CE2" w:rsidRPr="00914003" w:rsidRDefault="00162CE2" w:rsidP="008A56ED">
            <w:pPr>
              <w:pStyle w:val="TableParagraph"/>
              <w:adjustRightInd w:val="0"/>
              <w:snapToGrid w:val="0"/>
              <w:rPr>
                <w:snapToGrid w:val="0"/>
                <w:sz w:val="20"/>
                <w:szCs w:val="20"/>
                <w:lang w:val="pt-PT"/>
              </w:rPr>
            </w:pPr>
          </w:p>
        </w:tc>
        <w:tc>
          <w:tcPr>
            <w:tcW w:w="1418" w:type="dxa"/>
          </w:tcPr>
          <w:p w14:paraId="0E24013F" w14:textId="77777777" w:rsidR="00162CE2" w:rsidRPr="00914003" w:rsidRDefault="00162CE2" w:rsidP="008A56ED">
            <w:pPr>
              <w:pStyle w:val="TableParagraph"/>
              <w:adjustRightInd w:val="0"/>
              <w:snapToGrid w:val="0"/>
              <w:rPr>
                <w:snapToGrid w:val="0"/>
                <w:sz w:val="20"/>
                <w:szCs w:val="20"/>
                <w:lang w:val="pt-PT"/>
              </w:rPr>
            </w:pPr>
          </w:p>
        </w:tc>
        <w:tc>
          <w:tcPr>
            <w:tcW w:w="1065" w:type="dxa"/>
          </w:tcPr>
          <w:p w14:paraId="16508410"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29E719CE"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21D5ABF6"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1D32B1B8"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Anomalias fetais</w:t>
            </w:r>
            <w:r w:rsidRPr="00914003">
              <w:rPr>
                <w:snapToGrid w:val="0"/>
                <w:sz w:val="20"/>
                <w:szCs w:val="20"/>
                <w:vertAlign w:val="superscript"/>
                <w:lang w:val="pt-PT"/>
              </w:rPr>
              <w:t>a,b</w:t>
            </w:r>
          </w:p>
        </w:tc>
      </w:tr>
      <w:tr w:rsidR="00162CE2" w:rsidRPr="002606DB" w14:paraId="179B2396" w14:textId="77777777" w:rsidTr="0059793E">
        <w:tc>
          <w:tcPr>
            <w:tcW w:w="1617" w:type="dxa"/>
          </w:tcPr>
          <w:p w14:paraId="5D7B6CBC"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Perturbações gerais e alterações no local de administração</w:t>
            </w:r>
          </w:p>
        </w:tc>
        <w:tc>
          <w:tcPr>
            <w:tcW w:w="1417" w:type="dxa"/>
          </w:tcPr>
          <w:p w14:paraId="282ACE45" w14:textId="2BFC3E95"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 xml:space="preserve">Astenia, </w:t>
            </w:r>
            <w:r w:rsidR="004B2273">
              <w:rPr>
                <w:snapToGrid w:val="0"/>
                <w:sz w:val="20"/>
                <w:szCs w:val="20"/>
                <w:lang w:val="pt-PT"/>
              </w:rPr>
              <w:t>f</w:t>
            </w:r>
            <w:r w:rsidRPr="00914003">
              <w:rPr>
                <w:snapToGrid w:val="0"/>
                <w:sz w:val="20"/>
                <w:szCs w:val="20"/>
                <w:lang w:val="pt-PT"/>
              </w:rPr>
              <w:t xml:space="preserve">adiga, </w:t>
            </w:r>
            <w:r w:rsidR="004B2273">
              <w:rPr>
                <w:snapToGrid w:val="0"/>
                <w:sz w:val="20"/>
                <w:szCs w:val="20"/>
                <w:lang w:val="pt-PT"/>
              </w:rPr>
              <w:t>p</w:t>
            </w:r>
            <w:r w:rsidRPr="00914003">
              <w:rPr>
                <w:snapToGrid w:val="0"/>
                <w:sz w:val="20"/>
                <w:szCs w:val="20"/>
                <w:lang w:val="pt-PT"/>
              </w:rPr>
              <w:t xml:space="preserve">irexia, </w:t>
            </w:r>
            <w:r w:rsidR="004B2273">
              <w:rPr>
                <w:snapToGrid w:val="0"/>
                <w:sz w:val="20"/>
                <w:szCs w:val="20"/>
                <w:lang w:val="pt-PT"/>
              </w:rPr>
              <w:t>d</w:t>
            </w:r>
            <w:r w:rsidRPr="00914003">
              <w:rPr>
                <w:snapToGrid w:val="0"/>
                <w:sz w:val="20"/>
                <w:szCs w:val="20"/>
                <w:lang w:val="pt-PT"/>
              </w:rPr>
              <w:t>or,</w:t>
            </w:r>
            <w:r w:rsidR="0059793E" w:rsidRPr="00914003">
              <w:rPr>
                <w:snapToGrid w:val="0"/>
                <w:sz w:val="20"/>
                <w:szCs w:val="20"/>
                <w:lang w:val="pt-PT"/>
              </w:rPr>
              <w:t xml:space="preserve"> </w:t>
            </w:r>
            <w:r w:rsidR="004B2273">
              <w:rPr>
                <w:snapToGrid w:val="0"/>
                <w:sz w:val="20"/>
                <w:szCs w:val="20"/>
                <w:lang w:val="pt-PT"/>
              </w:rPr>
              <w:t>i</w:t>
            </w:r>
            <w:r w:rsidRPr="00914003">
              <w:rPr>
                <w:snapToGrid w:val="0"/>
                <w:sz w:val="20"/>
                <w:szCs w:val="20"/>
                <w:lang w:val="pt-PT"/>
              </w:rPr>
              <w:t>nflamação da mucosa</w:t>
            </w:r>
          </w:p>
        </w:tc>
        <w:tc>
          <w:tcPr>
            <w:tcW w:w="1418" w:type="dxa"/>
          </w:tcPr>
          <w:p w14:paraId="0D37E8A3"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Letargia</w:t>
            </w:r>
          </w:p>
        </w:tc>
        <w:tc>
          <w:tcPr>
            <w:tcW w:w="1065" w:type="dxa"/>
          </w:tcPr>
          <w:p w14:paraId="34E47834"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3BE42534"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3A740C37"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11056908" w14:textId="77777777" w:rsidR="00162CE2" w:rsidRPr="00914003" w:rsidRDefault="00162CE2" w:rsidP="008A56ED">
            <w:pPr>
              <w:pStyle w:val="TableParagraph"/>
              <w:adjustRightInd w:val="0"/>
              <w:snapToGrid w:val="0"/>
              <w:rPr>
                <w:snapToGrid w:val="0"/>
                <w:sz w:val="20"/>
                <w:szCs w:val="20"/>
                <w:lang w:val="pt-PT"/>
              </w:rPr>
            </w:pPr>
          </w:p>
        </w:tc>
      </w:tr>
      <w:tr w:rsidR="00162CE2" w:rsidRPr="002606DB" w14:paraId="5DEA6149" w14:textId="77777777" w:rsidTr="0059793E">
        <w:tc>
          <w:tcPr>
            <w:tcW w:w="1617" w:type="dxa"/>
          </w:tcPr>
          <w:p w14:paraId="60ED7180" w14:textId="43E51022" w:rsidR="00162CE2" w:rsidRPr="00914003" w:rsidRDefault="00162CE2" w:rsidP="0059793E">
            <w:pPr>
              <w:pStyle w:val="TableParagraph"/>
              <w:adjustRightInd w:val="0"/>
              <w:snapToGrid w:val="0"/>
              <w:rPr>
                <w:snapToGrid w:val="0"/>
                <w:sz w:val="20"/>
                <w:szCs w:val="20"/>
                <w:lang w:val="pt-PT"/>
              </w:rPr>
            </w:pPr>
            <w:r w:rsidRPr="00914003">
              <w:rPr>
                <w:snapToGrid w:val="0"/>
                <w:sz w:val="20"/>
                <w:szCs w:val="20"/>
                <w:lang w:val="pt-PT"/>
              </w:rPr>
              <w:t>Exames</w:t>
            </w:r>
            <w:r w:rsidR="0059793E" w:rsidRPr="00914003">
              <w:rPr>
                <w:snapToGrid w:val="0"/>
                <w:sz w:val="20"/>
                <w:szCs w:val="20"/>
                <w:lang w:val="pt-PT"/>
              </w:rPr>
              <w:t xml:space="preserve"> </w:t>
            </w:r>
            <w:r w:rsidRPr="00914003">
              <w:rPr>
                <w:snapToGrid w:val="0"/>
                <w:sz w:val="20"/>
                <w:szCs w:val="20"/>
                <w:lang w:val="pt-PT"/>
              </w:rPr>
              <w:t>complementares de diagnóstico</w:t>
            </w:r>
          </w:p>
        </w:tc>
        <w:tc>
          <w:tcPr>
            <w:tcW w:w="1417" w:type="dxa"/>
          </w:tcPr>
          <w:p w14:paraId="10283603" w14:textId="77777777" w:rsidR="00162CE2" w:rsidRPr="00914003" w:rsidRDefault="00162CE2" w:rsidP="008A56ED">
            <w:pPr>
              <w:pStyle w:val="TableParagraph"/>
              <w:adjustRightInd w:val="0"/>
              <w:snapToGrid w:val="0"/>
              <w:rPr>
                <w:snapToGrid w:val="0"/>
                <w:sz w:val="20"/>
                <w:szCs w:val="20"/>
                <w:lang w:val="pt-PT"/>
              </w:rPr>
            </w:pPr>
            <w:r w:rsidRPr="00914003">
              <w:rPr>
                <w:snapToGrid w:val="0"/>
                <w:sz w:val="20"/>
                <w:szCs w:val="20"/>
                <w:lang w:val="pt-PT"/>
              </w:rPr>
              <w:t>Peso diminuído</w:t>
            </w:r>
          </w:p>
        </w:tc>
        <w:tc>
          <w:tcPr>
            <w:tcW w:w="1418" w:type="dxa"/>
          </w:tcPr>
          <w:p w14:paraId="71ACC3E3" w14:textId="77777777" w:rsidR="00162CE2" w:rsidRPr="00914003" w:rsidRDefault="00162CE2" w:rsidP="008A56ED">
            <w:pPr>
              <w:pStyle w:val="TableParagraph"/>
              <w:adjustRightInd w:val="0"/>
              <w:snapToGrid w:val="0"/>
              <w:rPr>
                <w:snapToGrid w:val="0"/>
                <w:sz w:val="20"/>
                <w:szCs w:val="20"/>
                <w:lang w:val="pt-PT"/>
              </w:rPr>
            </w:pPr>
          </w:p>
        </w:tc>
        <w:tc>
          <w:tcPr>
            <w:tcW w:w="1065" w:type="dxa"/>
          </w:tcPr>
          <w:p w14:paraId="0BE3E184" w14:textId="77777777" w:rsidR="00162CE2" w:rsidRPr="00914003" w:rsidRDefault="00162CE2" w:rsidP="008A56ED">
            <w:pPr>
              <w:pStyle w:val="TableParagraph"/>
              <w:adjustRightInd w:val="0"/>
              <w:snapToGrid w:val="0"/>
              <w:rPr>
                <w:snapToGrid w:val="0"/>
                <w:sz w:val="20"/>
                <w:szCs w:val="20"/>
                <w:lang w:val="pt-PT"/>
              </w:rPr>
            </w:pPr>
          </w:p>
        </w:tc>
        <w:tc>
          <w:tcPr>
            <w:tcW w:w="1161" w:type="dxa"/>
          </w:tcPr>
          <w:p w14:paraId="404F36C8" w14:textId="77777777" w:rsidR="00162CE2" w:rsidRPr="00914003" w:rsidRDefault="00162CE2" w:rsidP="008A56ED">
            <w:pPr>
              <w:pStyle w:val="TableParagraph"/>
              <w:adjustRightInd w:val="0"/>
              <w:snapToGrid w:val="0"/>
              <w:rPr>
                <w:snapToGrid w:val="0"/>
                <w:sz w:val="20"/>
                <w:szCs w:val="20"/>
                <w:lang w:val="pt-PT"/>
              </w:rPr>
            </w:pPr>
          </w:p>
        </w:tc>
        <w:tc>
          <w:tcPr>
            <w:tcW w:w="1176" w:type="dxa"/>
          </w:tcPr>
          <w:p w14:paraId="39F5687B" w14:textId="77777777" w:rsidR="00162CE2" w:rsidRPr="00914003" w:rsidRDefault="00162CE2" w:rsidP="008A56ED">
            <w:pPr>
              <w:pStyle w:val="TableParagraph"/>
              <w:adjustRightInd w:val="0"/>
              <w:snapToGrid w:val="0"/>
              <w:rPr>
                <w:snapToGrid w:val="0"/>
                <w:sz w:val="20"/>
                <w:szCs w:val="20"/>
                <w:lang w:val="pt-PT"/>
              </w:rPr>
            </w:pPr>
          </w:p>
        </w:tc>
        <w:tc>
          <w:tcPr>
            <w:tcW w:w="1336" w:type="dxa"/>
          </w:tcPr>
          <w:p w14:paraId="16B5F7A6" w14:textId="77777777" w:rsidR="00162CE2" w:rsidRPr="00914003" w:rsidRDefault="00162CE2" w:rsidP="008A56ED">
            <w:pPr>
              <w:pStyle w:val="TableParagraph"/>
              <w:adjustRightInd w:val="0"/>
              <w:snapToGrid w:val="0"/>
              <w:rPr>
                <w:snapToGrid w:val="0"/>
                <w:sz w:val="20"/>
                <w:szCs w:val="20"/>
                <w:lang w:val="pt-PT"/>
              </w:rPr>
            </w:pPr>
          </w:p>
        </w:tc>
      </w:tr>
    </w:tbl>
    <w:p w14:paraId="241E3AE7" w14:textId="77777777" w:rsidR="00162CE2" w:rsidRPr="002606DB" w:rsidRDefault="00162CE2" w:rsidP="0059793E">
      <w:pPr>
        <w:adjustRightInd w:val="0"/>
        <w:snapToGrid w:val="0"/>
        <w:ind w:right="-138"/>
        <w:rPr>
          <w:snapToGrid w:val="0"/>
          <w:sz w:val="18"/>
          <w:szCs w:val="18"/>
          <w:lang w:val="pt-PT"/>
        </w:rPr>
      </w:pPr>
      <w:r w:rsidRPr="002606DB">
        <w:rPr>
          <w:snapToGrid w:val="0"/>
          <w:sz w:val="18"/>
          <w:szCs w:val="18"/>
          <w:lang w:val="pt-PT"/>
        </w:rPr>
        <w:t>Quando os acontecimentos em ensaios clínicos foram observados tanto como reações adversas medicamentosas de todos os Graus e de Grau 3-5, foi notificada a frequência mais elevada. Os dados não estão ajustados à diferente duração do tratamento.</w:t>
      </w:r>
    </w:p>
    <w:p w14:paraId="36C66797" w14:textId="77777777" w:rsidR="00162CE2" w:rsidRPr="002606DB" w:rsidRDefault="00162CE2" w:rsidP="00056F35">
      <w:pPr>
        <w:pStyle w:val="a3"/>
        <w:adjustRightInd w:val="0"/>
        <w:snapToGrid w:val="0"/>
        <w:rPr>
          <w:snapToGrid w:val="0"/>
          <w:sz w:val="18"/>
          <w:szCs w:val="18"/>
          <w:lang w:val="pt-PT"/>
        </w:rPr>
      </w:pPr>
    </w:p>
    <w:p w14:paraId="7480E41E"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Para mais informação, ver Tabela 3 </w:t>
      </w:r>
      <w:r w:rsidRPr="002606DB">
        <w:rPr>
          <w:b/>
          <w:snapToGrid w:val="0"/>
          <w:sz w:val="18"/>
          <w:szCs w:val="18"/>
          <w:lang w:val="pt-PT"/>
        </w:rPr>
        <w:t>“</w:t>
      </w:r>
      <w:r w:rsidRPr="002606DB">
        <w:rPr>
          <w:snapToGrid w:val="0"/>
          <w:sz w:val="18"/>
          <w:szCs w:val="18"/>
          <w:lang w:val="pt-PT"/>
        </w:rPr>
        <w:t>Reações adversas notificadas em ambiente pós-comercialização”.</w:t>
      </w:r>
    </w:p>
    <w:p w14:paraId="0FBC520E"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b</w:t>
      </w:r>
      <w:r w:rsidRPr="002606DB">
        <w:rPr>
          <w:snapToGrid w:val="0"/>
          <w:sz w:val="18"/>
          <w:szCs w:val="18"/>
          <w:lang w:val="pt-PT"/>
        </w:rPr>
        <w:t xml:space="preserve"> Os termos representam um grupo de acontecimentos que descrevem um conceito médico em vez de uma condição única ou o termo preferido do MedDRA (Dicionário Médico para Atividades Regulamentares). Este grupo de termos médicos pode envolver a mesma fisiopatologia subjacente (p.ex. reações tromboembólicas arteriais incluem acidente vascular cerebral, enfarte do miocárdio, acidente isquémico transitório e outras reações tromboembólicas arteriais).</w:t>
      </w:r>
    </w:p>
    <w:p w14:paraId="46A4A001"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c</w:t>
      </w:r>
      <w:r w:rsidRPr="002606DB">
        <w:rPr>
          <w:snapToGrid w:val="0"/>
          <w:sz w:val="18"/>
          <w:szCs w:val="18"/>
          <w:lang w:val="pt-PT"/>
        </w:rPr>
        <w:t xml:space="preserve"> Com base num sub-estudo do NSABP C-08 com 295 doentes.</w:t>
      </w:r>
    </w:p>
    <w:p w14:paraId="349B13B1"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d</w:t>
      </w:r>
      <w:r w:rsidRPr="002606DB">
        <w:rPr>
          <w:snapToGrid w:val="0"/>
          <w:sz w:val="18"/>
          <w:szCs w:val="18"/>
          <w:lang w:val="pt-PT"/>
        </w:rPr>
        <w:t xml:space="preserve"> Para mais informação, ver abaixo a secção “Informações adicionais sobre determinadas reações adversas”.</w:t>
      </w:r>
    </w:p>
    <w:p w14:paraId="3C4F3229" w14:textId="06F996D3"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e</w:t>
      </w:r>
      <w:r w:rsidRPr="002606DB">
        <w:rPr>
          <w:snapToGrid w:val="0"/>
          <w:sz w:val="18"/>
          <w:szCs w:val="18"/>
          <w:lang w:val="pt-PT"/>
        </w:rPr>
        <w:t xml:space="preserve"> As fístulas reto</w:t>
      </w:r>
      <w:r w:rsidR="005B3AE6" w:rsidRPr="002606DB">
        <w:rPr>
          <w:snapToGrid w:val="0"/>
          <w:sz w:val="18"/>
          <w:szCs w:val="18"/>
          <w:lang w:val="pt-PT"/>
        </w:rPr>
        <w:noBreakHyphen/>
      </w:r>
      <w:r w:rsidRPr="002606DB">
        <w:rPr>
          <w:snapToGrid w:val="0"/>
          <w:sz w:val="18"/>
          <w:szCs w:val="18"/>
          <w:lang w:val="pt-PT"/>
        </w:rPr>
        <w:t>vaginais são as fístulas mais frequentes da categoria das fístulas entre o trato GI e a vagina.</w:t>
      </w:r>
      <w:r w:rsidR="000049B1" w:rsidRPr="002606DB" w:rsidDel="000049B1">
        <w:rPr>
          <w:snapToGrid w:val="0"/>
          <w:sz w:val="18"/>
          <w:szCs w:val="18"/>
          <w:lang w:val="pt-PT"/>
        </w:rPr>
        <w:t xml:space="preserve"> </w:t>
      </w:r>
    </w:p>
    <w:p w14:paraId="454425F6"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f</w:t>
      </w:r>
      <w:r w:rsidRPr="002606DB">
        <w:rPr>
          <w:snapToGrid w:val="0"/>
          <w:sz w:val="18"/>
          <w:szCs w:val="18"/>
          <w:lang w:val="pt-PT"/>
        </w:rPr>
        <w:t xml:space="preserve"> Observada apenas na população pediátrica.</w:t>
      </w:r>
    </w:p>
    <w:p w14:paraId="62712AC1" w14:textId="77777777" w:rsidR="00162CE2" w:rsidRPr="002606DB" w:rsidRDefault="00162CE2" w:rsidP="00056F35">
      <w:pPr>
        <w:adjustRightInd w:val="0"/>
        <w:snapToGrid w:val="0"/>
        <w:rPr>
          <w:snapToGrid w:val="0"/>
          <w:lang w:val="pt-PT"/>
        </w:rPr>
      </w:pPr>
    </w:p>
    <w:p w14:paraId="2A820688" w14:textId="589F8FAF" w:rsidR="00162CE2" w:rsidRPr="00730741" w:rsidRDefault="00F71117"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2:</w:t>
      </w:r>
      <w:r w:rsidR="00162CE2" w:rsidRPr="00730741">
        <w:rPr>
          <w:b/>
          <w:bCs/>
          <w:snapToGrid w:val="0"/>
          <w:lang w:val="pt-PT"/>
        </w:rPr>
        <w:tab/>
        <w:t xml:space="preserve">Reações </w:t>
      </w:r>
      <w:r w:rsidR="00BA70E8" w:rsidRPr="00730741">
        <w:rPr>
          <w:b/>
          <w:bCs/>
          <w:snapToGrid w:val="0"/>
          <w:lang w:val="pt-PT"/>
        </w:rPr>
        <w:t>a</w:t>
      </w:r>
      <w:r w:rsidR="00162CE2" w:rsidRPr="00730741">
        <w:rPr>
          <w:b/>
          <w:bCs/>
          <w:snapToGrid w:val="0"/>
          <w:lang w:val="pt-PT"/>
        </w:rPr>
        <w:t xml:space="preserve">dversas </w:t>
      </w:r>
      <w:r w:rsidR="00BA70E8" w:rsidRPr="00730741">
        <w:rPr>
          <w:b/>
          <w:bCs/>
          <w:snapToGrid w:val="0"/>
          <w:lang w:val="pt-PT"/>
        </w:rPr>
        <w:t>g</w:t>
      </w:r>
      <w:r w:rsidR="00162CE2" w:rsidRPr="00730741">
        <w:rPr>
          <w:b/>
          <w:bCs/>
          <w:snapToGrid w:val="0"/>
          <w:lang w:val="pt-PT"/>
        </w:rPr>
        <w:t xml:space="preserve">raves por </w:t>
      </w:r>
      <w:r w:rsidR="00BA70E8" w:rsidRPr="00730741">
        <w:rPr>
          <w:b/>
          <w:bCs/>
          <w:snapToGrid w:val="0"/>
          <w:lang w:val="pt-PT"/>
        </w:rPr>
        <w:t>f</w:t>
      </w:r>
      <w:r w:rsidR="00162CE2" w:rsidRPr="00730741">
        <w:rPr>
          <w:b/>
          <w:bCs/>
          <w:snapToGrid w:val="0"/>
          <w:lang w:val="pt-PT"/>
        </w:rPr>
        <w:t>requência</w:t>
      </w:r>
    </w:p>
    <w:p w14:paraId="59414FC5"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595"/>
        <w:gridCol w:w="1538"/>
        <w:gridCol w:w="1677"/>
        <w:gridCol w:w="1119"/>
        <w:gridCol w:w="839"/>
        <w:gridCol w:w="840"/>
        <w:gridCol w:w="1458"/>
      </w:tblGrid>
      <w:tr w:rsidR="00162CE2" w:rsidRPr="002606DB" w14:paraId="3436C1AF" w14:textId="77777777" w:rsidTr="00B22E04">
        <w:trPr>
          <w:tblHeader/>
        </w:trPr>
        <w:tc>
          <w:tcPr>
            <w:tcW w:w="1595" w:type="dxa"/>
          </w:tcPr>
          <w:p w14:paraId="00600F84" w14:textId="166319AB" w:rsidR="00162CE2" w:rsidRPr="00914003" w:rsidRDefault="00162CE2" w:rsidP="002831A3">
            <w:pPr>
              <w:pStyle w:val="TableParagraph"/>
              <w:adjustRightInd w:val="0"/>
              <w:snapToGrid w:val="0"/>
              <w:rPr>
                <w:b/>
                <w:bCs/>
                <w:snapToGrid w:val="0"/>
                <w:sz w:val="20"/>
                <w:szCs w:val="20"/>
                <w:lang w:val="pt-PT"/>
              </w:rPr>
            </w:pPr>
            <w:r w:rsidRPr="00914003">
              <w:rPr>
                <w:b/>
                <w:bCs/>
                <w:snapToGrid w:val="0"/>
                <w:sz w:val="20"/>
                <w:szCs w:val="20"/>
                <w:lang w:val="pt-PT"/>
              </w:rPr>
              <w:t>Classes de sistemas de</w:t>
            </w:r>
            <w:r w:rsidR="002831A3" w:rsidRPr="00914003">
              <w:rPr>
                <w:b/>
                <w:bCs/>
                <w:snapToGrid w:val="0"/>
                <w:sz w:val="20"/>
                <w:szCs w:val="20"/>
                <w:lang w:val="pt-PT"/>
              </w:rPr>
              <w:t xml:space="preserve"> </w:t>
            </w:r>
            <w:r w:rsidRPr="00914003">
              <w:rPr>
                <w:b/>
                <w:bCs/>
                <w:snapToGrid w:val="0"/>
                <w:sz w:val="20"/>
                <w:szCs w:val="20"/>
                <w:lang w:val="pt-PT"/>
              </w:rPr>
              <w:t>órgãos</w:t>
            </w:r>
          </w:p>
        </w:tc>
        <w:tc>
          <w:tcPr>
            <w:tcW w:w="1538" w:type="dxa"/>
          </w:tcPr>
          <w:p w14:paraId="003FFCE5" w14:textId="77777777" w:rsidR="00162CE2" w:rsidRPr="00914003" w:rsidRDefault="00162CE2" w:rsidP="002831A3">
            <w:pPr>
              <w:pStyle w:val="TableParagraph"/>
              <w:adjustRightInd w:val="0"/>
              <w:snapToGrid w:val="0"/>
              <w:rPr>
                <w:b/>
                <w:bCs/>
                <w:snapToGrid w:val="0"/>
                <w:sz w:val="20"/>
                <w:szCs w:val="20"/>
                <w:lang w:val="pt-PT"/>
              </w:rPr>
            </w:pPr>
            <w:r w:rsidRPr="00914003">
              <w:rPr>
                <w:b/>
                <w:bCs/>
                <w:snapToGrid w:val="0"/>
                <w:sz w:val="20"/>
                <w:szCs w:val="20"/>
                <w:lang w:val="pt-PT"/>
              </w:rPr>
              <w:t>Muito frequentes</w:t>
            </w:r>
          </w:p>
        </w:tc>
        <w:tc>
          <w:tcPr>
            <w:tcW w:w="1677" w:type="dxa"/>
          </w:tcPr>
          <w:p w14:paraId="31D58AAD" w14:textId="77777777" w:rsidR="00162CE2" w:rsidRPr="00914003" w:rsidRDefault="00162CE2" w:rsidP="002831A3">
            <w:pPr>
              <w:pStyle w:val="TableParagraph"/>
              <w:adjustRightInd w:val="0"/>
              <w:snapToGrid w:val="0"/>
              <w:rPr>
                <w:b/>
                <w:bCs/>
                <w:snapToGrid w:val="0"/>
                <w:sz w:val="20"/>
                <w:szCs w:val="20"/>
                <w:lang w:val="pt-PT"/>
              </w:rPr>
            </w:pPr>
            <w:r w:rsidRPr="00914003">
              <w:rPr>
                <w:b/>
                <w:bCs/>
                <w:snapToGrid w:val="0"/>
                <w:sz w:val="20"/>
                <w:szCs w:val="20"/>
                <w:lang w:val="pt-PT"/>
              </w:rPr>
              <w:t>Frequentes</w:t>
            </w:r>
          </w:p>
        </w:tc>
        <w:tc>
          <w:tcPr>
            <w:tcW w:w="1119" w:type="dxa"/>
          </w:tcPr>
          <w:p w14:paraId="6835DA83" w14:textId="0D9D46CD" w:rsidR="00162CE2" w:rsidRPr="00914003" w:rsidRDefault="00162CE2" w:rsidP="002831A3">
            <w:pPr>
              <w:pStyle w:val="TableParagraph"/>
              <w:adjustRightInd w:val="0"/>
              <w:snapToGrid w:val="0"/>
              <w:rPr>
                <w:b/>
                <w:bCs/>
                <w:snapToGrid w:val="0"/>
                <w:sz w:val="20"/>
                <w:szCs w:val="20"/>
                <w:lang w:val="pt-PT"/>
              </w:rPr>
            </w:pPr>
            <w:r w:rsidRPr="00914003" w:rsidDel="00CA5E1C">
              <w:rPr>
                <w:b/>
                <w:bCs/>
                <w:snapToGrid w:val="0"/>
                <w:sz w:val="20"/>
                <w:szCs w:val="20"/>
                <w:lang w:val="pt-PT"/>
              </w:rPr>
              <w:t xml:space="preserve">Pouco </w:t>
            </w:r>
            <w:r w:rsidR="00BA70E8" w:rsidDel="00CA5E1C">
              <w:rPr>
                <w:b/>
                <w:bCs/>
                <w:snapToGrid w:val="0"/>
                <w:sz w:val="20"/>
                <w:szCs w:val="20"/>
                <w:lang w:val="pt-PT"/>
              </w:rPr>
              <w:t>f</w:t>
            </w:r>
            <w:r w:rsidRPr="00914003" w:rsidDel="00CA5E1C">
              <w:rPr>
                <w:b/>
                <w:bCs/>
                <w:snapToGrid w:val="0"/>
                <w:sz w:val="20"/>
                <w:szCs w:val="20"/>
                <w:lang w:val="pt-PT"/>
              </w:rPr>
              <w:t>requentes</w:t>
            </w:r>
          </w:p>
        </w:tc>
        <w:tc>
          <w:tcPr>
            <w:tcW w:w="839" w:type="dxa"/>
          </w:tcPr>
          <w:p w14:paraId="750CB94D" w14:textId="77777777" w:rsidR="00162CE2" w:rsidRPr="00914003" w:rsidRDefault="00162CE2" w:rsidP="002831A3">
            <w:pPr>
              <w:pStyle w:val="TableParagraph"/>
              <w:adjustRightInd w:val="0"/>
              <w:snapToGrid w:val="0"/>
              <w:rPr>
                <w:b/>
                <w:bCs/>
                <w:snapToGrid w:val="0"/>
                <w:sz w:val="20"/>
                <w:szCs w:val="20"/>
                <w:lang w:val="pt-PT"/>
              </w:rPr>
            </w:pPr>
            <w:r w:rsidRPr="00914003">
              <w:rPr>
                <w:b/>
                <w:bCs/>
                <w:snapToGrid w:val="0"/>
                <w:sz w:val="20"/>
                <w:szCs w:val="20"/>
                <w:lang w:val="pt-PT"/>
              </w:rPr>
              <w:t>Raros</w:t>
            </w:r>
          </w:p>
        </w:tc>
        <w:tc>
          <w:tcPr>
            <w:tcW w:w="840" w:type="dxa"/>
          </w:tcPr>
          <w:p w14:paraId="042DC21A" w14:textId="65B1F1A0" w:rsidR="00162CE2" w:rsidRPr="00914003" w:rsidRDefault="00162CE2" w:rsidP="002831A3">
            <w:pPr>
              <w:pStyle w:val="TableParagraph"/>
              <w:adjustRightInd w:val="0"/>
              <w:snapToGrid w:val="0"/>
              <w:rPr>
                <w:b/>
                <w:bCs/>
                <w:snapToGrid w:val="0"/>
                <w:sz w:val="20"/>
                <w:szCs w:val="20"/>
                <w:lang w:val="pt-PT"/>
              </w:rPr>
            </w:pPr>
            <w:r w:rsidRPr="00914003" w:rsidDel="00CA5E1C">
              <w:rPr>
                <w:b/>
                <w:bCs/>
                <w:snapToGrid w:val="0"/>
                <w:sz w:val="20"/>
                <w:szCs w:val="20"/>
                <w:lang w:val="pt-PT"/>
              </w:rPr>
              <w:t>Muito raros</w:t>
            </w:r>
          </w:p>
        </w:tc>
        <w:tc>
          <w:tcPr>
            <w:tcW w:w="1458" w:type="dxa"/>
          </w:tcPr>
          <w:p w14:paraId="6A7C0E20" w14:textId="79DE06FE" w:rsidR="00162CE2" w:rsidRPr="00914003" w:rsidRDefault="00162CE2" w:rsidP="002831A3">
            <w:pPr>
              <w:pStyle w:val="TableParagraph"/>
              <w:adjustRightInd w:val="0"/>
              <w:snapToGrid w:val="0"/>
              <w:rPr>
                <w:b/>
                <w:bCs/>
                <w:snapToGrid w:val="0"/>
                <w:sz w:val="20"/>
                <w:szCs w:val="20"/>
                <w:lang w:val="pt-PT"/>
              </w:rPr>
            </w:pPr>
            <w:r w:rsidRPr="00914003">
              <w:rPr>
                <w:b/>
                <w:bCs/>
                <w:snapToGrid w:val="0"/>
                <w:sz w:val="20"/>
                <w:szCs w:val="20"/>
                <w:lang w:val="pt-PT"/>
              </w:rPr>
              <w:t xml:space="preserve">Frequência </w:t>
            </w:r>
            <w:r w:rsidR="00BA70E8">
              <w:rPr>
                <w:b/>
                <w:bCs/>
                <w:snapToGrid w:val="0"/>
                <w:sz w:val="20"/>
                <w:szCs w:val="20"/>
                <w:lang w:val="pt-PT"/>
              </w:rPr>
              <w:t>d</w:t>
            </w:r>
            <w:r w:rsidRPr="00914003">
              <w:rPr>
                <w:b/>
                <w:bCs/>
                <w:snapToGrid w:val="0"/>
                <w:sz w:val="20"/>
                <w:szCs w:val="20"/>
                <w:lang w:val="pt-PT"/>
              </w:rPr>
              <w:t>esconhecida</w:t>
            </w:r>
          </w:p>
        </w:tc>
      </w:tr>
      <w:tr w:rsidR="00162CE2" w:rsidRPr="002606DB" w14:paraId="747E9D73" w14:textId="77777777" w:rsidTr="00B22E04">
        <w:tc>
          <w:tcPr>
            <w:tcW w:w="1595" w:type="dxa"/>
          </w:tcPr>
          <w:p w14:paraId="33B12B2B" w14:textId="77777777" w:rsidR="00162CE2" w:rsidRPr="00914003" w:rsidRDefault="00162CE2" w:rsidP="002831A3">
            <w:pPr>
              <w:pStyle w:val="TableParagraph"/>
              <w:adjustRightInd w:val="0"/>
              <w:snapToGrid w:val="0"/>
              <w:rPr>
                <w:snapToGrid w:val="0"/>
                <w:sz w:val="20"/>
                <w:szCs w:val="20"/>
                <w:lang w:val="pt-PT"/>
              </w:rPr>
            </w:pPr>
            <w:r w:rsidRPr="00914003">
              <w:rPr>
                <w:snapToGrid w:val="0"/>
                <w:sz w:val="20"/>
                <w:szCs w:val="20"/>
                <w:lang w:val="pt-PT"/>
              </w:rPr>
              <w:t>Infeções e infestações</w:t>
            </w:r>
          </w:p>
        </w:tc>
        <w:tc>
          <w:tcPr>
            <w:tcW w:w="1538" w:type="dxa"/>
          </w:tcPr>
          <w:p w14:paraId="2ED1ED3C" w14:textId="77777777" w:rsidR="00162CE2" w:rsidRPr="00914003" w:rsidRDefault="00162CE2" w:rsidP="002831A3">
            <w:pPr>
              <w:pStyle w:val="TableParagraph"/>
              <w:adjustRightInd w:val="0"/>
              <w:snapToGrid w:val="0"/>
              <w:rPr>
                <w:snapToGrid w:val="0"/>
                <w:sz w:val="20"/>
                <w:szCs w:val="20"/>
                <w:lang w:val="pt-PT"/>
              </w:rPr>
            </w:pPr>
          </w:p>
        </w:tc>
        <w:tc>
          <w:tcPr>
            <w:tcW w:w="1677" w:type="dxa"/>
          </w:tcPr>
          <w:p w14:paraId="3EF60F7A" w14:textId="13647ED6" w:rsidR="00162CE2" w:rsidRPr="00914003" w:rsidRDefault="00162CE2" w:rsidP="006E7416">
            <w:pPr>
              <w:pStyle w:val="TableParagraph"/>
              <w:adjustRightInd w:val="0"/>
              <w:snapToGrid w:val="0"/>
              <w:rPr>
                <w:snapToGrid w:val="0"/>
                <w:sz w:val="20"/>
                <w:szCs w:val="20"/>
                <w:lang w:val="pt-PT"/>
              </w:rPr>
            </w:pPr>
            <w:r w:rsidRPr="00914003">
              <w:rPr>
                <w:snapToGrid w:val="0"/>
                <w:sz w:val="20"/>
                <w:szCs w:val="20"/>
                <w:lang w:val="pt-PT"/>
              </w:rPr>
              <w:t xml:space="preserve">Sepsis, </w:t>
            </w:r>
            <w:r w:rsidR="00BA70E8">
              <w:rPr>
                <w:snapToGrid w:val="0"/>
                <w:sz w:val="20"/>
                <w:szCs w:val="20"/>
                <w:lang w:val="pt-PT"/>
              </w:rPr>
              <w:t>c</w:t>
            </w:r>
            <w:r w:rsidRPr="00914003">
              <w:rPr>
                <w:snapToGrid w:val="0"/>
                <w:sz w:val="20"/>
                <w:szCs w:val="20"/>
                <w:lang w:val="pt-PT"/>
              </w:rPr>
              <w:t xml:space="preserve">elulite, </w:t>
            </w:r>
            <w:r w:rsidR="00BA70E8">
              <w:rPr>
                <w:snapToGrid w:val="0"/>
                <w:sz w:val="20"/>
                <w:szCs w:val="20"/>
                <w:lang w:val="pt-PT"/>
              </w:rPr>
              <w:t>a</w:t>
            </w:r>
            <w:r w:rsidRPr="00914003">
              <w:rPr>
                <w:snapToGrid w:val="0"/>
                <w:sz w:val="20"/>
                <w:szCs w:val="20"/>
                <w:lang w:val="pt-PT"/>
              </w:rPr>
              <w:t>bcesso</w:t>
            </w:r>
            <w:r w:rsidRPr="00914003">
              <w:rPr>
                <w:snapToGrid w:val="0"/>
                <w:sz w:val="20"/>
                <w:szCs w:val="20"/>
                <w:vertAlign w:val="superscript"/>
                <w:lang w:val="pt-PT"/>
              </w:rPr>
              <w:t>a,b</w:t>
            </w:r>
            <w:r w:rsidRPr="00914003">
              <w:rPr>
                <w:snapToGrid w:val="0"/>
                <w:sz w:val="20"/>
                <w:szCs w:val="20"/>
                <w:lang w:val="pt-PT"/>
              </w:rPr>
              <w:t xml:space="preserve">, </w:t>
            </w:r>
            <w:r w:rsidR="00BA70E8">
              <w:rPr>
                <w:snapToGrid w:val="0"/>
                <w:sz w:val="20"/>
                <w:szCs w:val="20"/>
                <w:lang w:val="pt-PT"/>
              </w:rPr>
              <w:t>i</w:t>
            </w:r>
            <w:r w:rsidRPr="00914003">
              <w:rPr>
                <w:snapToGrid w:val="0"/>
                <w:sz w:val="20"/>
                <w:szCs w:val="20"/>
                <w:lang w:val="pt-PT"/>
              </w:rPr>
              <w:t xml:space="preserve">nfeção, </w:t>
            </w:r>
            <w:r w:rsidR="00BA70E8">
              <w:rPr>
                <w:snapToGrid w:val="0"/>
                <w:sz w:val="20"/>
                <w:szCs w:val="20"/>
                <w:lang w:val="pt-PT"/>
              </w:rPr>
              <w:t>i</w:t>
            </w:r>
            <w:r w:rsidRPr="00914003">
              <w:rPr>
                <w:snapToGrid w:val="0"/>
                <w:sz w:val="20"/>
                <w:szCs w:val="20"/>
                <w:lang w:val="pt-PT"/>
              </w:rPr>
              <w:t>nfeção do trato</w:t>
            </w:r>
            <w:r w:rsidR="006E7416" w:rsidRPr="00914003">
              <w:rPr>
                <w:snapToGrid w:val="0"/>
                <w:sz w:val="20"/>
                <w:szCs w:val="20"/>
                <w:lang w:val="pt-PT"/>
              </w:rPr>
              <w:t xml:space="preserve"> </w:t>
            </w:r>
            <w:r w:rsidRPr="00914003">
              <w:rPr>
                <w:snapToGrid w:val="0"/>
                <w:sz w:val="20"/>
                <w:szCs w:val="20"/>
                <w:lang w:val="pt-PT"/>
              </w:rPr>
              <w:t>urinário</w:t>
            </w:r>
          </w:p>
        </w:tc>
        <w:tc>
          <w:tcPr>
            <w:tcW w:w="1119" w:type="dxa"/>
          </w:tcPr>
          <w:p w14:paraId="00BC9769" w14:textId="77777777" w:rsidR="00162CE2" w:rsidRPr="00914003" w:rsidRDefault="00162CE2" w:rsidP="002831A3">
            <w:pPr>
              <w:pStyle w:val="TableParagraph"/>
              <w:adjustRightInd w:val="0"/>
              <w:snapToGrid w:val="0"/>
              <w:rPr>
                <w:snapToGrid w:val="0"/>
                <w:sz w:val="20"/>
                <w:szCs w:val="20"/>
                <w:lang w:val="pt-PT"/>
              </w:rPr>
            </w:pPr>
          </w:p>
        </w:tc>
        <w:tc>
          <w:tcPr>
            <w:tcW w:w="839" w:type="dxa"/>
          </w:tcPr>
          <w:p w14:paraId="5E0953AF" w14:textId="77777777" w:rsidR="00162CE2" w:rsidRPr="00914003" w:rsidRDefault="00162CE2" w:rsidP="002831A3">
            <w:pPr>
              <w:pStyle w:val="TableParagraph"/>
              <w:adjustRightInd w:val="0"/>
              <w:snapToGrid w:val="0"/>
              <w:rPr>
                <w:snapToGrid w:val="0"/>
                <w:sz w:val="20"/>
                <w:szCs w:val="20"/>
                <w:lang w:val="pt-PT"/>
              </w:rPr>
            </w:pPr>
          </w:p>
        </w:tc>
        <w:tc>
          <w:tcPr>
            <w:tcW w:w="840" w:type="dxa"/>
          </w:tcPr>
          <w:p w14:paraId="26DC57CA" w14:textId="77777777" w:rsidR="00162CE2" w:rsidRPr="00914003" w:rsidRDefault="00162CE2" w:rsidP="002831A3">
            <w:pPr>
              <w:pStyle w:val="TableParagraph"/>
              <w:adjustRightInd w:val="0"/>
              <w:snapToGrid w:val="0"/>
              <w:rPr>
                <w:snapToGrid w:val="0"/>
                <w:sz w:val="20"/>
                <w:szCs w:val="20"/>
                <w:lang w:val="pt-PT"/>
              </w:rPr>
            </w:pPr>
          </w:p>
        </w:tc>
        <w:tc>
          <w:tcPr>
            <w:tcW w:w="1458" w:type="dxa"/>
          </w:tcPr>
          <w:p w14:paraId="6E209EF2" w14:textId="77777777" w:rsidR="00162CE2" w:rsidRPr="00914003" w:rsidRDefault="00162CE2" w:rsidP="002831A3">
            <w:pPr>
              <w:pStyle w:val="TableParagraph"/>
              <w:adjustRightInd w:val="0"/>
              <w:snapToGrid w:val="0"/>
              <w:rPr>
                <w:snapToGrid w:val="0"/>
                <w:sz w:val="20"/>
                <w:szCs w:val="20"/>
                <w:lang w:val="pt-PT"/>
              </w:rPr>
            </w:pPr>
            <w:r w:rsidRPr="00914003">
              <w:rPr>
                <w:snapToGrid w:val="0"/>
                <w:sz w:val="20"/>
                <w:szCs w:val="20"/>
                <w:lang w:val="pt-PT"/>
              </w:rPr>
              <w:t>Fascite necrotizante</w:t>
            </w:r>
            <w:r w:rsidRPr="00914003">
              <w:rPr>
                <w:snapToGrid w:val="0"/>
                <w:sz w:val="20"/>
                <w:szCs w:val="20"/>
                <w:vertAlign w:val="superscript"/>
                <w:lang w:val="pt-PT"/>
              </w:rPr>
              <w:t>c</w:t>
            </w:r>
          </w:p>
        </w:tc>
      </w:tr>
      <w:tr w:rsidR="00162CE2" w:rsidRPr="002606DB" w14:paraId="2872B180" w14:textId="77777777" w:rsidTr="00B22E04">
        <w:tc>
          <w:tcPr>
            <w:tcW w:w="1595" w:type="dxa"/>
          </w:tcPr>
          <w:p w14:paraId="386B4894" w14:textId="77777777" w:rsidR="00162CE2" w:rsidRPr="00914003" w:rsidRDefault="00162CE2" w:rsidP="002831A3">
            <w:pPr>
              <w:pStyle w:val="TableParagraph"/>
              <w:adjustRightInd w:val="0"/>
              <w:snapToGrid w:val="0"/>
              <w:rPr>
                <w:snapToGrid w:val="0"/>
                <w:sz w:val="20"/>
                <w:szCs w:val="20"/>
                <w:lang w:val="pt-PT"/>
              </w:rPr>
            </w:pPr>
            <w:r w:rsidRPr="00914003">
              <w:rPr>
                <w:snapToGrid w:val="0"/>
                <w:sz w:val="20"/>
                <w:szCs w:val="20"/>
                <w:lang w:val="pt-PT"/>
              </w:rPr>
              <w:t>Doenças do sangue e do sistema linfático</w:t>
            </w:r>
          </w:p>
        </w:tc>
        <w:tc>
          <w:tcPr>
            <w:tcW w:w="1538" w:type="dxa"/>
          </w:tcPr>
          <w:p w14:paraId="5F76BF92" w14:textId="6D516AFA" w:rsidR="00162CE2" w:rsidRPr="00914003" w:rsidRDefault="00162CE2" w:rsidP="006E7416">
            <w:pPr>
              <w:pStyle w:val="TableParagraph"/>
              <w:adjustRightInd w:val="0"/>
              <w:snapToGrid w:val="0"/>
              <w:rPr>
                <w:snapToGrid w:val="0"/>
                <w:sz w:val="20"/>
                <w:szCs w:val="20"/>
                <w:lang w:val="pt-PT"/>
              </w:rPr>
            </w:pPr>
            <w:r w:rsidRPr="00914003">
              <w:rPr>
                <w:snapToGrid w:val="0"/>
                <w:sz w:val="20"/>
                <w:szCs w:val="20"/>
                <w:lang w:val="pt-PT"/>
              </w:rPr>
              <w:t xml:space="preserve">Neutropenia febril, </w:t>
            </w:r>
            <w:r w:rsidR="00BA70E8">
              <w:rPr>
                <w:snapToGrid w:val="0"/>
                <w:sz w:val="20"/>
                <w:szCs w:val="20"/>
                <w:lang w:val="pt-PT"/>
              </w:rPr>
              <w:t>l</w:t>
            </w:r>
            <w:r w:rsidRPr="00914003">
              <w:rPr>
                <w:snapToGrid w:val="0"/>
                <w:sz w:val="20"/>
                <w:szCs w:val="20"/>
                <w:lang w:val="pt-PT"/>
              </w:rPr>
              <w:t xml:space="preserve">eucopenia, </w:t>
            </w:r>
            <w:r w:rsidR="00BA70E8">
              <w:rPr>
                <w:snapToGrid w:val="0"/>
                <w:sz w:val="20"/>
                <w:szCs w:val="20"/>
                <w:lang w:val="pt-PT"/>
              </w:rPr>
              <w:t>n</w:t>
            </w:r>
            <w:r w:rsidRPr="00914003">
              <w:rPr>
                <w:snapToGrid w:val="0"/>
                <w:sz w:val="20"/>
                <w:szCs w:val="20"/>
                <w:lang w:val="pt-PT"/>
              </w:rPr>
              <w:t>eutropenia</w:t>
            </w:r>
            <w:r w:rsidRPr="00914003">
              <w:rPr>
                <w:snapToGrid w:val="0"/>
                <w:sz w:val="20"/>
                <w:szCs w:val="20"/>
                <w:vertAlign w:val="superscript"/>
                <w:lang w:val="pt-PT"/>
              </w:rPr>
              <w:t>a</w:t>
            </w:r>
            <w:r w:rsidRPr="00914003">
              <w:rPr>
                <w:snapToGrid w:val="0"/>
                <w:sz w:val="20"/>
                <w:szCs w:val="20"/>
                <w:lang w:val="pt-PT"/>
              </w:rPr>
              <w:t>,</w:t>
            </w:r>
            <w:r w:rsidR="006E7416" w:rsidRPr="00914003">
              <w:rPr>
                <w:snapToGrid w:val="0"/>
                <w:sz w:val="20"/>
                <w:szCs w:val="20"/>
                <w:lang w:val="pt-PT"/>
              </w:rPr>
              <w:t xml:space="preserve"> </w:t>
            </w:r>
            <w:r w:rsidR="00BA70E8">
              <w:rPr>
                <w:snapToGrid w:val="0"/>
                <w:sz w:val="20"/>
                <w:szCs w:val="20"/>
                <w:lang w:val="pt-PT"/>
              </w:rPr>
              <w:t>t</w:t>
            </w:r>
            <w:r w:rsidRPr="00914003">
              <w:rPr>
                <w:snapToGrid w:val="0"/>
                <w:sz w:val="20"/>
                <w:szCs w:val="20"/>
                <w:lang w:val="pt-PT"/>
              </w:rPr>
              <w:t>rombocitopenia</w:t>
            </w:r>
          </w:p>
        </w:tc>
        <w:tc>
          <w:tcPr>
            <w:tcW w:w="1677" w:type="dxa"/>
          </w:tcPr>
          <w:p w14:paraId="69A02020" w14:textId="6781DDBF" w:rsidR="00162CE2" w:rsidRPr="00914003" w:rsidRDefault="00162CE2" w:rsidP="002831A3">
            <w:pPr>
              <w:pStyle w:val="TableParagraph"/>
              <w:adjustRightInd w:val="0"/>
              <w:snapToGrid w:val="0"/>
              <w:rPr>
                <w:snapToGrid w:val="0"/>
                <w:sz w:val="20"/>
                <w:szCs w:val="20"/>
                <w:lang w:val="pt-PT"/>
              </w:rPr>
            </w:pPr>
            <w:r w:rsidRPr="00914003">
              <w:rPr>
                <w:snapToGrid w:val="0"/>
                <w:sz w:val="20"/>
                <w:szCs w:val="20"/>
                <w:lang w:val="pt-PT"/>
              </w:rPr>
              <w:t xml:space="preserve">Anemia, </w:t>
            </w:r>
            <w:r w:rsidR="00BA70E8">
              <w:rPr>
                <w:snapToGrid w:val="0"/>
                <w:sz w:val="20"/>
                <w:szCs w:val="20"/>
                <w:lang w:val="pt-PT"/>
              </w:rPr>
              <w:t>l</w:t>
            </w:r>
            <w:r w:rsidRPr="00914003">
              <w:rPr>
                <w:snapToGrid w:val="0"/>
                <w:sz w:val="20"/>
                <w:szCs w:val="20"/>
                <w:lang w:val="pt-PT"/>
              </w:rPr>
              <w:t>infopenia</w:t>
            </w:r>
          </w:p>
        </w:tc>
        <w:tc>
          <w:tcPr>
            <w:tcW w:w="1119" w:type="dxa"/>
          </w:tcPr>
          <w:p w14:paraId="3EFD4E88" w14:textId="77777777" w:rsidR="00162CE2" w:rsidRPr="00914003" w:rsidRDefault="00162CE2" w:rsidP="002831A3">
            <w:pPr>
              <w:pStyle w:val="TableParagraph"/>
              <w:adjustRightInd w:val="0"/>
              <w:snapToGrid w:val="0"/>
              <w:rPr>
                <w:snapToGrid w:val="0"/>
                <w:sz w:val="20"/>
                <w:szCs w:val="20"/>
                <w:lang w:val="pt-PT"/>
              </w:rPr>
            </w:pPr>
          </w:p>
        </w:tc>
        <w:tc>
          <w:tcPr>
            <w:tcW w:w="839" w:type="dxa"/>
          </w:tcPr>
          <w:p w14:paraId="16BA8842" w14:textId="77777777" w:rsidR="00162CE2" w:rsidRPr="00914003" w:rsidRDefault="00162CE2" w:rsidP="002831A3">
            <w:pPr>
              <w:pStyle w:val="TableParagraph"/>
              <w:adjustRightInd w:val="0"/>
              <w:snapToGrid w:val="0"/>
              <w:rPr>
                <w:snapToGrid w:val="0"/>
                <w:sz w:val="20"/>
                <w:szCs w:val="20"/>
                <w:lang w:val="pt-PT"/>
              </w:rPr>
            </w:pPr>
          </w:p>
        </w:tc>
        <w:tc>
          <w:tcPr>
            <w:tcW w:w="840" w:type="dxa"/>
          </w:tcPr>
          <w:p w14:paraId="0D09FF15" w14:textId="77777777" w:rsidR="00162CE2" w:rsidRPr="00914003" w:rsidRDefault="00162CE2" w:rsidP="002831A3">
            <w:pPr>
              <w:pStyle w:val="TableParagraph"/>
              <w:adjustRightInd w:val="0"/>
              <w:snapToGrid w:val="0"/>
              <w:rPr>
                <w:snapToGrid w:val="0"/>
                <w:sz w:val="20"/>
                <w:szCs w:val="20"/>
                <w:lang w:val="pt-PT"/>
              </w:rPr>
            </w:pPr>
          </w:p>
        </w:tc>
        <w:tc>
          <w:tcPr>
            <w:tcW w:w="1458" w:type="dxa"/>
          </w:tcPr>
          <w:p w14:paraId="538B7775" w14:textId="77777777" w:rsidR="00162CE2" w:rsidRPr="00914003" w:rsidRDefault="00162CE2" w:rsidP="002831A3">
            <w:pPr>
              <w:pStyle w:val="TableParagraph"/>
              <w:adjustRightInd w:val="0"/>
              <w:snapToGrid w:val="0"/>
              <w:rPr>
                <w:snapToGrid w:val="0"/>
                <w:sz w:val="20"/>
                <w:szCs w:val="20"/>
                <w:lang w:val="pt-PT"/>
              </w:rPr>
            </w:pPr>
          </w:p>
        </w:tc>
      </w:tr>
      <w:tr w:rsidR="00B22E04" w:rsidRPr="002606DB" w14:paraId="327B4C79" w14:textId="77777777" w:rsidTr="00B22E04">
        <w:tc>
          <w:tcPr>
            <w:tcW w:w="1595" w:type="dxa"/>
          </w:tcPr>
          <w:p w14:paraId="32A1538F" w14:textId="1CB883EE"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Doenças do sistema imunitário</w:t>
            </w:r>
          </w:p>
        </w:tc>
        <w:tc>
          <w:tcPr>
            <w:tcW w:w="1538" w:type="dxa"/>
          </w:tcPr>
          <w:p w14:paraId="720F54DC"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513779CD" w14:textId="30961539"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Hipersensibilida, </w:t>
            </w:r>
            <w:r>
              <w:rPr>
                <w:snapToGrid w:val="0"/>
                <w:sz w:val="20"/>
                <w:szCs w:val="20"/>
                <w:lang w:val="pt-PT"/>
              </w:rPr>
              <w:t>reação</w:t>
            </w:r>
            <w:r w:rsidR="0034725F" w:rsidRPr="007155C0">
              <w:rPr>
                <w:sz w:val="20"/>
                <w:lang w:val="fr-CA"/>
              </w:rPr>
              <w:t xml:space="preserve">es </w:t>
            </w:r>
            <w:r w:rsidRPr="00914003">
              <w:rPr>
                <w:snapToGrid w:val="0"/>
                <w:sz w:val="20"/>
                <w:szCs w:val="20"/>
                <w:lang w:val="pt-PT"/>
              </w:rPr>
              <w:t>à perfusão</w:t>
            </w:r>
            <w:r w:rsidRPr="00914003">
              <w:rPr>
                <w:snapToGrid w:val="0"/>
                <w:sz w:val="20"/>
                <w:szCs w:val="20"/>
                <w:vertAlign w:val="superscript"/>
                <w:lang w:val="pt-PT"/>
              </w:rPr>
              <w:t>a,b,c</w:t>
            </w:r>
          </w:p>
        </w:tc>
        <w:tc>
          <w:tcPr>
            <w:tcW w:w="1119" w:type="dxa"/>
          </w:tcPr>
          <w:p w14:paraId="58488D4E"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7261CF63" w14:textId="58865B76" w:rsidR="00B22E04" w:rsidRPr="00914003" w:rsidRDefault="00B22E04" w:rsidP="00B22E04">
            <w:pPr>
              <w:pStyle w:val="TableParagraph"/>
              <w:adjustRightInd w:val="0"/>
              <w:snapToGrid w:val="0"/>
              <w:rPr>
                <w:snapToGrid w:val="0"/>
                <w:sz w:val="20"/>
                <w:szCs w:val="20"/>
                <w:lang w:val="pt-PT"/>
              </w:rPr>
            </w:pPr>
            <w:r w:rsidRPr="00CA5E1C">
              <w:rPr>
                <w:snapToGrid w:val="0"/>
                <w:sz w:val="20"/>
                <w:szCs w:val="20"/>
                <w:lang w:val="pt-PT"/>
              </w:rPr>
              <w:t>Choque</w:t>
            </w:r>
            <w:r>
              <w:rPr>
                <w:snapToGrid w:val="0"/>
                <w:sz w:val="20"/>
                <w:szCs w:val="20"/>
                <w:lang w:val="pt-PT"/>
              </w:rPr>
              <w:t xml:space="preserve"> </w:t>
            </w:r>
            <w:r w:rsidRPr="00CA5E1C">
              <w:rPr>
                <w:snapToGrid w:val="0"/>
                <w:sz w:val="20"/>
                <w:szCs w:val="20"/>
                <w:lang w:val="pt-PT"/>
              </w:rPr>
              <w:t>anafilático</w:t>
            </w:r>
          </w:p>
        </w:tc>
        <w:tc>
          <w:tcPr>
            <w:tcW w:w="840" w:type="dxa"/>
          </w:tcPr>
          <w:p w14:paraId="2D5DF1F1"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06422468" w14:textId="4E19818E" w:rsidR="00B22E04" w:rsidRPr="00914003" w:rsidRDefault="00B22E04" w:rsidP="00B22E04">
            <w:pPr>
              <w:pStyle w:val="TableParagraph"/>
              <w:adjustRightInd w:val="0"/>
              <w:snapToGrid w:val="0"/>
              <w:rPr>
                <w:snapToGrid w:val="0"/>
                <w:sz w:val="20"/>
                <w:szCs w:val="20"/>
                <w:lang w:val="pt-PT"/>
              </w:rPr>
            </w:pPr>
          </w:p>
        </w:tc>
      </w:tr>
      <w:tr w:rsidR="00B22E04" w:rsidRPr="002606DB" w14:paraId="5CFBE816" w14:textId="77777777" w:rsidTr="00B22E04">
        <w:tc>
          <w:tcPr>
            <w:tcW w:w="1595" w:type="dxa"/>
          </w:tcPr>
          <w:p w14:paraId="3F319B9E"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Doenças do metabolismo e da nutrição</w:t>
            </w:r>
          </w:p>
        </w:tc>
        <w:tc>
          <w:tcPr>
            <w:tcW w:w="1538" w:type="dxa"/>
          </w:tcPr>
          <w:p w14:paraId="6D2BD82F"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46117078" w14:textId="2BFA28F4"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Desidratação</w:t>
            </w:r>
            <w:r>
              <w:rPr>
                <w:snapToGrid w:val="0"/>
                <w:sz w:val="20"/>
                <w:szCs w:val="20"/>
                <w:lang w:val="pt-PT"/>
              </w:rPr>
              <w:t>,</w:t>
            </w:r>
            <w:r w:rsidRPr="00914003">
              <w:rPr>
                <w:snapToGrid w:val="0"/>
                <w:sz w:val="20"/>
                <w:szCs w:val="20"/>
                <w:lang w:val="pt-PT"/>
              </w:rPr>
              <w:t xml:space="preserve"> </w:t>
            </w:r>
            <w:r>
              <w:rPr>
                <w:snapToGrid w:val="0"/>
                <w:sz w:val="20"/>
                <w:szCs w:val="20"/>
                <w:lang w:val="pt-PT"/>
              </w:rPr>
              <w:t>h</w:t>
            </w:r>
            <w:r w:rsidRPr="00914003">
              <w:rPr>
                <w:snapToGrid w:val="0"/>
                <w:sz w:val="20"/>
                <w:szCs w:val="20"/>
                <w:lang w:val="pt-PT"/>
              </w:rPr>
              <w:t>iponatremia</w:t>
            </w:r>
          </w:p>
        </w:tc>
        <w:tc>
          <w:tcPr>
            <w:tcW w:w="1119" w:type="dxa"/>
          </w:tcPr>
          <w:p w14:paraId="26148CED"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7D6F380F"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2EC6A118"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151EE31F" w14:textId="77777777" w:rsidR="00B22E04" w:rsidRPr="00914003" w:rsidRDefault="00B22E04" w:rsidP="00B22E04">
            <w:pPr>
              <w:pStyle w:val="TableParagraph"/>
              <w:adjustRightInd w:val="0"/>
              <w:snapToGrid w:val="0"/>
              <w:rPr>
                <w:snapToGrid w:val="0"/>
                <w:sz w:val="20"/>
                <w:szCs w:val="20"/>
                <w:lang w:val="pt-PT"/>
              </w:rPr>
            </w:pPr>
          </w:p>
        </w:tc>
      </w:tr>
      <w:tr w:rsidR="00B22E04" w:rsidRPr="002606DB" w14:paraId="3BE4F5C9" w14:textId="77777777" w:rsidTr="00B22E04">
        <w:tc>
          <w:tcPr>
            <w:tcW w:w="1595" w:type="dxa"/>
          </w:tcPr>
          <w:p w14:paraId="47038D4D" w14:textId="77777777" w:rsidR="00B22E04" w:rsidRPr="00914003" w:rsidRDefault="00B22E04" w:rsidP="00B22E04">
            <w:pPr>
              <w:pStyle w:val="TableParagraph"/>
              <w:keepNext/>
              <w:keepLines/>
              <w:widowControl/>
              <w:adjustRightInd w:val="0"/>
              <w:snapToGrid w:val="0"/>
              <w:rPr>
                <w:snapToGrid w:val="0"/>
                <w:sz w:val="20"/>
                <w:szCs w:val="20"/>
                <w:lang w:val="pt-PT"/>
              </w:rPr>
            </w:pPr>
            <w:r w:rsidRPr="00914003">
              <w:rPr>
                <w:snapToGrid w:val="0"/>
                <w:sz w:val="20"/>
                <w:szCs w:val="20"/>
                <w:lang w:val="pt-PT"/>
              </w:rPr>
              <w:t>Doenças do sistema nervoso</w:t>
            </w:r>
          </w:p>
        </w:tc>
        <w:tc>
          <w:tcPr>
            <w:tcW w:w="1538" w:type="dxa"/>
          </w:tcPr>
          <w:p w14:paraId="6E509FBB"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Neuropatia periférica sensorial</w:t>
            </w:r>
            <w:r w:rsidRPr="00914003">
              <w:rPr>
                <w:snapToGrid w:val="0"/>
                <w:sz w:val="20"/>
                <w:szCs w:val="20"/>
                <w:vertAlign w:val="superscript"/>
                <w:lang w:val="pt-PT"/>
              </w:rPr>
              <w:t>a</w:t>
            </w:r>
          </w:p>
        </w:tc>
        <w:tc>
          <w:tcPr>
            <w:tcW w:w="1677" w:type="dxa"/>
          </w:tcPr>
          <w:p w14:paraId="52CF5DFF" w14:textId="5774E4EC"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Acidente vascular cerebral, </w:t>
            </w:r>
            <w:r>
              <w:rPr>
                <w:snapToGrid w:val="0"/>
                <w:sz w:val="20"/>
                <w:szCs w:val="20"/>
                <w:lang w:val="pt-PT"/>
              </w:rPr>
              <w:t>s</w:t>
            </w:r>
            <w:r w:rsidRPr="00914003">
              <w:rPr>
                <w:snapToGrid w:val="0"/>
                <w:sz w:val="20"/>
                <w:szCs w:val="20"/>
                <w:lang w:val="pt-PT"/>
              </w:rPr>
              <w:t xml:space="preserve">íncope, </w:t>
            </w:r>
            <w:r>
              <w:rPr>
                <w:snapToGrid w:val="0"/>
                <w:sz w:val="20"/>
                <w:szCs w:val="20"/>
                <w:lang w:val="pt-PT"/>
              </w:rPr>
              <w:t>s</w:t>
            </w:r>
            <w:r w:rsidRPr="00914003">
              <w:rPr>
                <w:snapToGrid w:val="0"/>
                <w:sz w:val="20"/>
                <w:szCs w:val="20"/>
                <w:lang w:val="pt-PT"/>
              </w:rPr>
              <w:t xml:space="preserve">onolência, </w:t>
            </w:r>
            <w:r>
              <w:rPr>
                <w:snapToGrid w:val="0"/>
                <w:sz w:val="20"/>
                <w:szCs w:val="20"/>
                <w:lang w:val="pt-PT"/>
              </w:rPr>
              <w:t>c</w:t>
            </w:r>
            <w:r w:rsidRPr="00914003">
              <w:rPr>
                <w:snapToGrid w:val="0"/>
                <w:sz w:val="20"/>
                <w:szCs w:val="20"/>
                <w:lang w:val="pt-PT"/>
              </w:rPr>
              <w:t>efaleia</w:t>
            </w:r>
          </w:p>
        </w:tc>
        <w:tc>
          <w:tcPr>
            <w:tcW w:w="1119" w:type="dxa"/>
          </w:tcPr>
          <w:p w14:paraId="7855E370"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12033DCC"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21666333"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25013F45" w14:textId="3A7F03C8"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Síndrome de encefalopatia posterior reversível</w:t>
            </w:r>
            <w:r w:rsidRPr="00914003">
              <w:rPr>
                <w:snapToGrid w:val="0"/>
                <w:sz w:val="20"/>
                <w:szCs w:val="20"/>
                <w:vertAlign w:val="superscript"/>
                <w:lang w:val="pt-PT"/>
              </w:rPr>
              <w:t>a,b,c</w:t>
            </w:r>
            <w:r w:rsidRPr="00914003">
              <w:rPr>
                <w:snapToGrid w:val="0"/>
                <w:sz w:val="20"/>
                <w:szCs w:val="20"/>
                <w:lang w:val="pt-PT"/>
              </w:rPr>
              <w:t xml:space="preserve">, </w:t>
            </w:r>
            <w:r>
              <w:rPr>
                <w:snapToGrid w:val="0"/>
                <w:sz w:val="20"/>
                <w:szCs w:val="20"/>
                <w:lang w:val="pt-PT"/>
              </w:rPr>
              <w:t>e</w:t>
            </w:r>
            <w:r w:rsidRPr="00914003">
              <w:rPr>
                <w:snapToGrid w:val="0"/>
                <w:sz w:val="20"/>
                <w:szCs w:val="20"/>
                <w:lang w:val="pt-PT"/>
              </w:rPr>
              <w:t>ncefalopatia hipertensiva</w:t>
            </w:r>
            <w:r w:rsidRPr="00914003">
              <w:rPr>
                <w:snapToGrid w:val="0"/>
                <w:sz w:val="20"/>
                <w:szCs w:val="20"/>
                <w:vertAlign w:val="superscript"/>
                <w:lang w:val="pt-PT"/>
              </w:rPr>
              <w:t>c</w:t>
            </w:r>
          </w:p>
        </w:tc>
      </w:tr>
      <w:tr w:rsidR="00B22E04" w:rsidRPr="002606DB" w14:paraId="129BB5D8" w14:textId="77777777" w:rsidTr="00B22E04">
        <w:tc>
          <w:tcPr>
            <w:tcW w:w="1595" w:type="dxa"/>
          </w:tcPr>
          <w:p w14:paraId="59B5F0F1"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Cardiopatias</w:t>
            </w:r>
          </w:p>
        </w:tc>
        <w:tc>
          <w:tcPr>
            <w:tcW w:w="1538" w:type="dxa"/>
          </w:tcPr>
          <w:p w14:paraId="33E92DFC"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79C9B4C4" w14:textId="35C0E586"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Insuficiência cardíaca congestiva</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t</w:t>
            </w:r>
            <w:r w:rsidRPr="00914003">
              <w:rPr>
                <w:snapToGrid w:val="0"/>
                <w:sz w:val="20"/>
                <w:szCs w:val="20"/>
                <w:lang w:val="pt-PT"/>
              </w:rPr>
              <w:t>aquicardia supraventricular</w:t>
            </w:r>
          </w:p>
        </w:tc>
        <w:tc>
          <w:tcPr>
            <w:tcW w:w="1119" w:type="dxa"/>
          </w:tcPr>
          <w:p w14:paraId="4A28B265"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1650BBD0"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3241DC5A"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23AF2E9B" w14:textId="77777777" w:rsidR="00B22E04" w:rsidRPr="00914003" w:rsidRDefault="00B22E04" w:rsidP="00B22E04">
            <w:pPr>
              <w:pStyle w:val="TableParagraph"/>
              <w:adjustRightInd w:val="0"/>
              <w:snapToGrid w:val="0"/>
              <w:rPr>
                <w:snapToGrid w:val="0"/>
                <w:sz w:val="20"/>
                <w:szCs w:val="20"/>
                <w:lang w:val="pt-PT"/>
              </w:rPr>
            </w:pPr>
          </w:p>
        </w:tc>
      </w:tr>
      <w:tr w:rsidR="00B22E04" w:rsidRPr="008F0C27" w14:paraId="06D4A4B5" w14:textId="77777777" w:rsidTr="00B22E04">
        <w:tc>
          <w:tcPr>
            <w:tcW w:w="1595" w:type="dxa"/>
          </w:tcPr>
          <w:p w14:paraId="7A9BE885"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Vasculopatias</w:t>
            </w:r>
          </w:p>
        </w:tc>
        <w:tc>
          <w:tcPr>
            <w:tcW w:w="1538" w:type="dxa"/>
          </w:tcPr>
          <w:p w14:paraId="4A343A57"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Hipertensão</w:t>
            </w:r>
            <w:r w:rsidRPr="00914003">
              <w:rPr>
                <w:snapToGrid w:val="0"/>
                <w:sz w:val="20"/>
                <w:szCs w:val="20"/>
                <w:vertAlign w:val="superscript"/>
                <w:lang w:val="pt-PT"/>
              </w:rPr>
              <w:t>a,b</w:t>
            </w:r>
          </w:p>
        </w:tc>
        <w:tc>
          <w:tcPr>
            <w:tcW w:w="1677" w:type="dxa"/>
          </w:tcPr>
          <w:p w14:paraId="635B6477" w14:textId="18D871D4"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Tromboembolis mo arterial</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h</w:t>
            </w:r>
            <w:r w:rsidRPr="00914003">
              <w:rPr>
                <w:snapToGrid w:val="0"/>
                <w:sz w:val="20"/>
                <w:szCs w:val="20"/>
                <w:lang w:val="pt-PT"/>
              </w:rPr>
              <w:t>emorragia</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t</w:t>
            </w:r>
            <w:r w:rsidRPr="00914003">
              <w:rPr>
                <w:snapToGrid w:val="0"/>
                <w:sz w:val="20"/>
                <w:szCs w:val="20"/>
                <w:lang w:val="pt-PT"/>
              </w:rPr>
              <w:t>romboembolismo (venoso)</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t</w:t>
            </w:r>
            <w:r w:rsidRPr="00914003">
              <w:rPr>
                <w:snapToGrid w:val="0"/>
                <w:sz w:val="20"/>
                <w:szCs w:val="20"/>
                <w:lang w:val="pt-PT"/>
              </w:rPr>
              <w:t>rombose venosa profunda</w:t>
            </w:r>
          </w:p>
        </w:tc>
        <w:tc>
          <w:tcPr>
            <w:tcW w:w="1119" w:type="dxa"/>
          </w:tcPr>
          <w:p w14:paraId="442A0252"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1AA7DC82"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34C31D1A"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3C4038ED" w14:textId="31103D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Microangiopatia trombótica renal</w:t>
            </w:r>
            <w:r w:rsidRPr="00914003">
              <w:rPr>
                <w:snapToGrid w:val="0"/>
                <w:sz w:val="20"/>
                <w:szCs w:val="20"/>
                <w:vertAlign w:val="superscript"/>
                <w:lang w:val="pt-PT"/>
              </w:rPr>
              <w:t>b,c</w:t>
            </w:r>
            <w:r w:rsidRPr="00914003">
              <w:rPr>
                <w:snapToGrid w:val="0"/>
                <w:sz w:val="20"/>
                <w:szCs w:val="20"/>
                <w:lang w:val="pt-PT"/>
              </w:rPr>
              <w:t xml:space="preserve">, </w:t>
            </w:r>
            <w:r>
              <w:rPr>
                <w:snapToGrid w:val="0"/>
                <w:sz w:val="20"/>
                <w:szCs w:val="20"/>
                <w:lang w:val="pt-PT"/>
              </w:rPr>
              <w:t>a</w:t>
            </w:r>
            <w:r w:rsidRPr="00914003">
              <w:rPr>
                <w:snapToGrid w:val="0"/>
                <w:sz w:val="20"/>
                <w:szCs w:val="20"/>
                <w:lang w:val="pt-PT"/>
              </w:rPr>
              <w:t>neurismas e dissecções das artérias</w:t>
            </w:r>
          </w:p>
        </w:tc>
      </w:tr>
      <w:tr w:rsidR="00B22E04" w:rsidRPr="002606DB" w14:paraId="3C1E5F69" w14:textId="77777777" w:rsidTr="00B22E04">
        <w:tc>
          <w:tcPr>
            <w:tcW w:w="1595" w:type="dxa"/>
          </w:tcPr>
          <w:p w14:paraId="26BF679B"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Doenças respiratórias, torácicas e do mediastino</w:t>
            </w:r>
          </w:p>
        </w:tc>
        <w:tc>
          <w:tcPr>
            <w:tcW w:w="1538" w:type="dxa"/>
          </w:tcPr>
          <w:p w14:paraId="17F67376"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0AAEE8C5" w14:textId="4187F9E4"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Hemorragia pulmonar/ </w:t>
            </w:r>
            <w:r>
              <w:rPr>
                <w:snapToGrid w:val="0"/>
                <w:sz w:val="20"/>
                <w:szCs w:val="20"/>
                <w:lang w:val="pt-PT"/>
              </w:rPr>
              <w:t>h</w:t>
            </w:r>
            <w:r w:rsidRPr="00914003">
              <w:rPr>
                <w:snapToGrid w:val="0"/>
                <w:sz w:val="20"/>
                <w:szCs w:val="20"/>
                <w:lang w:val="pt-PT"/>
              </w:rPr>
              <w:t>emoptise</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e</w:t>
            </w:r>
            <w:r w:rsidRPr="00914003">
              <w:rPr>
                <w:snapToGrid w:val="0"/>
                <w:sz w:val="20"/>
                <w:szCs w:val="20"/>
                <w:lang w:val="pt-PT"/>
              </w:rPr>
              <w:t xml:space="preserve">mbolia pulmonar, </w:t>
            </w:r>
            <w:r>
              <w:rPr>
                <w:snapToGrid w:val="0"/>
                <w:sz w:val="20"/>
                <w:szCs w:val="20"/>
                <w:lang w:val="pt-PT"/>
              </w:rPr>
              <w:t>e</w:t>
            </w:r>
            <w:r w:rsidRPr="00914003">
              <w:rPr>
                <w:snapToGrid w:val="0"/>
                <w:sz w:val="20"/>
                <w:szCs w:val="20"/>
                <w:lang w:val="pt-PT"/>
              </w:rPr>
              <w:t xml:space="preserve">pistaxe, </w:t>
            </w:r>
            <w:r>
              <w:rPr>
                <w:snapToGrid w:val="0"/>
                <w:sz w:val="20"/>
                <w:szCs w:val="20"/>
                <w:lang w:val="pt-PT"/>
              </w:rPr>
              <w:t>d</w:t>
            </w:r>
            <w:r w:rsidRPr="00914003">
              <w:rPr>
                <w:snapToGrid w:val="0"/>
                <w:sz w:val="20"/>
                <w:szCs w:val="20"/>
                <w:lang w:val="pt-PT"/>
              </w:rPr>
              <w:t xml:space="preserve">ispneia, </w:t>
            </w:r>
            <w:r>
              <w:rPr>
                <w:snapToGrid w:val="0"/>
                <w:sz w:val="20"/>
                <w:szCs w:val="20"/>
                <w:lang w:val="pt-PT"/>
              </w:rPr>
              <w:t>h</w:t>
            </w:r>
            <w:r w:rsidRPr="00914003">
              <w:rPr>
                <w:snapToGrid w:val="0"/>
                <w:sz w:val="20"/>
                <w:szCs w:val="20"/>
                <w:lang w:val="pt-PT"/>
              </w:rPr>
              <w:t>ipoxia</w:t>
            </w:r>
          </w:p>
        </w:tc>
        <w:tc>
          <w:tcPr>
            <w:tcW w:w="1119" w:type="dxa"/>
          </w:tcPr>
          <w:p w14:paraId="732487B5"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5B772928"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0572CDDC"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20501ABC" w14:textId="188A7C98"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Hipertensão pulmonar</w:t>
            </w:r>
            <w:r w:rsidRPr="00914003">
              <w:rPr>
                <w:snapToGrid w:val="0"/>
                <w:sz w:val="20"/>
                <w:szCs w:val="20"/>
                <w:vertAlign w:val="superscript"/>
                <w:lang w:val="pt-PT"/>
              </w:rPr>
              <w:t>c</w:t>
            </w:r>
            <w:r w:rsidRPr="00914003">
              <w:rPr>
                <w:snapToGrid w:val="0"/>
                <w:sz w:val="20"/>
                <w:szCs w:val="20"/>
                <w:lang w:val="pt-PT"/>
              </w:rPr>
              <w:t xml:space="preserve">, </w:t>
            </w:r>
            <w:r>
              <w:rPr>
                <w:snapToGrid w:val="0"/>
                <w:sz w:val="20"/>
                <w:szCs w:val="20"/>
                <w:lang w:val="pt-PT"/>
              </w:rPr>
              <w:t>p</w:t>
            </w:r>
            <w:r w:rsidRPr="00914003">
              <w:rPr>
                <w:snapToGrid w:val="0"/>
                <w:sz w:val="20"/>
                <w:szCs w:val="20"/>
                <w:lang w:val="pt-PT"/>
              </w:rPr>
              <w:t>erfuração do septo nasal</w:t>
            </w:r>
            <w:r w:rsidRPr="00914003">
              <w:rPr>
                <w:snapToGrid w:val="0"/>
                <w:sz w:val="20"/>
                <w:szCs w:val="20"/>
                <w:vertAlign w:val="superscript"/>
                <w:lang w:val="pt-PT"/>
              </w:rPr>
              <w:t>c</w:t>
            </w:r>
          </w:p>
        </w:tc>
      </w:tr>
      <w:tr w:rsidR="00B22E04" w:rsidRPr="008F0C27" w14:paraId="7C1924FA" w14:textId="77777777" w:rsidTr="00B22E04">
        <w:tc>
          <w:tcPr>
            <w:tcW w:w="1595" w:type="dxa"/>
          </w:tcPr>
          <w:p w14:paraId="743F1310" w14:textId="13DA81C1"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Doenças gastrointestinais</w:t>
            </w:r>
          </w:p>
        </w:tc>
        <w:tc>
          <w:tcPr>
            <w:tcW w:w="1538" w:type="dxa"/>
          </w:tcPr>
          <w:p w14:paraId="32CB3770" w14:textId="6BB65DA9"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Diarreia, </w:t>
            </w:r>
            <w:r>
              <w:rPr>
                <w:snapToGrid w:val="0"/>
                <w:sz w:val="20"/>
                <w:szCs w:val="20"/>
                <w:lang w:val="pt-PT"/>
              </w:rPr>
              <w:t>n</w:t>
            </w:r>
            <w:r w:rsidRPr="00914003">
              <w:rPr>
                <w:snapToGrid w:val="0"/>
                <w:sz w:val="20"/>
                <w:szCs w:val="20"/>
                <w:lang w:val="pt-PT"/>
              </w:rPr>
              <w:t xml:space="preserve">áusea, </w:t>
            </w:r>
            <w:r>
              <w:rPr>
                <w:snapToGrid w:val="0"/>
                <w:sz w:val="20"/>
                <w:szCs w:val="20"/>
                <w:lang w:val="pt-PT"/>
              </w:rPr>
              <w:t>v</w:t>
            </w:r>
            <w:r w:rsidRPr="00914003">
              <w:rPr>
                <w:snapToGrid w:val="0"/>
                <w:sz w:val="20"/>
                <w:szCs w:val="20"/>
                <w:lang w:val="pt-PT"/>
              </w:rPr>
              <w:t xml:space="preserve">ómitos, </w:t>
            </w:r>
            <w:r>
              <w:rPr>
                <w:snapToGrid w:val="0"/>
                <w:sz w:val="20"/>
                <w:szCs w:val="20"/>
                <w:lang w:val="pt-PT"/>
              </w:rPr>
              <w:t>d</w:t>
            </w:r>
            <w:r w:rsidRPr="00914003">
              <w:rPr>
                <w:snapToGrid w:val="0"/>
                <w:sz w:val="20"/>
                <w:szCs w:val="20"/>
                <w:lang w:val="pt-PT"/>
              </w:rPr>
              <w:t xml:space="preserve">or </w:t>
            </w:r>
            <w:r>
              <w:rPr>
                <w:snapToGrid w:val="0"/>
                <w:sz w:val="20"/>
                <w:szCs w:val="20"/>
                <w:lang w:val="pt-PT"/>
              </w:rPr>
              <w:t>a</w:t>
            </w:r>
            <w:r w:rsidRPr="00914003">
              <w:rPr>
                <w:snapToGrid w:val="0"/>
                <w:sz w:val="20"/>
                <w:szCs w:val="20"/>
                <w:lang w:val="pt-PT"/>
              </w:rPr>
              <w:t>bdominal</w:t>
            </w:r>
          </w:p>
        </w:tc>
        <w:tc>
          <w:tcPr>
            <w:tcW w:w="1677" w:type="dxa"/>
          </w:tcPr>
          <w:p w14:paraId="0B090C2D" w14:textId="1E6F8F94"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Perfuração intestinal, </w:t>
            </w:r>
            <w:r w:rsidRPr="005B1405">
              <w:rPr>
                <w:rFonts w:hint="eastAsia"/>
                <w:snapToGrid w:val="0"/>
                <w:sz w:val="20"/>
                <w:szCs w:val="20"/>
                <w:lang w:val="pt-PT"/>
              </w:rPr>
              <w:t>í</w:t>
            </w:r>
            <w:r w:rsidRPr="005B1405">
              <w:rPr>
                <w:snapToGrid w:val="0"/>
                <w:sz w:val="20"/>
                <w:szCs w:val="20"/>
                <w:lang w:val="pt-PT"/>
              </w:rPr>
              <w:t>leo</w:t>
            </w:r>
            <w:r w:rsidRPr="00914003">
              <w:rPr>
                <w:snapToGrid w:val="0"/>
                <w:sz w:val="20"/>
                <w:szCs w:val="20"/>
                <w:lang w:val="pt-PT"/>
              </w:rPr>
              <w:t xml:space="preserve">, </w:t>
            </w:r>
            <w:r>
              <w:rPr>
                <w:snapToGrid w:val="0"/>
                <w:sz w:val="20"/>
                <w:szCs w:val="20"/>
                <w:lang w:val="pt-PT"/>
              </w:rPr>
              <w:t>o</w:t>
            </w:r>
            <w:r w:rsidRPr="00914003">
              <w:rPr>
                <w:snapToGrid w:val="0"/>
                <w:sz w:val="20"/>
                <w:szCs w:val="20"/>
                <w:lang w:val="pt-PT"/>
              </w:rPr>
              <w:t xml:space="preserve">bstrução intestinal, </w:t>
            </w:r>
            <w:r>
              <w:rPr>
                <w:snapToGrid w:val="0"/>
                <w:sz w:val="20"/>
                <w:szCs w:val="20"/>
                <w:lang w:val="pt-PT"/>
              </w:rPr>
              <w:t>f</w:t>
            </w:r>
            <w:r w:rsidRPr="00914003">
              <w:rPr>
                <w:snapToGrid w:val="0"/>
                <w:sz w:val="20"/>
                <w:szCs w:val="20"/>
                <w:lang w:val="pt-PT"/>
              </w:rPr>
              <w:t>ístula retovaginal</w:t>
            </w:r>
            <w:r w:rsidRPr="00914003">
              <w:rPr>
                <w:snapToGrid w:val="0"/>
                <w:sz w:val="20"/>
                <w:szCs w:val="20"/>
                <w:vertAlign w:val="superscript"/>
                <w:lang w:val="pt-PT"/>
              </w:rPr>
              <w:t>c,d</w:t>
            </w:r>
            <w:r w:rsidRPr="00914003">
              <w:rPr>
                <w:snapToGrid w:val="0"/>
                <w:sz w:val="20"/>
                <w:szCs w:val="20"/>
                <w:lang w:val="pt-PT"/>
              </w:rPr>
              <w:t xml:space="preserve">, </w:t>
            </w:r>
            <w:r>
              <w:rPr>
                <w:snapToGrid w:val="0"/>
                <w:sz w:val="20"/>
                <w:szCs w:val="20"/>
                <w:lang w:val="pt-PT"/>
              </w:rPr>
              <w:t>a</w:t>
            </w:r>
            <w:r w:rsidRPr="00914003">
              <w:rPr>
                <w:snapToGrid w:val="0"/>
                <w:sz w:val="20"/>
                <w:szCs w:val="20"/>
                <w:lang w:val="pt-PT"/>
              </w:rPr>
              <w:t xml:space="preserve">feção gastrointestinal, </w:t>
            </w:r>
            <w:r>
              <w:rPr>
                <w:snapToGrid w:val="0"/>
                <w:sz w:val="20"/>
                <w:szCs w:val="20"/>
                <w:lang w:val="pt-PT"/>
              </w:rPr>
              <w:t>e</w:t>
            </w:r>
            <w:r w:rsidRPr="00914003">
              <w:rPr>
                <w:snapToGrid w:val="0"/>
                <w:sz w:val="20"/>
                <w:szCs w:val="20"/>
                <w:lang w:val="pt-PT"/>
              </w:rPr>
              <w:t xml:space="preserve">stomatite, </w:t>
            </w:r>
            <w:r>
              <w:rPr>
                <w:snapToGrid w:val="0"/>
                <w:sz w:val="20"/>
                <w:szCs w:val="20"/>
                <w:lang w:val="pt-PT"/>
              </w:rPr>
              <w:t>p</w:t>
            </w:r>
            <w:r w:rsidRPr="00914003">
              <w:rPr>
                <w:snapToGrid w:val="0"/>
                <w:sz w:val="20"/>
                <w:szCs w:val="20"/>
                <w:lang w:val="pt-PT"/>
              </w:rPr>
              <w:t>roctalgia</w:t>
            </w:r>
          </w:p>
        </w:tc>
        <w:tc>
          <w:tcPr>
            <w:tcW w:w="1119" w:type="dxa"/>
          </w:tcPr>
          <w:p w14:paraId="7524D0E4"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206EC406"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5462E422"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70D6D0E7" w14:textId="16B9C70D"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Perfuração gastrointestina l</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ú</w:t>
            </w:r>
            <w:r w:rsidRPr="00914003">
              <w:rPr>
                <w:snapToGrid w:val="0"/>
                <w:sz w:val="20"/>
                <w:szCs w:val="20"/>
                <w:lang w:val="pt-PT"/>
              </w:rPr>
              <w:t>lcera gastrointestina l</w:t>
            </w:r>
            <w:r w:rsidRPr="00914003">
              <w:rPr>
                <w:snapToGrid w:val="0"/>
                <w:sz w:val="20"/>
                <w:szCs w:val="20"/>
                <w:vertAlign w:val="superscript"/>
                <w:lang w:val="pt-PT"/>
              </w:rPr>
              <w:t>c</w:t>
            </w:r>
            <w:r w:rsidRPr="00914003">
              <w:rPr>
                <w:snapToGrid w:val="0"/>
                <w:sz w:val="20"/>
                <w:szCs w:val="20"/>
                <w:lang w:val="pt-PT"/>
              </w:rPr>
              <w:t xml:space="preserve">, </w:t>
            </w:r>
            <w:r>
              <w:rPr>
                <w:snapToGrid w:val="0"/>
                <w:sz w:val="20"/>
                <w:szCs w:val="20"/>
                <w:lang w:val="pt-PT"/>
              </w:rPr>
              <w:t>h</w:t>
            </w:r>
            <w:r w:rsidRPr="00914003">
              <w:rPr>
                <w:snapToGrid w:val="0"/>
                <w:sz w:val="20"/>
                <w:szCs w:val="20"/>
                <w:lang w:val="pt-PT"/>
              </w:rPr>
              <w:t>emorragia retal</w:t>
            </w:r>
          </w:p>
        </w:tc>
      </w:tr>
      <w:tr w:rsidR="00B22E04" w:rsidRPr="002606DB" w14:paraId="57AFF678" w14:textId="77777777" w:rsidTr="00B22E04">
        <w:tc>
          <w:tcPr>
            <w:tcW w:w="1595" w:type="dxa"/>
          </w:tcPr>
          <w:p w14:paraId="6BAC7CC9"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Afeções hepatobiliares</w:t>
            </w:r>
          </w:p>
        </w:tc>
        <w:tc>
          <w:tcPr>
            <w:tcW w:w="1538" w:type="dxa"/>
          </w:tcPr>
          <w:p w14:paraId="533C0F7F"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422B6B4E" w14:textId="77777777" w:rsidR="00B22E04" w:rsidRPr="00914003" w:rsidRDefault="00B22E04" w:rsidP="00B22E04">
            <w:pPr>
              <w:pStyle w:val="TableParagraph"/>
              <w:adjustRightInd w:val="0"/>
              <w:snapToGrid w:val="0"/>
              <w:rPr>
                <w:snapToGrid w:val="0"/>
                <w:sz w:val="20"/>
                <w:szCs w:val="20"/>
                <w:lang w:val="pt-PT"/>
              </w:rPr>
            </w:pPr>
          </w:p>
        </w:tc>
        <w:tc>
          <w:tcPr>
            <w:tcW w:w="1119" w:type="dxa"/>
          </w:tcPr>
          <w:p w14:paraId="16C065F5"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6E141A94"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144C90E9"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74DCDA4F" w14:textId="6F486011"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Perfuração da vesícula biliar</w:t>
            </w:r>
            <w:r w:rsidRPr="00914003">
              <w:rPr>
                <w:snapToGrid w:val="0"/>
                <w:sz w:val="20"/>
                <w:szCs w:val="20"/>
                <w:vertAlign w:val="superscript"/>
                <w:lang w:val="pt-PT"/>
              </w:rPr>
              <w:t>b,c</w:t>
            </w:r>
          </w:p>
        </w:tc>
      </w:tr>
      <w:tr w:rsidR="00B22E04" w:rsidRPr="008F0C27" w14:paraId="0C94771B" w14:textId="77777777" w:rsidTr="00B22E04">
        <w:tc>
          <w:tcPr>
            <w:tcW w:w="1595" w:type="dxa"/>
          </w:tcPr>
          <w:p w14:paraId="148F377B"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Afeções dos tecidos cutâneos e subcutâneos</w:t>
            </w:r>
          </w:p>
        </w:tc>
        <w:tc>
          <w:tcPr>
            <w:tcW w:w="1538" w:type="dxa"/>
          </w:tcPr>
          <w:p w14:paraId="55503403"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67BDDFB7" w14:textId="438BF163"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Complicações na cicatrização de feridas</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s</w:t>
            </w:r>
            <w:r w:rsidRPr="00914003">
              <w:rPr>
                <w:snapToGrid w:val="0"/>
                <w:sz w:val="20"/>
                <w:szCs w:val="20"/>
                <w:lang w:val="pt-PT"/>
              </w:rPr>
              <w:t>índrome de eritrodisestesia palmoplantar</w:t>
            </w:r>
          </w:p>
        </w:tc>
        <w:tc>
          <w:tcPr>
            <w:tcW w:w="1119" w:type="dxa"/>
          </w:tcPr>
          <w:p w14:paraId="7A3C633E"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79B83F2D"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2C5C92B7"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76754993" w14:textId="77777777" w:rsidR="00B22E04" w:rsidRPr="00914003" w:rsidRDefault="00B22E04" w:rsidP="00B22E04">
            <w:pPr>
              <w:pStyle w:val="TableParagraph"/>
              <w:adjustRightInd w:val="0"/>
              <w:snapToGrid w:val="0"/>
              <w:rPr>
                <w:snapToGrid w:val="0"/>
                <w:sz w:val="20"/>
                <w:szCs w:val="20"/>
                <w:lang w:val="pt-PT"/>
              </w:rPr>
            </w:pPr>
          </w:p>
        </w:tc>
      </w:tr>
      <w:tr w:rsidR="00B22E04" w:rsidRPr="002606DB" w14:paraId="54A1C7EA" w14:textId="77777777" w:rsidTr="00B22E04">
        <w:tc>
          <w:tcPr>
            <w:tcW w:w="1595" w:type="dxa"/>
          </w:tcPr>
          <w:p w14:paraId="36A9ED19"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Afeções musculoesquel </w:t>
            </w:r>
            <w:r w:rsidRPr="00914003">
              <w:rPr>
                <w:snapToGrid w:val="0"/>
                <w:sz w:val="20"/>
                <w:szCs w:val="20"/>
                <w:lang w:val="pt-PT"/>
              </w:rPr>
              <w:lastRenderedPageBreak/>
              <w:t>éticas e dos tecidos conjuntivos</w:t>
            </w:r>
          </w:p>
        </w:tc>
        <w:tc>
          <w:tcPr>
            <w:tcW w:w="1538" w:type="dxa"/>
          </w:tcPr>
          <w:p w14:paraId="2FF9AAF4"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24BC0357" w14:textId="75B5C400"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Fístula</w:t>
            </w:r>
            <w:r w:rsidRPr="00914003">
              <w:rPr>
                <w:snapToGrid w:val="0"/>
                <w:sz w:val="20"/>
                <w:szCs w:val="20"/>
                <w:vertAlign w:val="superscript"/>
                <w:lang w:val="pt-PT"/>
              </w:rPr>
              <w:t>a,b</w:t>
            </w:r>
            <w:r w:rsidRPr="00914003">
              <w:rPr>
                <w:snapToGrid w:val="0"/>
                <w:sz w:val="20"/>
                <w:szCs w:val="20"/>
                <w:lang w:val="pt-PT"/>
              </w:rPr>
              <w:t xml:space="preserve">, </w:t>
            </w:r>
            <w:r>
              <w:rPr>
                <w:snapToGrid w:val="0"/>
                <w:sz w:val="20"/>
                <w:szCs w:val="20"/>
                <w:lang w:val="pt-PT"/>
              </w:rPr>
              <w:t>m</w:t>
            </w:r>
            <w:r w:rsidRPr="00914003">
              <w:rPr>
                <w:snapToGrid w:val="0"/>
                <w:sz w:val="20"/>
                <w:szCs w:val="20"/>
                <w:lang w:val="pt-PT"/>
              </w:rPr>
              <w:t xml:space="preserve">ialgia, </w:t>
            </w:r>
            <w:r>
              <w:rPr>
                <w:snapToGrid w:val="0"/>
                <w:sz w:val="20"/>
                <w:szCs w:val="20"/>
                <w:lang w:val="pt-PT"/>
              </w:rPr>
              <w:t>a</w:t>
            </w:r>
            <w:r w:rsidRPr="00914003">
              <w:rPr>
                <w:snapToGrid w:val="0"/>
                <w:sz w:val="20"/>
                <w:szCs w:val="20"/>
                <w:lang w:val="pt-PT"/>
              </w:rPr>
              <w:t xml:space="preserve">rtralgia, </w:t>
            </w:r>
            <w:r>
              <w:rPr>
                <w:snapToGrid w:val="0"/>
                <w:sz w:val="20"/>
                <w:szCs w:val="20"/>
                <w:lang w:val="pt-PT"/>
              </w:rPr>
              <w:t>f</w:t>
            </w:r>
            <w:r w:rsidRPr="00914003">
              <w:rPr>
                <w:snapToGrid w:val="0"/>
                <w:sz w:val="20"/>
                <w:szCs w:val="20"/>
                <w:lang w:val="pt-PT"/>
              </w:rPr>
              <w:t xml:space="preserve">raqueza </w:t>
            </w:r>
            <w:r w:rsidRPr="00914003">
              <w:rPr>
                <w:snapToGrid w:val="0"/>
                <w:sz w:val="20"/>
                <w:szCs w:val="20"/>
                <w:lang w:val="pt-PT"/>
              </w:rPr>
              <w:lastRenderedPageBreak/>
              <w:t xml:space="preserve">muscular, </w:t>
            </w:r>
            <w:r>
              <w:rPr>
                <w:snapToGrid w:val="0"/>
                <w:sz w:val="20"/>
                <w:szCs w:val="20"/>
                <w:lang w:val="pt-PT"/>
              </w:rPr>
              <w:t>d</w:t>
            </w:r>
            <w:r w:rsidRPr="00914003">
              <w:rPr>
                <w:snapToGrid w:val="0"/>
                <w:sz w:val="20"/>
                <w:szCs w:val="20"/>
                <w:lang w:val="pt-PT"/>
              </w:rPr>
              <w:t>orsalgia</w:t>
            </w:r>
          </w:p>
        </w:tc>
        <w:tc>
          <w:tcPr>
            <w:tcW w:w="1119" w:type="dxa"/>
          </w:tcPr>
          <w:p w14:paraId="5BD8F25A"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2CD6470E"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3370AE31"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04D759EF"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Osteonecrose da mandíbula</w:t>
            </w:r>
            <w:r w:rsidRPr="00914003">
              <w:rPr>
                <w:snapToGrid w:val="0"/>
                <w:sz w:val="20"/>
                <w:szCs w:val="20"/>
                <w:vertAlign w:val="superscript"/>
                <w:lang w:val="pt-PT"/>
              </w:rPr>
              <w:t>b,c</w:t>
            </w:r>
          </w:p>
        </w:tc>
      </w:tr>
      <w:tr w:rsidR="00B22E04" w:rsidRPr="002606DB" w14:paraId="1008D8FB" w14:textId="77777777" w:rsidTr="00B22E04">
        <w:tc>
          <w:tcPr>
            <w:tcW w:w="1595" w:type="dxa"/>
          </w:tcPr>
          <w:p w14:paraId="77F90CB2" w14:textId="6E27E2DD"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Doenças renais e urinárias</w:t>
            </w:r>
          </w:p>
        </w:tc>
        <w:tc>
          <w:tcPr>
            <w:tcW w:w="1538" w:type="dxa"/>
          </w:tcPr>
          <w:p w14:paraId="2868F310"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5D4183F4"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Proteinúria</w:t>
            </w:r>
            <w:r w:rsidRPr="00914003">
              <w:rPr>
                <w:snapToGrid w:val="0"/>
                <w:sz w:val="20"/>
                <w:szCs w:val="20"/>
                <w:vertAlign w:val="superscript"/>
                <w:lang w:val="pt-PT"/>
              </w:rPr>
              <w:t>a,b</w:t>
            </w:r>
          </w:p>
        </w:tc>
        <w:tc>
          <w:tcPr>
            <w:tcW w:w="1119" w:type="dxa"/>
          </w:tcPr>
          <w:p w14:paraId="35700AFF"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2662ACEF"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32910D90"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01C224C2" w14:textId="77777777" w:rsidR="00B22E04" w:rsidRPr="00914003" w:rsidRDefault="00B22E04" w:rsidP="00B22E04">
            <w:pPr>
              <w:pStyle w:val="TableParagraph"/>
              <w:adjustRightInd w:val="0"/>
              <w:snapToGrid w:val="0"/>
              <w:rPr>
                <w:snapToGrid w:val="0"/>
                <w:sz w:val="20"/>
                <w:szCs w:val="20"/>
                <w:lang w:val="pt-PT"/>
              </w:rPr>
            </w:pPr>
          </w:p>
        </w:tc>
      </w:tr>
      <w:tr w:rsidR="00B22E04" w:rsidRPr="002606DB" w14:paraId="24997566" w14:textId="77777777" w:rsidTr="00B22E04">
        <w:tc>
          <w:tcPr>
            <w:tcW w:w="1595" w:type="dxa"/>
          </w:tcPr>
          <w:p w14:paraId="3D2987E0" w14:textId="6020097F"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Doenças dos órgãos genitais e da mama</w:t>
            </w:r>
          </w:p>
        </w:tc>
        <w:tc>
          <w:tcPr>
            <w:tcW w:w="1538" w:type="dxa"/>
          </w:tcPr>
          <w:p w14:paraId="7D4E8306"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4805778A"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Dor pélvica</w:t>
            </w:r>
          </w:p>
        </w:tc>
        <w:tc>
          <w:tcPr>
            <w:tcW w:w="1119" w:type="dxa"/>
          </w:tcPr>
          <w:p w14:paraId="14C7B470"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4C61F538"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65093896"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2DCCCB21"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Insuficiência ovárica</w:t>
            </w:r>
            <w:r w:rsidRPr="00914003">
              <w:rPr>
                <w:snapToGrid w:val="0"/>
                <w:sz w:val="20"/>
                <w:szCs w:val="20"/>
                <w:vertAlign w:val="superscript"/>
                <w:lang w:val="pt-PT"/>
              </w:rPr>
              <w:t>a,b</w:t>
            </w:r>
          </w:p>
        </w:tc>
      </w:tr>
      <w:tr w:rsidR="00B22E04" w:rsidRPr="002606DB" w14:paraId="44EAE850" w14:textId="77777777" w:rsidTr="00B22E04">
        <w:tc>
          <w:tcPr>
            <w:tcW w:w="1595" w:type="dxa"/>
          </w:tcPr>
          <w:p w14:paraId="2E399DAD"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Afeções congénitas, familiares e genéticas</w:t>
            </w:r>
          </w:p>
        </w:tc>
        <w:tc>
          <w:tcPr>
            <w:tcW w:w="1538" w:type="dxa"/>
          </w:tcPr>
          <w:p w14:paraId="7362C498" w14:textId="77777777" w:rsidR="00B22E04" w:rsidRPr="00914003" w:rsidRDefault="00B22E04" w:rsidP="00B22E04">
            <w:pPr>
              <w:pStyle w:val="TableParagraph"/>
              <w:adjustRightInd w:val="0"/>
              <w:snapToGrid w:val="0"/>
              <w:rPr>
                <w:snapToGrid w:val="0"/>
                <w:sz w:val="20"/>
                <w:szCs w:val="20"/>
                <w:lang w:val="pt-PT"/>
              </w:rPr>
            </w:pPr>
          </w:p>
        </w:tc>
        <w:tc>
          <w:tcPr>
            <w:tcW w:w="1677" w:type="dxa"/>
          </w:tcPr>
          <w:p w14:paraId="2F1CF7C0" w14:textId="77777777" w:rsidR="00B22E04" w:rsidRPr="00914003" w:rsidRDefault="00B22E04" w:rsidP="00B22E04">
            <w:pPr>
              <w:pStyle w:val="TableParagraph"/>
              <w:adjustRightInd w:val="0"/>
              <w:snapToGrid w:val="0"/>
              <w:rPr>
                <w:snapToGrid w:val="0"/>
                <w:sz w:val="20"/>
                <w:szCs w:val="20"/>
                <w:lang w:val="pt-PT"/>
              </w:rPr>
            </w:pPr>
          </w:p>
        </w:tc>
        <w:tc>
          <w:tcPr>
            <w:tcW w:w="1119" w:type="dxa"/>
          </w:tcPr>
          <w:p w14:paraId="05595666"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4F542BC5"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6B1FFE8E"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45756D32"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Anomalias fetais</w:t>
            </w:r>
            <w:r w:rsidRPr="00914003">
              <w:rPr>
                <w:snapToGrid w:val="0"/>
                <w:sz w:val="20"/>
                <w:szCs w:val="20"/>
                <w:vertAlign w:val="superscript"/>
                <w:lang w:val="pt-PT"/>
              </w:rPr>
              <w:t>a,c</w:t>
            </w:r>
          </w:p>
        </w:tc>
      </w:tr>
      <w:tr w:rsidR="00B22E04" w:rsidRPr="002606DB" w14:paraId="2591B1F7" w14:textId="77777777" w:rsidTr="00B22E04">
        <w:tc>
          <w:tcPr>
            <w:tcW w:w="1595" w:type="dxa"/>
          </w:tcPr>
          <w:p w14:paraId="02DF140A" w14:textId="77777777"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Perturbações gerais e alterações no local de administração</w:t>
            </w:r>
          </w:p>
        </w:tc>
        <w:tc>
          <w:tcPr>
            <w:tcW w:w="1538" w:type="dxa"/>
          </w:tcPr>
          <w:p w14:paraId="43108858" w14:textId="592D3BC5"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Astenia, </w:t>
            </w:r>
            <w:r>
              <w:rPr>
                <w:snapToGrid w:val="0"/>
                <w:sz w:val="20"/>
                <w:szCs w:val="20"/>
                <w:lang w:val="pt-PT"/>
              </w:rPr>
              <w:t>f</w:t>
            </w:r>
            <w:r w:rsidRPr="00914003">
              <w:rPr>
                <w:snapToGrid w:val="0"/>
                <w:sz w:val="20"/>
                <w:szCs w:val="20"/>
                <w:lang w:val="pt-PT"/>
              </w:rPr>
              <w:t>adiga</w:t>
            </w:r>
          </w:p>
        </w:tc>
        <w:tc>
          <w:tcPr>
            <w:tcW w:w="1677" w:type="dxa"/>
          </w:tcPr>
          <w:p w14:paraId="22D8F7B7" w14:textId="3270B4A9" w:rsidR="00B22E04" w:rsidRPr="00914003" w:rsidRDefault="00B22E04" w:rsidP="00B22E04">
            <w:pPr>
              <w:pStyle w:val="TableParagraph"/>
              <w:adjustRightInd w:val="0"/>
              <w:snapToGrid w:val="0"/>
              <w:rPr>
                <w:snapToGrid w:val="0"/>
                <w:sz w:val="20"/>
                <w:szCs w:val="20"/>
                <w:lang w:val="pt-PT"/>
              </w:rPr>
            </w:pPr>
            <w:r w:rsidRPr="00914003">
              <w:rPr>
                <w:snapToGrid w:val="0"/>
                <w:sz w:val="20"/>
                <w:szCs w:val="20"/>
                <w:lang w:val="pt-PT"/>
              </w:rPr>
              <w:t xml:space="preserve">Dor, </w:t>
            </w:r>
            <w:r>
              <w:rPr>
                <w:snapToGrid w:val="0"/>
                <w:sz w:val="20"/>
                <w:szCs w:val="20"/>
                <w:lang w:val="pt-PT"/>
              </w:rPr>
              <w:t>l</w:t>
            </w:r>
            <w:r w:rsidRPr="00914003">
              <w:rPr>
                <w:snapToGrid w:val="0"/>
                <w:sz w:val="20"/>
                <w:szCs w:val="20"/>
                <w:lang w:val="pt-PT"/>
              </w:rPr>
              <w:t xml:space="preserve">etargia, </w:t>
            </w:r>
            <w:r>
              <w:rPr>
                <w:snapToGrid w:val="0"/>
                <w:sz w:val="20"/>
                <w:szCs w:val="20"/>
                <w:lang w:val="pt-PT"/>
              </w:rPr>
              <w:t>i</w:t>
            </w:r>
            <w:r w:rsidRPr="00914003">
              <w:rPr>
                <w:snapToGrid w:val="0"/>
                <w:sz w:val="20"/>
                <w:szCs w:val="20"/>
                <w:lang w:val="pt-PT"/>
              </w:rPr>
              <w:t>nflamação da mucosa</w:t>
            </w:r>
          </w:p>
        </w:tc>
        <w:tc>
          <w:tcPr>
            <w:tcW w:w="1119" w:type="dxa"/>
          </w:tcPr>
          <w:p w14:paraId="78A3F63A" w14:textId="77777777" w:rsidR="00B22E04" w:rsidRPr="00914003" w:rsidRDefault="00B22E04" w:rsidP="00B22E04">
            <w:pPr>
              <w:pStyle w:val="TableParagraph"/>
              <w:adjustRightInd w:val="0"/>
              <w:snapToGrid w:val="0"/>
              <w:rPr>
                <w:snapToGrid w:val="0"/>
                <w:sz w:val="20"/>
                <w:szCs w:val="20"/>
                <w:lang w:val="pt-PT"/>
              </w:rPr>
            </w:pPr>
          </w:p>
        </w:tc>
        <w:tc>
          <w:tcPr>
            <w:tcW w:w="839" w:type="dxa"/>
          </w:tcPr>
          <w:p w14:paraId="452A0B9A" w14:textId="77777777" w:rsidR="00B22E04" w:rsidRPr="00914003" w:rsidRDefault="00B22E04" w:rsidP="00B22E04">
            <w:pPr>
              <w:pStyle w:val="TableParagraph"/>
              <w:adjustRightInd w:val="0"/>
              <w:snapToGrid w:val="0"/>
              <w:rPr>
                <w:snapToGrid w:val="0"/>
                <w:sz w:val="20"/>
                <w:szCs w:val="20"/>
                <w:lang w:val="pt-PT"/>
              </w:rPr>
            </w:pPr>
          </w:p>
        </w:tc>
        <w:tc>
          <w:tcPr>
            <w:tcW w:w="840" w:type="dxa"/>
          </w:tcPr>
          <w:p w14:paraId="790BE896" w14:textId="77777777" w:rsidR="00B22E04" w:rsidRPr="00914003" w:rsidRDefault="00B22E04" w:rsidP="00B22E04">
            <w:pPr>
              <w:pStyle w:val="TableParagraph"/>
              <w:adjustRightInd w:val="0"/>
              <w:snapToGrid w:val="0"/>
              <w:rPr>
                <w:snapToGrid w:val="0"/>
                <w:sz w:val="20"/>
                <w:szCs w:val="20"/>
                <w:lang w:val="pt-PT"/>
              </w:rPr>
            </w:pPr>
          </w:p>
        </w:tc>
        <w:tc>
          <w:tcPr>
            <w:tcW w:w="1458" w:type="dxa"/>
          </w:tcPr>
          <w:p w14:paraId="58E6B3EF" w14:textId="77777777" w:rsidR="00B22E04" w:rsidRPr="00914003" w:rsidRDefault="00B22E04" w:rsidP="00B22E04">
            <w:pPr>
              <w:pStyle w:val="TableParagraph"/>
              <w:adjustRightInd w:val="0"/>
              <w:snapToGrid w:val="0"/>
              <w:rPr>
                <w:snapToGrid w:val="0"/>
                <w:sz w:val="20"/>
                <w:szCs w:val="20"/>
                <w:lang w:val="pt-PT"/>
              </w:rPr>
            </w:pPr>
          </w:p>
        </w:tc>
      </w:tr>
    </w:tbl>
    <w:p w14:paraId="616517E9" w14:textId="77777777" w:rsidR="00162CE2" w:rsidRPr="002606DB" w:rsidRDefault="00162CE2" w:rsidP="00056F35">
      <w:pPr>
        <w:adjustRightInd w:val="0"/>
        <w:snapToGrid w:val="0"/>
        <w:rPr>
          <w:snapToGrid w:val="0"/>
          <w:sz w:val="18"/>
          <w:szCs w:val="18"/>
          <w:lang w:val="pt-PT"/>
        </w:rPr>
      </w:pPr>
    </w:p>
    <w:p w14:paraId="7E5334E9" w14:textId="4BA50132" w:rsidR="00162CE2" w:rsidRPr="002606DB" w:rsidRDefault="00162CE2" w:rsidP="00056F35">
      <w:pPr>
        <w:adjustRightInd w:val="0"/>
        <w:snapToGrid w:val="0"/>
        <w:rPr>
          <w:snapToGrid w:val="0"/>
          <w:sz w:val="18"/>
          <w:szCs w:val="18"/>
          <w:lang w:val="pt-PT"/>
        </w:rPr>
      </w:pPr>
      <w:r w:rsidRPr="002606DB">
        <w:rPr>
          <w:snapToGrid w:val="0"/>
          <w:sz w:val="18"/>
          <w:szCs w:val="18"/>
          <w:lang w:val="pt-PT"/>
        </w:rPr>
        <w:t>A Tabela 2 apresenta a frequência das reações adversas graves. As reações graves são definidas como acontecimentos adversos em estudos clínicos com uma diferença de</w:t>
      </w:r>
      <w:r w:rsidR="003B781A">
        <w:rPr>
          <w:snapToGrid w:val="0"/>
          <w:sz w:val="18"/>
          <w:szCs w:val="18"/>
          <w:lang w:val="pt-PT"/>
        </w:rPr>
        <w:t>,</w:t>
      </w:r>
      <w:r w:rsidRPr="002606DB">
        <w:rPr>
          <w:snapToGrid w:val="0"/>
          <w:sz w:val="18"/>
          <w:szCs w:val="18"/>
          <w:lang w:val="pt-PT"/>
        </w:rPr>
        <w:t xml:space="preserve"> pelo menos</w:t>
      </w:r>
      <w:r w:rsidR="003B781A">
        <w:rPr>
          <w:snapToGrid w:val="0"/>
          <w:sz w:val="18"/>
          <w:szCs w:val="18"/>
          <w:lang w:val="pt-PT"/>
        </w:rPr>
        <w:t>,</w:t>
      </w:r>
      <w:r w:rsidRPr="002606DB">
        <w:rPr>
          <w:snapToGrid w:val="0"/>
          <w:sz w:val="18"/>
          <w:szCs w:val="18"/>
          <w:lang w:val="pt-PT"/>
        </w:rPr>
        <w:t xml:space="preserve"> 2% para reações de Grau 3-5 do NCI</w:t>
      </w:r>
      <w:r w:rsidR="005B3AE6" w:rsidRPr="002606DB">
        <w:rPr>
          <w:snapToGrid w:val="0"/>
          <w:sz w:val="18"/>
          <w:szCs w:val="18"/>
          <w:lang w:val="pt-PT"/>
        </w:rPr>
        <w:noBreakHyphen/>
      </w:r>
      <w:r w:rsidRPr="002606DB">
        <w:rPr>
          <w:snapToGrid w:val="0"/>
          <w:sz w:val="18"/>
          <w:szCs w:val="18"/>
          <w:lang w:val="pt-PT"/>
        </w:rPr>
        <w:t xml:space="preserve">CTCAE em comparação com o </w:t>
      </w:r>
      <w:r w:rsidR="00B72472">
        <w:rPr>
          <w:snapToGrid w:val="0"/>
          <w:sz w:val="18"/>
          <w:szCs w:val="18"/>
          <w:lang w:val="pt-PT"/>
        </w:rPr>
        <w:t>grupo</w:t>
      </w:r>
      <w:r w:rsidRPr="002606DB">
        <w:rPr>
          <w:snapToGrid w:val="0"/>
          <w:sz w:val="18"/>
          <w:szCs w:val="18"/>
          <w:lang w:val="pt-PT"/>
        </w:rPr>
        <w:t xml:space="preserve"> de controlo. A Tabela 2 também inclui reações adversas que são consideradas pelo titular de AIM como sendo clinicamente significativas ou graves. Estas reações adversas clinicamente significativas foram notificadas em ensaios clínicos</w:t>
      </w:r>
      <w:r w:rsidR="003748C1" w:rsidRPr="007155C0">
        <w:rPr>
          <w:sz w:val="20"/>
          <w:lang w:val="fr-CA"/>
        </w:rPr>
        <w:t>,</w:t>
      </w:r>
      <w:r w:rsidRPr="002606DB">
        <w:rPr>
          <w:snapToGrid w:val="0"/>
          <w:sz w:val="18"/>
          <w:szCs w:val="18"/>
          <w:lang w:val="pt-PT"/>
        </w:rPr>
        <w:t xml:space="preserve"> mas as reações de Grau 3-5 não alcançaram uma diferença limite de pelo menos 2% comparadas com o </w:t>
      </w:r>
      <w:r w:rsidR="00E05148">
        <w:rPr>
          <w:snapToGrid w:val="0"/>
          <w:sz w:val="18"/>
          <w:szCs w:val="18"/>
          <w:lang w:val="pt-PT"/>
        </w:rPr>
        <w:t>grupo</w:t>
      </w:r>
      <w:r w:rsidR="00E05148" w:rsidRPr="002606DB">
        <w:rPr>
          <w:snapToGrid w:val="0"/>
          <w:sz w:val="18"/>
          <w:szCs w:val="18"/>
          <w:lang w:val="pt-PT"/>
        </w:rPr>
        <w:t xml:space="preserve"> </w:t>
      </w:r>
      <w:r w:rsidRPr="002606DB">
        <w:rPr>
          <w:snapToGrid w:val="0"/>
          <w:sz w:val="18"/>
          <w:szCs w:val="18"/>
          <w:lang w:val="pt-PT"/>
        </w:rPr>
        <w:t>de controlo. A Tabela 2 também inclui reações adversas clinicamente significativas que foram apenas observadas no contexto pós-comercialização, portanto, a frequência e o Grau NCI</w:t>
      </w:r>
      <w:r w:rsidR="005B3AE6" w:rsidRPr="002606DB">
        <w:rPr>
          <w:snapToGrid w:val="0"/>
          <w:sz w:val="18"/>
          <w:szCs w:val="18"/>
          <w:lang w:val="pt-PT"/>
        </w:rPr>
        <w:noBreakHyphen/>
      </w:r>
      <w:r w:rsidRPr="002606DB">
        <w:rPr>
          <w:snapToGrid w:val="0"/>
          <w:sz w:val="18"/>
          <w:szCs w:val="18"/>
          <w:lang w:val="pt-PT"/>
        </w:rPr>
        <w:t>CTCAE é desconhecido. Estas reações clinicamente significativas foram, por isso, incluídas na Tabela 2, na coluna designada “Frequência desconhecida”.</w:t>
      </w:r>
    </w:p>
    <w:p w14:paraId="5921C4BB"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Os termos representam um grupo de acontecimentos que descrevem um conceito médico em vez de uma condição única ou o termo preferido do MedDRA (Dicionário Médico para Atividades Regulamentares). Este grupo de termos médicos pode envolver a mesma fisiopatologia subjacente (p. ex. reações tromboembólicas arteriais incluem acidente vascular cerebral, enfarte do miocárdio, acidente isquémico transitório e outras reações tromboembólicas arteriais).</w:t>
      </w:r>
    </w:p>
    <w:p w14:paraId="7F851DF6" w14:textId="138B50EA"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b</w:t>
      </w:r>
      <w:r w:rsidRPr="002606DB">
        <w:rPr>
          <w:snapToGrid w:val="0"/>
          <w:sz w:val="18"/>
          <w:szCs w:val="18"/>
          <w:lang w:val="pt-PT"/>
        </w:rPr>
        <w:t xml:space="preserve"> Para informação adicional</w:t>
      </w:r>
      <w:r w:rsidR="003748C1" w:rsidRPr="007155C0">
        <w:rPr>
          <w:sz w:val="20"/>
          <w:lang w:val="pt-PT"/>
        </w:rPr>
        <w:t>,</w:t>
      </w:r>
      <w:r w:rsidRPr="002606DB">
        <w:rPr>
          <w:snapToGrid w:val="0"/>
          <w:sz w:val="18"/>
          <w:szCs w:val="18"/>
          <w:lang w:val="pt-PT"/>
        </w:rPr>
        <w:t xml:space="preserve"> consultar abaixo a secção “Informações adicionais sobre determinadas reações adversas graves”.</w:t>
      </w:r>
    </w:p>
    <w:p w14:paraId="30DB5304" w14:textId="58C94D7A"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c</w:t>
      </w:r>
      <w:r w:rsidRPr="002606DB">
        <w:rPr>
          <w:snapToGrid w:val="0"/>
          <w:sz w:val="18"/>
          <w:szCs w:val="18"/>
          <w:lang w:val="pt-PT"/>
        </w:rPr>
        <w:t xml:space="preserve"> Para mais informação</w:t>
      </w:r>
      <w:r w:rsidR="003748C1" w:rsidRPr="007155C0">
        <w:rPr>
          <w:sz w:val="20"/>
          <w:lang w:val="pt-PT"/>
        </w:rPr>
        <w:t>,</w:t>
      </w:r>
      <w:r w:rsidRPr="002606DB">
        <w:rPr>
          <w:snapToGrid w:val="0"/>
          <w:sz w:val="18"/>
          <w:szCs w:val="18"/>
          <w:lang w:val="pt-PT"/>
        </w:rPr>
        <w:t xml:space="preserve"> consultar a Tabela 3 “Reações adversas notificadas no contexto pós-comercialização”.</w:t>
      </w:r>
    </w:p>
    <w:p w14:paraId="690C829D" w14:textId="6AB843C5"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d</w:t>
      </w:r>
      <w:r w:rsidRPr="002606DB">
        <w:rPr>
          <w:snapToGrid w:val="0"/>
          <w:sz w:val="18"/>
          <w:szCs w:val="18"/>
          <w:lang w:val="pt-PT"/>
        </w:rPr>
        <w:t xml:space="preserve"> As fístulas retovaginais são as fístulas mais frequentes da categoria das fístulas entre o trato GI e a vagina</w:t>
      </w:r>
      <w:r w:rsidR="00834764" w:rsidRPr="007155C0">
        <w:rPr>
          <w:sz w:val="20"/>
          <w:lang w:val="pt-PT"/>
        </w:rPr>
        <w:t>.</w:t>
      </w:r>
    </w:p>
    <w:p w14:paraId="1FFBA9CA" w14:textId="77777777" w:rsidR="00162CE2" w:rsidRPr="002606DB" w:rsidRDefault="00162CE2" w:rsidP="00056F35">
      <w:pPr>
        <w:pStyle w:val="a3"/>
        <w:adjustRightInd w:val="0"/>
        <w:snapToGrid w:val="0"/>
        <w:rPr>
          <w:snapToGrid w:val="0"/>
          <w:lang w:val="pt-PT"/>
        </w:rPr>
      </w:pPr>
    </w:p>
    <w:p w14:paraId="14AD5B50" w14:textId="77777777" w:rsidR="00162CE2" w:rsidRPr="002606DB" w:rsidRDefault="00162CE2" w:rsidP="00056F35">
      <w:pPr>
        <w:pStyle w:val="a3"/>
        <w:adjustRightInd w:val="0"/>
        <w:snapToGrid w:val="0"/>
        <w:rPr>
          <w:snapToGrid w:val="0"/>
          <w:lang w:val="pt-PT"/>
        </w:rPr>
      </w:pPr>
      <w:r w:rsidRPr="002606DB">
        <w:rPr>
          <w:snapToGrid w:val="0"/>
          <w:u w:val="single"/>
          <w:lang w:val="pt-PT"/>
        </w:rPr>
        <w:t>Descrição das reações adversas graves selecionadas</w:t>
      </w:r>
    </w:p>
    <w:p w14:paraId="5994D6FD" w14:textId="77777777" w:rsidR="00162CE2" w:rsidRPr="002606DB" w:rsidRDefault="00162CE2" w:rsidP="00056F35">
      <w:pPr>
        <w:pStyle w:val="a3"/>
        <w:adjustRightInd w:val="0"/>
        <w:snapToGrid w:val="0"/>
        <w:rPr>
          <w:snapToGrid w:val="0"/>
          <w:lang w:val="pt-PT"/>
        </w:rPr>
      </w:pPr>
    </w:p>
    <w:p w14:paraId="3E089A53" w14:textId="28CF8519" w:rsidR="00162CE2" w:rsidRPr="002606DB" w:rsidRDefault="00162CE2" w:rsidP="00056F35">
      <w:pPr>
        <w:adjustRightInd w:val="0"/>
        <w:snapToGrid w:val="0"/>
        <w:rPr>
          <w:snapToGrid w:val="0"/>
          <w:lang w:val="pt-PT"/>
        </w:rPr>
      </w:pPr>
      <w:r w:rsidRPr="001C687C">
        <w:rPr>
          <w:i/>
          <w:snapToGrid w:val="0"/>
          <w:u w:val="single"/>
          <w:lang w:val="pt-PT"/>
        </w:rPr>
        <w:t xml:space="preserve">Perfuração gastrointestinal(GI) e </w:t>
      </w:r>
      <w:r w:rsidR="00A33E20">
        <w:rPr>
          <w:i/>
          <w:snapToGrid w:val="0"/>
          <w:u w:val="single"/>
          <w:lang w:val="pt-PT"/>
        </w:rPr>
        <w:t>f</w:t>
      </w:r>
      <w:r w:rsidRPr="001C687C">
        <w:rPr>
          <w:i/>
          <w:snapToGrid w:val="0"/>
          <w:u w:val="single"/>
          <w:lang w:val="pt-PT"/>
        </w:rPr>
        <w:t>ístulas</w:t>
      </w:r>
      <w:r w:rsidRPr="002606DB">
        <w:rPr>
          <w:i/>
          <w:snapToGrid w:val="0"/>
          <w:lang w:val="pt-PT"/>
        </w:rPr>
        <w:t xml:space="preserve"> </w:t>
      </w:r>
      <w:r w:rsidRPr="002606DB">
        <w:rPr>
          <w:snapToGrid w:val="0"/>
          <w:lang w:val="pt-PT"/>
        </w:rPr>
        <w:t>(ver secção 4.4)</w:t>
      </w:r>
    </w:p>
    <w:p w14:paraId="6B154A00" w14:textId="5735603A" w:rsidR="00162CE2" w:rsidRPr="002606DB" w:rsidRDefault="00162CE2" w:rsidP="00056F35">
      <w:pPr>
        <w:pStyle w:val="a3"/>
        <w:adjustRightInd w:val="0"/>
        <w:snapToGrid w:val="0"/>
        <w:rPr>
          <w:snapToGrid w:val="0"/>
          <w:lang w:val="pt-PT"/>
        </w:rPr>
      </w:pPr>
      <w:r w:rsidRPr="002606DB">
        <w:rPr>
          <w:snapToGrid w:val="0"/>
          <w:lang w:val="pt-PT"/>
        </w:rPr>
        <w:t>Bevacizumab tem sido associado a casos graves de perfuração gastrointestinal.</w:t>
      </w:r>
    </w:p>
    <w:p w14:paraId="2AC4D8C3" w14:textId="77777777" w:rsidR="00162CE2" w:rsidRPr="002606DB" w:rsidRDefault="00162CE2" w:rsidP="00056F35">
      <w:pPr>
        <w:pStyle w:val="a3"/>
        <w:adjustRightInd w:val="0"/>
        <w:snapToGrid w:val="0"/>
        <w:rPr>
          <w:snapToGrid w:val="0"/>
          <w:lang w:val="pt-PT"/>
        </w:rPr>
      </w:pPr>
    </w:p>
    <w:p w14:paraId="2C5136F6" w14:textId="1EEE9380" w:rsidR="00162CE2" w:rsidRPr="002606DB" w:rsidRDefault="00162CE2" w:rsidP="00AD2204">
      <w:pPr>
        <w:pStyle w:val="a3"/>
        <w:adjustRightInd w:val="0"/>
        <w:snapToGrid w:val="0"/>
        <w:ind w:right="-138"/>
        <w:rPr>
          <w:snapToGrid w:val="0"/>
          <w:lang w:val="pt-PT"/>
        </w:rPr>
      </w:pPr>
      <w:r w:rsidRPr="002606DB">
        <w:rPr>
          <w:snapToGrid w:val="0"/>
          <w:lang w:val="pt-PT"/>
        </w:rPr>
        <w:t>No âmbito de ensaios clínicos</w:t>
      </w:r>
      <w:r w:rsidR="008B5358" w:rsidRPr="007155C0">
        <w:rPr>
          <w:lang w:val="pt-PT"/>
        </w:rPr>
        <w:t>,</w:t>
      </w:r>
      <w:r w:rsidRPr="002606DB">
        <w:rPr>
          <w:snapToGrid w:val="0"/>
          <w:lang w:val="pt-PT"/>
        </w:rPr>
        <w:t xml:space="preserve"> as perfurações gastrointestinais foram notificadas com uma incidência inferior a 1% em doentes com </w:t>
      </w:r>
      <w:r w:rsidR="00B60598">
        <w:rPr>
          <w:snapToGrid w:val="0"/>
          <w:lang w:val="pt-PT"/>
        </w:rPr>
        <w:t>NSCLC</w:t>
      </w:r>
      <w:r w:rsidR="00706FE4">
        <w:rPr>
          <w:snapToGrid w:val="0"/>
          <w:lang w:val="pt-PT"/>
        </w:rPr>
        <w:t xml:space="preserve"> </w:t>
      </w:r>
      <w:r w:rsidRPr="002606DB">
        <w:rPr>
          <w:snapToGrid w:val="0"/>
          <w:lang w:val="pt-PT"/>
        </w:rPr>
        <w:t xml:space="preserve">não </w:t>
      </w:r>
      <w:r w:rsidR="00CB410D" w:rsidRPr="00CB410D">
        <w:rPr>
          <w:snapToGrid w:val="0"/>
          <w:lang w:val="pt-PT"/>
        </w:rPr>
        <w:t>pavimentocelular</w:t>
      </w:r>
      <w:r w:rsidR="00CB410D">
        <w:rPr>
          <w:snapToGrid w:val="0"/>
          <w:lang w:val="pt-PT"/>
        </w:rPr>
        <w:t>es</w:t>
      </w:r>
      <w:r w:rsidRPr="002606DB">
        <w:rPr>
          <w:snapToGrid w:val="0"/>
          <w:lang w:val="pt-PT"/>
        </w:rPr>
        <w:t>, até 1,3%</w:t>
      </w:r>
      <w:r w:rsidR="00AD2204" w:rsidRPr="002606DB">
        <w:rPr>
          <w:snapToGrid w:val="0"/>
          <w:lang w:val="pt-PT"/>
        </w:rPr>
        <w:t xml:space="preserve"> </w:t>
      </w:r>
      <w:r w:rsidRPr="002606DB">
        <w:rPr>
          <w:snapToGrid w:val="0"/>
          <w:lang w:val="pt-PT"/>
        </w:rPr>
        <w:t xml:space="preserve">em doentes com cancro da mama metastizado, até 2,0% em doentes com </w:t>
      </w:r>
      <w:r w:rsidR="00B60598">
        <w:rPr>
          <w:snapToGrid w:val="0"/>
          <w:lang w:val="pt-PT"/>
        </w:rPr>
        <w:t xml:space="preserve">mRCC </w:t>
      </w:r>
      <w:r w:rsidRPr="002606DB">
        <w:rPr>
          <w:snapToGrid w:val="0"/>
          <w:lang w:val="pt-PT"/>
        </w:rPr>
        <w:t>ou em doentes com cancro do ovário, e até 2,7% (incluindo fístula gastrointestinal e abcesso) em doentes com cancro colo-rectal metastizado. Num ensaio clínico em doentes com cancro do colo do útero com doença persistente, recorrente ou metastizada (estudo GOG</w:t>
      </w:r>
      <w:r w:rsidR="005B3AE6" w:rsidRPr="002606DB">
        <w:rPr>
          <w:snapToGrid w:val="0"/>
          <w:lang w:val="pt-PT"/>
        </w:rPr>
        <w:noBreakHyphen/>
      </w:r>
      <w:r w:rsidRPr="002606DB">
        <w:rPr>
          <w:snapToGrid w:val="0"/>
          <w:lang w:val="pt-PT"/>
        </w:rPr>
        <w:t>0240), foram notificadas perfurações GI (todos os graus) em 3,2 % das doentes, todas com história prévia de radiação pélvica.</w:t>
      </w:r>
    </w:p>
    <w:p w14:paraId="42B636DC" w14:textId="77777777" w:rsidR="00162CE2" w:rsidRPr="002606DB" w:rsidRDefault="00162CE2" w:rsidP="00056F35">
      <w:pPr>
        <w:pStyle w:val="a3"/>
        <w:adjustRightInd w:val="0"/>
        <w:snapToGrid w:val="0"/>
        <w:rPr>
          <w:snapToGrid w:val="0"/>
          <w:lang w:val="pt-PT"/>
        </w:rPr>
      </w:pPr>
    </w:p>
    <w:p w14:paraId="6363784D" w14:textId="3A0CD07B" w:rsidR="00162CE2" w:rsidRPr="002606DB" w:rsidRDefault="00162CE2" w:rsidP="00056F35">
      <w:pPr>
        <w:pStyle w:val="a3"/>
        <w:adjustRightInd w:val="0"/>
        <w:snapToGrid w:val="0"/>
        <w:rPr>
          <w:snapToGrid w:val="0"/>
          <w:lang w:val="pt-PT"/>
        </w:rPr>
      </w:pPr>
      <w:r w:rsidRPr="002606DB">
        <w:rPr>
          <w:snapToGrid w:val="0"/>
          <w:lang w:val="pt-PT"/>
        </w:rPr>
        <w:t>A ocorrência destes acontecimentos variou no tipo e severidade, desde a observação de ar por raios</w:t>
      </w:r>
      <w:r w:rsidR="005B3AE6" w:rsidRPr="002606DB">
        <w:rPr>
          <w:snapToGrid w:val="0"/>
          <w:lang w:val="pt-PT"/>
        </w:rPr>
        <w:noBreakHyphen/>
      </w:r>
      <w:r w:rsidRPr="002606DB">
        <w:rPr>
          <w:snapToGrid w:val="0"/>
          <w:lang w:val="pt-PT"/>
        </w:rPr>
        <w:t>X simples do abdómen, que se resolveu sem qualquer tratamento, até uma perfuração intestinal com abcesso abdominal e morte. Em alguns casos existia inflamação intra</w:t>
      </w:r>
      <w:r w:rsidR="005B3AE6" w:rsidRPr="002606DB">
        <w:rPr>
          <w:snapToGrid w:val="0"/>
          <w:lang w:val="pt-PT"/>
        </w:rPr>
        <w:noBreakHyphen/>
      </w:r>
      <w:r w:rsidRPr="002606DB">
        <w:rPr>
          <w:snapToGrid w:val="0"/>
          <w:lang w:val="pt-PT"/>
        </w:rPr>
        <w:t>abdominal subjacente</w:t>
      </w:r>
      <w:r w:rsidR="008B5358" w:rsidRPr="007155C0">
        <w:rPr>
          <w:lang w:val="fr-CA"/>
        </w:rPr>
        <w:t>,</w:t>
      </w:r>
      <w:r w:rsidRPr="002606DB">
        <w:rPr>
          <w:snapToGrid w:val="0"/>
          <w:lang w:val="pt-PT"/>
        </w:rPr>
        <w:t xml:space="preserve"> resultante de doença ulcerativa gástrica, </w:t>
      </w:r>
      <w:r w:rsidR="007057BF" w:rsidRPr="007155C0">
        <w:rPr>
          <w:lang w:val="fr-CA"/>
        </w:rPr>
        <w:t>de</w:t>
      </w:r>
      <w:r w:rsidR="007057BF" w:rsidRPr="002606DB">
        <w:rPr>
          <w:snapToGrid w:val="0"/>
          <w:lang w:val="pt-PT"/>
        </w:rPr>
        <w:t xml:space="preserve"> </w:t>
      </w:r>
      <w:r w:rsidRPr="002606DB">
        <w:rPr>
          <w:snapToGrid w:val="0"/>
          <w:lang w:val="pt-PT"/>
        </w:rPr>
        <w:t xml:space="preserve">necrose tumoral, </w:t>
      </w:r>
      <w:r w:rsidR="007057BF" w:rsidRPr="007155C0">
        <w:rPr>
          <w:lang w:val="fr-CA"/>
        </w:rPr>
        <w:t>de</w:t>
      </w:r>
      <w:r w:rsidR="007057BF" w:rsidRPr="002606DB">
        <w:rPr>
          <w:snapToGrid w:val="0"/>
          <w:lang w:val="pt-PT"/>
        </w:rPr>
        <w:t xml:space="preserve"> </w:t>
      </w:r>
      <w:r w:rsidRPr="002606DB">
        <w:rPr>
          <w:snapToGrid w:val="0"/>
          <w:lang w:val="pt-PT"/>
        </w:rPr>
        <w:t>diverticulite ou de colite associada a quimioterapia.</w:t>
      </w:r>
    </w:p>
    <w:p w14:paraId="7A0B0EC4" w14:textId="77777777" w:rsidR="00162CE2" w:rsidRPr="002606DB" w:rsidRDefault="00162CE2" w:rsidP="00056F35">
      <w:pPr>
        <w:pStyle w:val="a3"/>
        <w:adjustRightInd w:val="0"/>
        <w:snapToGrid w:val="0"/>
        <w:rPr>
          <w:snapToGrid w:val="0"/>
          <w:lang w:val="pt-PT"/>
        </w:rPr>
      </w:pPr>
    </w:p>
    <w:p w14:paraId="15426B85" w14:textId="6B3923E6" w:rsidR="00162CE2" w:rsidRPr="002606DB" w:rsidRDefault="00162CE2" w:rsidP="00056F35">
      <w:pPr>
        <w:pStyle w:val="a3"/>
        <w:adjustRightInd w:val="0"/>
        <w:snapToGrid w:val="0"/>
        <w:rPr>
          <w:snapToGrid w:val="0"/>
          <w:lang w:val="pt-PT"/>
        </w:rPr>
      </w:pPr>
      <w:r w:rsidRPr="002606DB">
        <w:rPr>
          <w:snapToGrid w:val="0"/>
          <w:lang w:val="pt-PT"/>
        </w:rPr>
        <w:t>Foram notificados casos fatais em aproximadamente um terço dos casos de perfuração gastrointestinal grave, o que representa entre 0,2% - 1% de todos os doentes tratados com bevacizumab.</w:t>
      </w:r>
    </w:p>
    <w:p w14:paraId="3023799A" w14:textId="77777777" w:rsidR="00162CE2" w:rsidRPr="002606DB" w:rsidRDefault="00162CE2" w:rsidP="00056F35">
      <w:pPr>
        <w:pStyle w:val="a3"/>
        <w:adjustRightInd w:val="0"/>
        <w:snapToGrid w:val="0"/>
        <w:rPr>
          <w:snapToGrid w:val="0"/>
          <w:lang w:val="pt-PT"/>
        </w:rPr>
      </w:pPr>
    </w:p>
    <w:p w14:paraId="5BFCC9D5" w14:textId="0A232DDD" w:rsidR="00162CE2" w:rsidRPr="002606DB" w:rsidRDefault="00162CE2" w:rsidP="00056F35">
      <w:pPr>
        <w:pStyle w:val="a3"/>
        <w:adjustRightInd w:val="0"/>
        <w:snapToGrid w:val="0"/>
        <w:rPr>
          <w:snapToGrid w:val="0"/>
          <w:lang w:val="pt-PT"/>
        </w:rPr>
      </w:pPr>
      <w:r w:rsidRPr="002606DB">
        <w:rPr>
          <w:snapToGrid w:val="0"/>
          <w:lang w:val="pt-PT"/>
        </w:rPr>
        <w:t>Em ensaios clínicos com bevacizumab, as fístulas gastrointestinais (todos os graus) têm sido notificadas com uma incidência de até 2% em doentes com cancro colo-retal metastizado e cancro do ovário, mas foram também notificadas menos frequentemente em doentes com outros tipos de cancro.</w:t>
      </w:r>
    </w:p>
    <w:p w14:paraId="0BD7D5C3" w14:textId="77777777" w:rsidR="00162CE2" w:rsidRPr="002606DB" w:rsidRDefault="00162CE2" w:rsidP="00056F35">
      <w:pPr>
        <w:pStyle w:val="a3"/>
        <w:adjustRightInd w:val="0"/>
        <w:snapToGrid w:val="0"/>
        <w:rPr>
          <w:snapToGrid w:val="0"/>
          <w:lang w:val="pt-PT"/>
        </w:rPr>
      </w:pPr>
    </w:p>
    <w:p w14:paraId="72304419"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Fístulas entre o trato GI e a vagina no estudo GOG-0240</w:t>
      </w:r>
    </w:p>
    <w:p w14:paraId="40B15E01" w14:textId="3788F176" w:rsidR="00162CE2" w:rsidRPr="002606DB" w:rsidRDefault="00162CE2" w:rsidP="00056F35">
      <w:pPr>
        <w:pStyle w:val="a3"/>
        <w:adjustRightInd w:val="0"/>
        <w:snapToGrid w:val="0"/>
        <w:rPr>
          <w:snapToGrid w:val="0"/>
          <w:lang w:val="pt-PT"/>
        </w:rPr>
      </w:pPr>
      <w:r w:rsidRPr="002606DB">
        <w:rPr>
          <w:snapToGrid w:val="0"/>
          <w:lang w:val="pt-PT"/>
        </w:rPr>
        <w:t>Num estudo com doentes com cancro do colo do útero com doença persistente, recorrente ou metastizada, a incidência de fístulas entre o trato GI e a vagina foi 8,3% em doentes tratadas com bevacizumab e 0,9 % nas doentes controlo, todas com história prévia de radiação pélvica. A frequência de fístulas entre o trato GI e a vagina no grupo tratado com bevacizumab + quimioterapia foi superior nas doentes com recorrência na área irradiada previamente (16,7%) comparativamente às doentes sem radiação prévia e/ou sem recorrência dentro da área irradiada previamente (3,6%). As frequências correspondentes no grupo controlo tratado com quimioterapia foram de 1,1% vs. 0,8%</w:t>
      </w:r>
      <w:r w:rsidR="003328F6" w:rsidRPr="007155C0">
        <w:rPr>
          <w:lang w:val="pt-PT"/>
        </w:rPr>
        <w:t>, respetivamente</w:t>
      </w:r>
      <w:r w:rsidRPr="002606DB">
        <w:rPr>
          <w:snapToGrid w:val="0"/>
          <w:lang w:val="pt-PT"/>
        </w:rPr>
        <w:t>. As doentes que desenvolvem fístulas entre o trato GI e a vagina podem também apresentar obstrução intestinal e necessitar de intervenção cirúrgica</w:t>
      </w:r>
      <w:r w:rsidR="009E5109" w:rsidRPr="007155C0">
        <w:rPr>
          <w:lang w:val="pt-PT"/>
        </w:rPr>
        <w:t>,</w:t>
      </w:r>
      <w:r w:rsidRPr="002606DB">
        <w:rPr>
          <w:snapToGrid w:val="0"/>
          <w:lang w:val="pt-PT"/>
        </w:rPr>
        <w:t xml:space="preserve"> assim como ostomias de derivação.</w:t>
      </w:r>
    </w:p>
    <w:p w14:paraId="6F702DFE" w14:textId="77777777" w:rsidR="00162CE2" w:rsidRPr="002606DB" w:rsidRDefault="00162CE2" w:rsidP="00056F35">
      <w:pPr>
        <w:pStyle w:val="a3"/>
        <w:adjustRightInd w:val="0"/>
        <w:snapToGrid w:val="0"/>
        <w:rPr>
          <w:snapToGrid w:val="0"/>
          <w:lang w:val="pt-PT"/>
        </w:rPr>
      </w:pPr>
    </w:p>
    <w:p w14:paraId="3DA15D1D" w14:textId="6DFD5CD9" w:rsidR="00162CE2" w:rsidRPr="002606DB" w:rsidRDefault="00162CE2" w:rsidP="00056F35">
      <w:pPr>
        <w:adjustRightInd w:val="0"/>
        <w:snapToGrid w:val="0"/>
        <w:rPr>
          <w:snapToGrid w:val="0"/>
          <w:lang w:val="pt-PT"/>
        </w:rPr>
      </w:pPr>
      <w:r w:rsidRPr="001C687C">
        <w:rPr>
          <w:i/>
          <w:snapToGrid w:val="0"/>
          <w:u w:val="single"/>
          <w:lang w:val="pt-PT"/>
        </w:rPr>
        <w:t>Fístulas não-GI</w:t>
      </w:r>
      <w:r w:rsidRPr="002606DB">
        <w:rPr>
          <w:i/>
          <w:snapToGrid w:val="0"/>
          <w:lang w:val="pt-PT"/>
        </w:rPr>
        <w:t xml:space="preserve"> </w:t>
      </w:r>
      <w:r w:rsidRPr="002606DB">
        <w:rPr>
          <w:snapToGrid w:val="0"/>
          <w:lang w:val="pt-PT"/>
        </w:rPr>
        <w:t>(ver secção 4.4)</w:t>
      </w:r>
    </w:p>
    <w:p w14:paraId="727DF47A" w14:textId="2BDFD7DC" w:rsidR="00162CE2" w:rsidRPr="002606DB" w:rsidRDefault="00162CE2" w:rsidP="00056F35">
      <w:pPr>
        <w:pStyle w:val="a3"/>
        <w:adjustRightInd w:val="0"/>
        <w:snapToGrid w:val="0"/>
        <w:rPr>
          <w:snapToGrid w:val="0"/>
          <w:lang w:val="pt-PT"/>
        </w:rPr>
      </w:pPr>
      <w:r w:rsidRPr="002606DB">
        <w:rPr>
          <w:snapToGrid w:val="0"/>
          <w:lang w:val="pt-PT"/>
        </w:rPr>
        <w:t>A utilização de bevacizumab tem sido associada a casos graves de fístulas, incluindo reações resultando em morte.</w:t>
      </w:r>
    </w:p>
    <w:p w14:paraId="6518EF71" w14:textId="77777777" w:rsidR="00162CE2" w:rsidRPr="002606DB" w:rsidRDefault="00162CE2" w:rsidP="00056F35">
      <w:pPr>
        <w:pStyle w:val="a3"/>
        <w:adjustRightInd w:val="0"/>
        <w:snapToGrid w:val="0"/>
        <w:rPr>
          <w:snapToGrid w:val="0"/>
          <w:lang w:val="pt-PT"/>
        </w:rPr>
      </w:pPr>
    </w:p>
    <w:p w14:paraId="08A6BD76" w14:textId="1A70E92B" w:rsidR="00162CE2" w:rsidRPr="002606DB" w:rsidRDefault="00162CE2" w:rsidP="00056F35">
      <w:pPr>
        <w:pStyle w:val="a3"/>
        <w:adjustRightInd w:val="0"/>
        <w:snapToGrid w:val="0"/>
        <w:rPr>
          <w:snapToGrid w:val="0"/>
          <w:lang w:val="pt-PT"/>
        </w:rPr>
      </w:pPr>
      <w:r w:rsidRPr="002606DB">
        <w:rPr>
          <w:snapToGrid w:val="0"/>
          <w:lang w:val="pt-PT"/>
        </w:rPr>
        <w:t>Num ensaio clínico em doentes com cancro do colo do útero com doença persistente, recorrente ou metastizada (GOG</w:t>
      </w:r>
      <w:r w:rsidR="005B3AE6" w:rsidRPr="002606DB">
        <w:rPr>
          <w:snapToGrid w:val="0"/>
          <w:lang w:val="pt-PT"/>
        </w:rPr>
        <w:noBreakHyphen/>
      </w:r>
      <w:r w:rsidRPr="002606DB">
        <w:rPr>
          <w:snapToGrid w:val="0"/>
          <w:lang w:val="pt-PT"/>
        </w:rPr>
        <w:t>0240)</w:t>
      </w:r>
      <w:r w:rsidR="009E5109" w:rsidRPr="009E5109">
        <w:t xml:space="preserve"> </w:t>
      </w:r>
      <w:r w:rsidR="009E5109" w:rsidRPr="007C0D2B">
        <w:t>,</w:t>
      </w:r>
      <w:r w:rsidRPr="002606DB">
        <w:rPr>
          <w:snapToGrid w:val="0"/>
          <w:lang w:val="pt-PT"/>
        </w:rPr>
        <w:t xml:space="preserve"> foram notificadas fístulas vaginais, vesiculares ou do trato genital feminino, fora do trato GI, em 1,8% das doentes tratadas com bevacizumab e 1,4% das doentes controlo.</w:t>
      </w:r>
    </w:p>
    <w:p w14:paraId="7FBF118F" w14:textId="77777777" w:rsidR="00162CE2" w:rsidRPr="002606DB" w:rsidRDefault="00162CE2" w:rsidP="00056F35">
      <w:pPr>
        <w:pStyle w:val="a3"/>
        <w:adjustRightInd w:val="0"/>
        <w:snapToGrid w:val="0"/>
        <w:rPr>
          <w:snapToGrid w:val="0"/>
          <w:lang w:val="pt-PT"/>
        </w:rPr>
      </w:pPr>
    </w:p>
    <w:p w14:paraId="601195E8" w14:textId="18A6D873" w:rsidR="00162CE2" w:rsidRPr="002606DB" w:rsidRDefault="00162CE2" w:rsidP="00056F35">
      <w:pPr>
        <w:pStyle w:val="a3"/>
        <w:adjustRightInd w:val="0"/>
        <w:snapToGrid w:val="0"/>
        <w:rPr>
          <w:snapToGrid w:val="0"/>
          <w:lang w:val="pt-PT"/>
        </w:rPr>
      </w:pPr>
      <w:r w:rsidRPr="002606DB">
        <w:rPr>
          <w:snapToGrid w:val="0"/>
          <w:lang w:val="pt-PT"/>
        </w:rPr>
        <w:t>Em outras indicações</w:t>
      </w:r>
      <w:r w:rsidR="009E5109" w:rsidRPr="007155C0">
        <w:rPr>
          <w:lang w:val="pt-PT"/>
        </w:rPr>
        <w:t>,</w:t>
      </w:r>
      <w:r w:rsidRPr="002606DB">
        <w:rPr>
          <w:snapToGrid w:val="0"/>
          <w:lang w:val="pt-PT"/>
        </w:rPr>
        <w:t xml:space="preserve"> foram observadas notificações pouco frequentes (</w:t>
      </w:r>
      <w:r w:rsidRPr="002606DB">
        <w:rPr>
          <w:rFonts w:ascii="Symbol" w:hAnsi="Symbol"/>
          <w:snapToGrid w:val="0"/>
          <w:lang w:val="pt-PT"/>
        </w:rPr>
        <w:t></w:t>
      </w:r>
      <w:r w:rsidRPr="002606DB">
        <w:rPr>
          <w:snapToGrid w:val="0"/>
          <w:lang w:val="pt-PT"/>
        </w:rPr>
        <w:t xml:space="preserve"> 0,1% a &lt; 1%) de fístulas envolvendo áreas do corpo que não o trato gastrointestinal (por ex.: broncopleural e fístulas biliares). Foram também notificadas fístulas </w:t>
      </w:r>
      <w:r w:rsidR="00AB1443" w:rsidRPr="007155C0">
        <w:rPr>
          <w:bCs/>
          <w:iCs/>
          <w:lang w:val="pt-PT"/>
        </w:rPr>
        <w:t>na</w:t>
      </w:r>
      <w:r w:rsidRPr="002606DB">
        <w:rPr>
          <w:snapToGrid w:val="0"/>
          <w:lang w:val="pt-PT"/>
        </w:rPr>
        <w:t xml:space="preserve"> experiência pós-comercialização.</w:t>
      </w:r>
    </w:p>
    <w:p w14:paraId="1DB0C1F8" w14:textId="77777777" w:rsidR="00162CE2" w:rsidRPr="002606DB" w:rsidRDefault="00162CE2" w:rsidP="00056F35">
      <w:pPr>
        <w:pStyle w:val="a3"/>
        <w:adjustRightInd w:val="0"/>
        <w:snapToGrid w:val="0"/>
        <w:rPr>
          <w:snapToGrid w:val="0"/>
          <w:lang w:val="pt-PT"/>
        </w:rPr>
      </w:pPr>
    </w:p>
    <w:p w14:paraId="210E1505" w14:textId="56641E89" w:rsidR="00162CE2" w:rsidRPr="002606DB" w:rsidRDefault="00162CE2" w:rsidP="00056F35">
      <w:pPr>
        <w:pStyle w:val="a3"/>
        <w:adjustRightInd w:val="0"/>
        <w:snapToGrid w:val="0"/>
        <w:rPr>
          <w:snapToGrid w:val="0"/>
          <w:lang w:val="pt-PT"/>
        </w:rPr>
      </w:pPr>
      <w:r w:rsidRPr="002606DB">
        <w:rPr>
          <w:snapToGrid w:val="0"/>
          <w:lang w:val="pt-PT"/>
        </w:rPr>
        <w:t>Foram notificadas reações em várias alturas durante o tratamento, desde uma semana a mais de 1 ano após o início de bevacizumab, com a maioria das reações a ocorrer durante os primeiros 6 meses de terapêutica.</w:t>
      </w:r>
    </w:p>
    <w:p w14:paraId="3449370F" w14:textId="77777777" w:rsidR="00162CE2" w:rsidRPr="002606DB" w:rsidRDefault="00162CE2" w:rsidP="00056F35">
      <w:pPr>
        <w:pStyle w:val="a3"/>
        <w:adjustRightInd w:val="0"/>
        <w:snapToGrid w:val="0"/>
        <w:rPr>
          <w:snapToGrid w:val="0"/>
          <w:lang w:val="pt-PT"/>
        </w:rPr>
      </w:pPr>
    </w:p>
    <w:p w14:paraId="77D216E8" w14:textId="59F45A44" w:rsidR="00162CE2" w:rsidRPr="002606DB" w:rsidRDefault="00162CE2" w:rsidP="00056F35">
      <w:pPr>
        <w:adjustRightInd w:val="0"/>
        <w:snapToGrid w:val="0"/>
        <w:rPr>
          <w:snapToGrid w:val="0"/>
          <w:lang w:val="pt-PT"/>
        </w:rPr>
      </w:pPr>
      <w:r w:rsidRPr="001C687C">
        <w:rPr>
          <w:i/>
          <w:snapToGrid w:val="0"/>
          <w:u w:val="single"/>
          <w:lang w:val="pt-PT"/>
        </w:rPr>
        <w:t>Cicatrização de feridas</w:t>
      </w:r>
      <w:r w:rsidRPr="002606DB">
        <w:rPr>
          <w:i/>
          <w:snapToGrid w:val="0"/>
          <w:lang w:val="pt-PT"/>
        </w:rPr>
        <w:t xml:space="preserve"> </w:t>
      </w:r>
      <w:r w:rsidRPr="002606DB">
        <w:rPr>
          <w:snapToGrid w:val="0"/>
          <w:lang w:val="pt-PT"/>
        </w:rPr>
        <w:t>(ver secção 4.4)</w:t>
      </w:r>
    </w:p>
    <w:p w14:paraId="51C5C807" w14:textId="0E37BD25" w:rsidR="00162CE2" w:rsidRPr="002606DB" w:rsidRDefault="00162CE2" w:rsidP="00056F35">
      <w:pPr>
        <w:pStyle w:val="a3"/>
        <w:adjustRightInd w:val="0"/>
        <w:snapToGrid w:val="0"/>
        <w:rPr>
          <w:snapToGrid w:val="0"/>
          <w:lang w:val="pt-PT"/>
        </w:rPr>
      </w:pPr>
      <w:r w:rsidRPr="002606DB">
        <w:rPr>
          <w:snapToGrid w:val="0"/>
          <w:lang w:val="pt-PT"/>
        </w:rPr>
        <w:t>Uma vez que o bevacizumab pode ter um impacto negativo na cicatrização de feridas, excluíram-se da participação em ensaios de fase III os doentes submetidos a grande cirurgia nos 28 dias anteriores ao início do ensaio.</w:t>
      </w:r>
    </w:p>
    <w:p w14:paraId="2B97973A" w14:textId="77777777" w:rsidR="00162CE2" w:rsidRPr="002606DB" w:rsidRDefault="00162CE2" w:rsidP="00056F35">
      <w:pPr>
        <w:pStyle w:val="a3"/>
        <w:adjustRightInd w:val="0"/>
        <w:snapToGrid w:val="0"/>
        <w:rPr>
          <w:snapToGrid w:val="0"/>
          <w:lang w:val="pt-PT"/>
        </w:rPr>
      </w:pPr>
    </w:p>
    <w:p w14:paraId="6D8480EA" w14:textId="7AB28422" w:rsidR="00162CE2" w:rsidRPr="002606DB" w:rsidRDefault="00162CE2" w:rsidP="00AD2204">
      <w:pPr>
        <w:pStyle w:val="a3"/>
        <w:adjustRightInd w:val="0"/>
        <w:snapToGrid w:val="0"/>
        <w:rPr>
          <w:snapToGrid w:val="0"/>
          <w:lang w:val="pt-PT"/>
        </w:rPr>
      </w:pPr>
      <w:r w:rsidRPr="002606DB">
        <w:rPr>
          <w:snapToGrid w:val="0"/>
          <w:lang w:val="pt-PT"/>
        </w:rPr>
        <w:t>Nos ensaios clínicos no cancro metastizado do cólon ou do reto, não se observou risco aumentado de hemorragia pós-operatória ou de complicações na cicatrização de feridas em doentes submetidos a grande cirurgia 28 e 60 dias antes do início do tratamento com bevacizumab. Nos doentes tratados com bevacizumab na altura da cirurgia, observou-se incidência aumentada de casos de hemorragia</w:t>
      </w:r>
      <w:r w:rsidR="00AD2204" w:rsidRPr="002606DB">
        <w:rPr>
          <w:snapToGrid w:val="0"/>
          <w:lang w:val="pt-PT"/>
        </w:rPr>
        <w:t xml:space="preserve"> </w:t>
      </w:r>
      <w:r w:rsidRPr="002606DB">
        <w:rPr>
          <w:snapToGrid w:val="0"/>
          <w:lang w:val="pt-PT"/>
        </w:rPr>
        <w:t>pós-operatória ou complicações na cicatrização nos 60 dias após a grande cirurgia. A incidência variou entre 10% (4/40) e 20% (3/15).</w:t>
      </w:r>
    </w:p>
    <w:p w14:paraId="0F528B85" w14:textId="77777777" w:rsidR="00162CE2" w:rsidRPr="002606DB" w:rsidRDefault="00162CE2" w:rsidP="00056F35">
      <w:pPr>
        <w:adjustRightInd w:val="0"/>
        <w:snapToGrid w:val="0"/>
        <w:rPr>
          <w:snapToGrid w:val="0"/>
          <w:lang w:val="pt-PT"/>
        </w:rPr>
      </w:pPr>
    </w:p>
    <w:p w14:paraId="6CBF2031" w14:textId="77777777" w:rsidR="00162CE2" w:rsidRPr="002606DB" w:rsidRDefault="00162CE2" w:rsidP="00056F35">
      <w:pPr>
        <w:pStyle w:val="a3"/>
        <w:adjustRightInd w:val="0"/>
        <w:snapToGrid w:val="0"/>
        <w:rPr>
          <w:snapToGrid w:val="0"/>
          <w:lang w:val="pt-PT"/>
        </w:rPr>
      </w:pPr>
      <w:r w:rsidRPr="002606DB">
        <w:rPr>
          <w:snapToGrid w:val="0"/>
          <w:lang w:val="pt-PT"/>
        </w:rPr>
        <w:t>Foram notificadas complicações graves na cicatrização de feridas, incluindo complicações de anastomoses, algumas das quais tiveram consequências fatais.</w:t>
      </w:r>
    </w:p>
    <w:p w14:paraId="7B42DE73" w14:textId="77777777" w:rsidR="00162CE2" w:rsidRPr="002606DB" w:rsidRDefault="00162CE2" w:rsidP="00056F35">
      <w:pPr>
        <w:pStyle w:val="a3"/>
        <w:adjustRightInd w:val="0"/>
        <w:snapToGrid w:val="0"/>
        <w:rPr>
          <w:snapToGrid w:val="0"/>
          <w:lang w:val="pt-PT"/>
        </w:rPr>
      </w:pPr>
    </w:p>
    <w:p w14:paraId="4F5CDC49" w14:textId="3CE0363E" w:rsidR="00162CE2" w:rsidRPr="002606DB" w:rsidRDefault="00162CE2" w:rsidP="00D60086">
      <w:pPr>
        <w:pStyle w:val="a3"/>
        <w:adjustRightInd w:val="0"/>
        <w:snapToGrid w:val="0"/>
        <w:rPr>
          <w:snapToGrid w:val="0"/>
          <w:lang w:val="pt-PT"/>
        </w:rPr>
      </w:pPr>
      <w:r w:rsidRPr="002606DB">
        <w:rPr>
          <w:snapToGrid w:val="0"/>
          <w:lang w:val="pt-PT"/>
        </w:rPr>
        <w:t xml:space="preserve">Em ensaios de cancro da mama localmente avançado ou metastizado, observaram-se complicações na cicatrização de feridas de Grau 3-5 em até 1,1% dos doentes tratados com bevacizumab comparativamente com até 0,9% dos doentes nos </w:t>
      </w:r>
      <w:r w:rsidR="00B72472">
        <w:rPr>
          <w:snapToGrid w:val="0"/>
          <w:lang w:val="pt-PT"/>
        </w:rPr>
        <w:t>grupo</w:t>
      </w:r>
      <w:r w:rsidRPr="002606DB">
        <w:rPr>
          <w:snapToGrid w:val="0"/>
          <w:lang w:val="pt-PT"/>
        </w:rPr>
        <w:t>s controlo (NCI</w:t>
      </w:r>
      <w:r w:rsidR="005B3AE6" w:rsidRPr="002606DB">
        <w:rPr>
          <w:snapToGrid w:val="0"/>
          <w:lang w:val="pt-PT"/>
        </w:rPr>
        <w:noBreakHyphen/>
      </w:r>
      <w:r w:rsidRPr="002606DB">
        <w:rPr>
          <w:snapToGrid w:val="0"/>
          <w:lang w:val="pt-PT"/>
        </w:rPr>
        <w:t>CTCAE v.3).</w:t>
      </w:r>
    </w:p>
    <w:p w14:paraId="387BB5C3" w14:textId="77777777" w:rsidR="00162CE2" w:rsidRPr="002606DB" w:rsidRDefault="00162CE2" w:rsidP="00056F35">
      <w:pPr>
        <w:pStyle w:val="a3"/>
        <w:adjustRightInd w:val="0"/>
        <w:snapToGrid w:val="0"/>
        <w:rPr>
          <w:snapToGrid w:val="0"/>
          <w:lang w:val="pt-PT"/>
        </w:rPr>
      </w:pPr>
    </w:p>
    <w:p w14:paraId="7CF8BA20" w14:textId="53CA7E7B" w:rsidR="00162CE2" w:rsidRPr="002606DB" w:rsidRDefault="00162CE2" w:rsidP="00056F35">
      <w:pPr>
        <w:pStyle w:val="a3"/>
        <w:adjustRightInd w:val="0"/>
        <w:snapToGrid w:val="0"/>
        <w:rPr>
          <w:snapToGrid w:val="0"/>
          <w:lang w:val="pt-PT"/>
        </w:rPr>
      </w:pPr>
      <w:r w:rsidRPr="002606DB">
        <w:rPr>
          <w:snapToGrid w:val="0"/>
          <w:lang w:val="pt-PT"/>
        </w:rPr>
        <w:t>Nos ensaios clínicos no cancro do ovário, foram observadas complicações de Grau 3-5 na cicatrização de feridas em até 1,8% d</w:t>
      </w:r>
      <w:r w:rsidR="001F352C" w:rsidRPr="007155C0">
        <w:rPr>
          <w:lang w:val="pt-PT"/>
        </w:rPr>
        <w:t>a</w:t>
      </w:r>
      <w:r w:rsidRPr="002606DB">
        <w:rPr>
          <w:snapToGrid w:val="0"/>
          <w:lang w:val="pt-PT"/>
        </w:rPr>
        <w:t xml:space="preserve">s doentes no </w:t>
      </w:r>
      <w:r w:rsidR="00B72472">
        <w:rPr>
          <w:snapToGrid w:val="0"/>
          <w:lang w:val="pt-PT"/>
        </w:rPr>
        <w:t>grupo</w:t>
      </w:r>
      <w:r w:rsidRPr="002606DB">
        <w:rPr>
          <w:snapToGrid w:val="0"/>
          <w:lang w:val="pt-PT"/>
        </w:rPr>
        <w:t xml:space="preserve"> do bevacizumab </w:t>
      </w:r>
      <w:r w:rsidRPr="002606DB">
        <w:rPr>
          <w:i/>
          <w:snapToGrid w:val="0"/>
          <w:lang w:val="pt-PT"/>
        </w:rPr>
        <w:t xml:space="preserve">versus </w:t>
      </w:r>
      <w:r w:rsidRPr="002606DB">
        <w:rPr>
          <w:snapToGrid w:val="0"/>
          <w:lang w:val="pt-PT"/>
        </w:rPr>
        <w:t xml:space="preserve">0,1 % no </w:t>
      </w:r>
      <w:r w:rsidR="00B72472">
        <w:rPr>
          <w:snapToGrid w:val="0"/>
          <w:lang w:val="pt-PT"/>
        </w:rPr>
        <w:t>grupo</w:t>
      </w:r>
      <w:r w:rsidRPr="002606DB">
        <w:rPr>
          <w:snapToGrid w:val="0"/>
          <w:lang w:val="pt-PT"/>
        </w:rPr>
        <w:t xml:space="preserve"> controlo (NCI</w:t>
      </w:r>
      <w:r w:rsidR="005B3AE6" w:rsidRPr="002606DB">
        <w:rPr>
          <w:snapToGrid w:val="0"/>
          <w:lang w:val="pt-PT"/>
        </w:rPr>
        <w:noBreakHyphen/>
      </w:r>
      <w:r w:rsidRPr="002606DB">
        <w:rPr>
          <w:snapToGrid w:val="0"/>
          <w:lang w:val="pt-PT"/>
        </w:rPr>
        <w:t>CTCAE v.3).</w:t>
      </w:r>
    </w:p>
    <w:p w14:paraId="6D0957FB" w14:textId="77777777" w:rsidR="00162CE2" w:rsidRPr="002606DB" w:rsidRDefault="00162CE2" w:rsidP="00056F35">
      <w:pPr>
        <w:pStyle w:val="a3"/>
        <w:adjustRightInd w:val="0"/>
        <w:snapToGrid w:val="0"/>
        <w:rPr>
          <w:snapToGrid w:val="0"/>
          <w:lang w:val="pt-PT"/>
        </w:rPr>
      </w:pPr>
    </w:p>
    <w:p w14:paraId="1A8129DA" w14:textId="0A67CE3A" w:rsidR="00162CE2" w:rsidRPr="002606DB" w:rsidRDefault="00162CE2" w:rsidP="00056F35">
      <w:pPr>
        <w:adjustRightInd w:val="0"/>
        <w:snapToGrid w:val="0"/>
        <w:rPr>
          <w:snapToGrid w:val="0"/>
          <w:lang w:val="pt-PT"/>
        </w:rPr>
      </w:pPr>
      <w:r w:rsidRPr="001C687C">
        <w:rPr>
          <w:i/>
          <w:snapToGrid w:val="0"/>
          <w:u w:val="single"/>
          <w:lang w:val="pt-PT"/>
        </w:rPr>
        <w:t>Hipertensão arterial</w:t>
      </w:r>
      <w:r w:rsidRPr="002606DB">
        <w:rPr>
          <w:i/>
          <w:snapToGrid w:val="0"/>
          <w:lang w:val="pt-PT"/>
        </w:rPr>
        <w:t xml:space="preserve"> </w:t>
      </w:r>
      <w:r w:rsidRPr="002606DB">
        <w:rPr>
          <w:snapToGrid w:val="0"/>
          <w:lang w:val="pt-PT"/>
        </w:rPr>
        <w:t>(ver secção 4.4)</w:t>
      </w:r>
    </w:p>
    <w:p w14:paraId="682F58CC" w14:textId="392FBBB6" w:rsidR="00162CE2" w:rsidRPr="002606DB" w:rsidRDefault="00162CE2" w:rsidP="00056F35">
      <w:pPr>
        <w:pStyle w:val="a3"/>
        <w:adjustRightInd w:val="0"/>
        <w:snapToGrid w:val="0"/>
        <w:rPr>
          <w:snapToGrid w:val="0"/>
          <w:lang w:val="pt-PT"/>
        </w:rPr>
      </w:pPr>
      <w:r w:rsidRPr="002606DB">
        <w:rPr>
          <w:snapToGrid w:val="0"/>
          <w:lang w:val="pt-PT"/>
        </w:rPr>
        <w:t xml:space="preserve">Em ensaios clínicos, com exceção do estudo JO25567, a incidência global de hipertensão arterial (todos os graus) variou até 42,1% nos </w:t>
      </w:r>
      <w:r w:rsidR="00B72472">
        <w:rPr>
          <w:snapToGrid w:val="0"/>
          <w:lang w:val="pt-PT"/>
        </w:rPr>
        <w:t>grupo</w:t>
      </w:r>
      <w:r w:rsidRPr="002606DB">
        <w:rPr>
          <w:snapToGrid w:val="0"/>
          <w:lang w:val="pt-PT"/>
        </w:rPr>
        <w:t xml:space="preserve">s com bevacizumab, comparativamente a uma incidência até 14% nos </w:t>
      </w:r>
      <w:r w:rsidR="00B72472">
        <w:rPr>
          <w:snapToGrid w:val="0"/>
          <w:lang w:val="pt-PT"/>
        </w:rPr>
        <w:t>grupo</w:t>
      </w:r>
      <w:r w:rsidRPr="002606DB">
        <w:rPr>
          <w:snapToGrid w:val="0"/>
          <w:lang w:val="pt-PT"/>
        </w:rPr>
        <w:t xml:space="preserve">s de controlo. A incidência global de hipertensão de Grau 3 e 4 do NCI-CTC em doentes tratados com bevacizumab variou de 0,4% a 17,9%. Em doentes tratados com bevacizumab e </w:t>
      </w:r>
      <w:r w:rsidRPr="002606DB">
        <w:rPr>
          <w:snapToGrid w:val="0"/>
          <w:lang w:val="pt-PT"/>
        </w:rPr>
        <w:lastRenderedPageBreak/>
        <w:t>quimioterapia, a hipertensão arterial de Grau 4 (crise hipertensiva) observou-se em até 1,0%, comparativamente com até 0,2% nos doentes tratados só com o mesmo regime de quimioterapia.</w:t>
      </w:r>
    </w:p>
    <w:p w14:paraId="7B6E8AAF" w14:textId="77777777" w:rsidR="00162CE2" w:rsidRPr="002606DB" w:rsidRDefault="00162CE2" w:rsidP="00056F35">
      <w:pPr>
        <w:pStyle w:val="a3"/>
        <w:adjustRightInd w:val="0"/>
        <w:snapToGrid w:val="0"/>
        <w:rPr>
          <w:snapToGrid w:val="0"/>
          <w:lang w:val="pt-PT"/>
        </w:rPr>
      </w:pPr>
    </w:p>
    <w:p w14:paraId="5ACB5016" w14:textId="722E86FF" w:rsidR="00162CE2" w:rsidRPr="002606DB" w:rsidRDefault="00162CE2" w:rsidP="00056F35">
      <w:pPr>
        <w:pStyle w:val="a3"/>
        <w:adjustRightInd w:val="0"/>
        <w:snapToGrid w:val="0"/>
        <w:rPr>
          <w:snapToGrid w:val="0"/>
          <w:lang w:val="pt-PT"/>
        </w:rPr>
      </w:pPr>
      <w:r w:rsidRPr="002606DB">
        <w:rPr>
          <w:snapToGrid w:val="0"/>
          <w:lang w:val="pt-PT"/>
        </w:rPr>
        <w:t xml:space="preserve">No estudo JO25567, foi observada hipertensão de todos os graus em 77,3% dos doentes que receberam bevacizumab em associação com erlotinib como tratamento de primeira linha de NSCLC não </w:t>
      </w:r>
      <w:r w:rsidR="00013970" w:rsidRPr="00013970">
        <w:rPr>
          <w:snapToGrid w:val="0"/>
          <w:lang w:val="pt-PT"/>
        </w:rPr>
        <w:t>pavimentocelular</w:t>
      </w:r>
      <w:r w:rsidRPr="002606DB">
        <w:rPr>
          <w:snapToGrid w:val="0"/>
          <w:lang w:val="pt-PT"/>
        </w:rPr>
        <w:t xml:space="preserve"> com mutações ativadoras do EGFR, comparativamente a 14,3% de doentes tratados com erlotinib isoladamente. A hipertensão de grau 3 foi de 60,0% nos doentes tratados com bevacizumab em associação com erlotinib comparativamente a 11,7% nos doentes tratados com erlotinib</w:t>
      </w:r>
      <w:r w:rsidR="00A60F40" w:rsidRPr="007155C0">
        <w:rPr>
          <w:lang w:val="fr-CA"/>
        </w:rPr>
        <w:t>,</w:t>
      </w:r>
      <w:r w:rsidRPr="002606DB">
        <w:rPr>
          <w:snapToGrid w:val="0"/>
          <w:lang w:val="pt-PT"/>
        </w:rPr>
        <w:t xml:space="preserve"> isoladamente. Não se observaram eventos de hipertensão de grau 4 ou 5.</w:t>
      </w:r>
    </w:p>
    <w:p w14:paraId="44CC4737" w14:textId="77777777" w:rsidR="00162CE2" w:rsidRPr="002606DB" w:rsidRDefault="00162CE2" w:rsidP="00056F35">
      <w:pPr>
        <w:pStyle w:val="a3"/>
        <w:adjustRightInd w:val="0"/>
        <w:snapToGrid w:val="0"/>
        <w:rPr>
          <w:snapToGrid w:val="0"/>
          <w:lang w:val="pt-PT"/>
        </w:rPr>
      </w:pPr>
    </w:p>
    <w:p w14:paraId="6BD4E00B" w14:textId="4B03ECDD" w:rsidR="00162CE2" w:rsidRPr="002606DB" w:rsidRDefault="00162CE2" w:rsidP="00AD2204">
      <w:pPr>
        <w:pStyle w:val="a3"/>
        <w:adjustRightInd w:val="0"/>
        <w:snapToGrid w:val="0"/>
        <w:ind w:right="-705"/>
        <w:rPr>
          <w:snapToGrid w:val="0"/>
          <w:lang w:val="pt-PT"/>
        </w:rPr>
      </w:pPr>
      <w:r w:rsidRPr="002606DB">
        <w:rPr>
          <w:snapToGrid w:val="0"/>
          <w:lang w:val="pt-PT"/>
        </w:rPr>
        <w:t>A hipertensão arterial foi, em geral, adequadamente controlada com anti</w:t>
      </w:r>
      <w:r w:rsidR="005B3AE6" w:rsidRPr="002606DB">
        <w:rPr>
          <w:snapToGrid w:val="0"/>
          <w:lang w:val="pt-PT"/>
        </w:rPr>
        <w:noBreakHyphen/>
      </w:r>
      <w:r w:rsidRPr="002606DB">
        <w:rPr>
          <w:snapToGrid w:val="0"/>
          <w:lang w:val="pt-PT"/>
        </w:rPr>
        <w:t>hipertensores orais, tais como inibidores da enzima de conversão da angiotensina, diuréticos e bloqueadores dos canais de cálcio. A hipertensão arterial raramente conduziu à descontinuação do tratamento com bevacizumab ou à hospitalização.</w:t>
      </w:r>
    </w:p>
    <w:p w14:paraId="60A408BF" w14:textId="77777777" w:rsidR="00162CE2" w:rsidRPr="002606DB" w:rsidRDefault="00162CE2" w:rsidP="00056F35">
      <w:pPr>
        <w:pStyle w:val="a3"/>
        <w:adjustRightInd w:val="0"/>
        <w:snapToGrid w:val="0"/>
        <w:rPr>
          <w:snapToGrid w:val="0"/>
          <w:lang w:val="pt-PT"/>
        </w:rPr>
      </w:pPr>
    </w:p>
    <w:p w14:paraId="0FF05FE1" w14:textId="77777777" w:rsidR="00162CE2" w:rsidRPr="002606DB" w:rsidRDefault="00162CE2" w:rsidP="00056F35">
      <w:pPr>
        <w:pStyle w:val="a3"/>
        <w:adjustRightInd w:val="0"/>
        <w:snapToGrid w:val="0"/>
        <w:jc w:val="both"/>
        <w:rPr>
          <w:snapToGrid w:val="0"/>
          <w:lang w:val="pt-PT"/>
        </w:rPr>
      </w:pPr>
      <w:r w:rsidRPr="002606DB">
        <w:rPr>
          <w:snapToGrid w:val="0"/>
          <w:lang w:val="pt-PT"/>
        </w:rPr>
        <w:t>Foram notificados casos muito raros de encefalopatia hipertensiva, alguns dos quais fatais.</w:t>
      </w:r>
    </w:p>
    <w:p w14:paraId="139B0213" w14:textId="77777777" w:rsidR="00162CE2" w:rsidRPr="002606DB" w:rsidRDefault="00162CE2" w:rsidP="00056F35">
      <w:pPr>
        <w:pStyle w:val="a3"/>
        <w:adjustRightInd w:val="0"/>
        <w:snapToGrid w:val="0"/>
        <w:rPr>
          <w:snapToGrid w:val="0"/>
          <w:lang w:val="pt-PT"/>
        </w:rPr>
      </w:pPr>
    </w:p>
    <w:p w14:paraId="3CAB4362" w14:textId="2E99EDA4" w:rsidR="00162CE2" w:rsidRPr="002606DB" w:rsidRDefault="00162CE2" w:rsidP="00056F35">
      <w:pPr>
        <w:pStyle w:val="a3"/>
        <w:adjustRightInd w:val="0"/>
        <w:snapToGrid w:val="0"/>
        <w:rPr>
          <w:snapToGrid w:val="0"/>
          <w:lang w:val="pt-PT"/>
        </w:rPr>
      </w:pPr>
      <w:r w:rsidRPr="002606DB">
        <w:rPr>
          <w:snapToGrid w:val="0"/>
          <w:lang w:val="pt-PT"/>
        </w:rPr>
        <w:t>O risco de hipertensão arterial associada ao bevacizumab não esteve relacionado com as características iniciais do doente, com doença pré-existente ou com terapêutica concomitante.</w:t>
      </w:r>
    </w:p>
    <w:p w14:paraId="1144CE16" w14:textId="77777777" w:rsidR="00162CE2" w:rsidRPr="002606DB" w:rsidRDefault="00162CE2" w:rsidP="00056F35">
      <w:pPr>
        <w:pStyle w:val="a3"/>
        <w:adjustRightInd w:val="0"/>
        <w:snapToGrid w:val="0"/>
        <w:rPr>
          <w:snapToGrid w:val="0"/>
          <w:lang w:val="pt-PT"/>
        </w:rPr>
      </w:pPr>
    </w:p>
    <w:p w14:paraId="17A2E069" w14:textId="12324FEA" w:rsidR="00162CE2" w:rsidRPr="002606DB" w:rsidRDefault="00162CE2" w:rsidP="00056F35">
      <w:pPr>
        <w:adjustRightInd w:val="0"/>
        <w:snapToGrid w:val="0"/>
        <w:rPr>
          <w:snapToGrid w:val="0"/>
          <w:lang w:val="pt-PT"/>
        </w:rPr>
      </w:pPr>
      <w:r w:rsidRPr="001C687C">
        <w:rPr>
          <w:i/>
          <w:snapToGrid w:val="0"/>
          <w:u w:val="single"/>
          <w:lang w:val="pt-PT"/>
        </w:rPr>
        <w:t xml:space="preserve">Síndrome de </w:t>
      </w:r>
      <w:r w:rsidR="00A33E20">
        <w:rPr>
          <w:i/>
          <w:snapToGrid w:val="0"/>
          <w:u w:val="single"/>
          <w:lang w:val="pt-PT"/>
        </w:rPr>
        <w:t>e</w:t>
      </w:r>
      <w:r w:rsidRPr="001C687C">
        <w:rPr>
          <w:i/>
          <w:snapToGrid w:val="0"/>
          <w:u w:val="single"/>
          <w:lang w:val="pt-PT"/>
        </w:rPr>
        <w:t xml:space="preserve">ncefalopatia </w:t>
      </w:r>
      <w:r w:rsidR="00A33E20">
        <w:rPr>
          <w:i/>
          <w:snapToGrid w:val="0"/>
          <w:u w:val="single"/>
          <w:lang w:val="pt-PT"/>
        </w:rPr>
        <w:t>p</w:t>
      </w:r>
      <w:r w:rsidRPr="001C687C">
        <w:rPr>
          <w:i/>
          <w:snapToGrid w:val="0"/>
          <w:u w:val="single"/>
          <w:lang w:val="pt-PT"/>
        </w:rPr>
        <w:t xml:space="preserve">osterior </w:t>
      </w:r>
      <w:r w:rsidR="00A33E20">
        <w:rPr>
          <w:i/>
          <w:snapToGrid w:val="0"/>
          <w:u w:val="single"/>
          <w:lang w:val="pt-PT"/>
        </w:rPr>
        <w:t>r</w:t>
      </w:r>
      <w:r w:rsidRPr="001C687C">
        <w:rPr>
          <w:i/>
          <w:snapToGrid w:val="0"/>
          <w:u w:val="single"/>
          <w:lang w:val="pt-PT"/>
        </w:rPr>
        <w:t xml:space="preserve">eversível </w:t>
      </w:r>
      <w:r w:rsidRPr="002606DB">
        <w:rPr>
          <w:snapToGrid w:val="0"/>
          <w:lang w:val="pt-PT"/>
        </w:rPr>
        <w:t>(ver secção 4.4)</w:t>
      </w:r>
    </w:p>
    <w:p w14:paraId="5E87DB62" w14:textId="179574D8" w:rsidR="00162CE2" w:rsidRPr="002606DB" w:rsidRDefault="00162CE2" w:rsidP="00056F35">
      <w:pPr>
        <w:pStyle w:val="a3"/>
        <w:adjustRightInd w:val="0"/>
        <w:snapToGrid w:val="0"/>
        <w:rPr>
          <w:snapToGrid w:val="0"/>
          <w:lang w:val="pt-PT"/>
        </w:rPr>
      </w:pPr>
      <w:r w:rsidRPr="002606DB">
        <w:rPr>
          <w:snapToGrid w:val="0"/>
          <w:lang w:val="pt-PT"/>
        </w:rPr>
        <w:t>Têm sido notificados casos raros de doentes tratados com bevacizumab que desenvolveram sinais e sintomas consistentes com Síndrome de Encefalopatia Posterior Reversível (SEPR), uma doença neurológica rara. A sua apresentação pode incluir convulsões, cefaleia, alterações do estado mental, perturbações visuais ou cegueira cortical, com ou sem hipertensão arterial associada. A apresentação clínica do SEPR é normalmente inespecífica</w:t>
      </w:r>
      <w:r w:rsidR="00A60F40" w:rsidRPr="007155C0">
        <w:rPr>
          <w:lang w:val="pt-PT"/>
        </w:rPr>
        <w:t>,</w:t>
      </w:r>
      <w:r w:rsidRPr="002606DB">
        <w:rPr>
          <w:snapToGrid w:val="0"/>
          <w:lang w:val="pt-PT"/>
        </w:rPr>
        <w:t xml:space="preserve"> pelo que o diagnóstico de SEPR requer confirmação por imagiologia cerebral, preferencialmente MRI</w:t>
      </w:r>
      <w:r w:rsidR="009F0777">
        <w:rPr>
          <w:snapToGrid w:val="0"/>
          <w:lang w:val="pt-PT"/>
        </w:rPr>
        <w:t xml:space="preserve"> (</w:t>
      </w:r>
      <w:r w:rsidR="009F0777" w:rsidRPr="009F0777">
        <w:rPr>
          <w:snapToGrid w:val="0"/>
          <w:lang w:val="pt-PT"/>
        </w:rPr>
        <w:t>magnetic resonance imaging</w:t>
      </w:r>
      <w:r w:rsidR="009F0777">
        <w:rPr>
          <w:snapToGrid w:val="0"/>
          <w:lang w:val="pt-PT"/>
        </w:rPr>
        <w:t>)</w:t>
      </w:r>
      <w:r w:rsidRPr="002606DB">
        <w:rPr>
          <w:snapToGrid w:val="0"/>
          <w:lang w:val="pt-PT"/>
        </w:rPr>
        <w:t>.</w:t>
      </w:r>
    </w:p>
    <w:p w14:paraId="1CF82422" w14:textId="77777777" w:rsidR="00162CE2" w:rsidRPr="002606DB" w:rsidRDefault="00162CE2" w:rsidP="00056F35">
      <w:pPr>
        <w:pStyle w:val="a3"/>
        <w:adjustRightInd w:val="0"/>
        <w:snapToGrid w:val="0"/>
        <w:rPr>
          <w:snapToGrid w:val="0"/>
          <w:lang w:val="pt-PT"/>
        </w:rPr>
      </w:pPr>
    </w:p>
    <w:p w14:paraId="768EE48B" w14:textId="6BAEF0B0" w:rsidR="00162CE2" w:rsidRPr="002606DB" w:rsidRDefault="00162CE2" w:rsidP="00056F35">
      <w:pPr>
        <w:pStyle w:val="a3"/>
        <w:adjustRightInd w:val="0"/>
        <w:snapToGrid w:val="0"/>
        <w:rPr>
          <w:snapToGrid w:val="0"/>
          <w:lang w:val="pt-PT"/>
        </w:rPr>
      </w:pPr>
      <w:r w:rsidRPr="002606DB">
        <w:rPr>
          <w:snapToGrid w:val="0"/>
          <w:lang w:val="pt-PT"/>
        </w:rPr>
        <w:t>Nos doentes que desenvolvam SEPR, recomenda-se o reconhecimento precoce dos sintomas com tratamento imediato dos sintomas específicos, incluindo controlo da hipertensão (se associado a grave hipertensão arterial não controlada), juntamente com a descontinuação do tratamento com bevacizumab. Os sintomas normalmente desaparecem ou melhoram em dias após a descontinuação do tratamento, embora alguns doentes tenham sofrido alguma sequela neurológica. Desconhece-se a segurança de reiniciar a terapêutica com bevacizumab em doentes que tenham sofrido de SEPR.</w:t>
      </w:r>
    </w:p>
    <w:p w14:paraId="62E2B18A" w14:textId="77777777" w:rsidR="00162CE2" w:rsidRPr="002606DB" w:rsidRDefault="00162CE2" w:rsidP="00056F35">
      <w:pPr>
        <w:pStyle w:val="a3"/>
        <w:adjustRightInd w:val="0"/>
        <w:snapToGrid w:val="0"/>
        <w:rPr>
          <w:snapToGrid w:val="0"/>
          <w:lang w:val="pt-PT"/>
        </w:rPr>
      </w:pPr>
    </w:p>
    <w:p w14:paraId="2DC1DD84" w14:textId="77777777" w:rsidR="00162CE2" w:rsidRPr="002606DB" w:rsidRDefault="00162CE2" w:rsidP="00056F35">
      <w:pPr>
        <w:pStyle w:val="a3"/>
        <w:adjustRightInd w:val="0"/>
        <w:snapToGrid w:val="0"/>
        <w:rPr>
          <w:snapToGrid w:val="0"/>
          <w:lang w:val="pt-PT"/>
        </w:rPr>
      </w:pPr>
      <w:r w:rsidRPr="002606DB">
        <w:rPr>
          <w:snapToGrid w:val="0"/>
          <w:lang w:val="pt-PT"/>
        </w:rPr>
        <w:t>Foram notificados 8 casos de SEPR em ensaios clínicos. Dois dos oito casos não tiveram confirmação radiológica por MRI.</w:t>
      </w:r>
    </w:p>
    <w:p w14:paraId="015BD764" w14:textId="77777777" w:rsidR="00162CE2" w:rsidRPr="002606DB" w:rsidRDefault="00162CE2" w:rsidP="00056F35">
      <w:pPr>
        <w:adjustRightInd w:val="0"/>
        <w:snapToGrid w:val="0"/>
        <w:rPr>
          <w:snapToGrid w:val="0"/>
          <w:lang w:val="pt-PT"/>
        </w:rPr>
      </w:pPr>
    </w:p>
    <w:p w14:paraId="3B62C0EA" w14:textId="315490D1" w:rsidR="00162CE2" w:rsidRPr="002606DB" w:rsidRDefault="00162CE2" w:rsidP="00056F35">
      <w:pPr>
        <w:adjustRightInd w:val="0"/>
        <w:snapToGrid w:val="0"/>
        <w:rPr>
          <w:snapToGrid w:val="0"/>
          <w:lang w:val="pt-PT"/>
        </w:rPr>
      </w:pPr>
      <w:r w:rsidRPr="001C687C">
        <w:rPr>
          <w:i/>
          <w:snapToGrid w:val="0"/>
          <w:u w:val="single"/>
          <w:lang w:val="pt-PT"/>
        </w:rPr>
        <w:t>Proteinúria</w:t>
      </w:r>
      <w:r w:rsidRPr="002606DB">
        <w:rPr>
          <w:i/>
          <w:snapToGrid w:val="0"/>
          <w:lang w:val="pt-PT"/>
        </w:rPr>
        <w:t xml:space="preserve"> </w:t>
      </w:r>
      <w:r w:rsidRPr="002606DB">
        <w:rPr>
          <w:snapToGrid w:val="0"/>
          <w:lang w:val="pt-PT"/>
        </w:rPr>
        <w:t>(ver secção 4.4)</w:t>
      </w:r>
    </w:p>
    <w:p w14:paraId="568FA394" w14:textId="6E24DD92" w:rsidR="00162CE2" w:rsidRPr="002606DB" w:rsidRDefault="00162CE2" w:rsidP="00056F35">
      <w:pPr>
        <w:pStyle w:val="a3"/>
        <w:adjustRightInd w:val="0"/>
        <w:snapToGrid w:val="0"/>
        <w:rPr>
          <w:snapToGrid w:val="0"/>
          <w:lang w:val="pt-PT"/>
        </w:rPr>
      </w:pPr>
      <w:r w:rsidRPr="002606DB">
        <w:rPr>
          <w:snapToGrid w:val="0"/>
          <w:lang w:val="pt-PT"/>
        </w:rPr>
        <w:t>Em ensaios clínicos</w:t>
      </w:r>
      <w:r w:rsidR="00A60F40" w:rsidRPr="007155C0">
        <w:rPr>
          <w:lang w:val="pt-PT"/>
        </w:rPr>
        <w:t>,</w:t>
      </w:r>
      <w:r w:rsidRPr="002606DB">
        <w:rPr>
          <w:snapToGrid w:val="0"/>
          <w:lang w:val="pt-PT"/>
        </w:rPr>
        <w:t xml:space="preserve"> foram notificados casos de proteinúria no intervalo de 0,7% a 54,7% dos doentes tratados com bevacizumab.</w:t>
      </w:r>
    </w:p>
    <w:p w14:paraId="5F835083" w14:textId="77777777" w:rsidR="00162CE2" w:rsidRPr="002606DB" w:rsidRDefault="00162CE2" w:rsidP="00056F35">
      <w:pPr>
        <w:pStyle w:val="a3"/>
        <w:adjustRightInd w:val="0"/>
        <w:snapToGrid w:val="0"/>
        <w:rPr>
          <w:snapToGrid w:val="0"/>
          <w:lang w:val="pt-PT"/>
        </w:rPr>
      </w:pPr>
    </w:p>
    <w:p w14:paraId="4BB49312" w14:textId="5F103EB4" w:rsidR="00162CE2" w:rsidRPr="002606DB" w:rsidRDefault="00162CE2" w:rsidP="00056F35">
      <w:pPr>
        <w:pStyle w:val="a3"/>
        <w:adjustRightInd w:val="0"/>
        <w:snapToGrid w:val="0"/>
        <w:rPr>
          <w:snapToGrid w:val="0"/>
          <w:lang w:val="pt-PT"/>
        </w:rPr>
      </w:pPr>
      <w:r w:rsidRPr="002606DB">
        <w:rPr>
          <w:snapToGrid w:val="0"/>
          <w:lang w:val="pt-PT"/>
        </w:rPr>
        <w:t>A proteinúria variou em gravidade, desde clinicamente assintomática, transitória e vestigial até síndrome nefrótico, embora a grande maioria dos casos de proteinúria tenha sido de Grau 1 (NCI</w:t>
      </w:r>
      <w:r w:rsidR="005B3AE6" w:rsidRPr="002606DB">
        <w:rPr>
          <w:snapToGrid w:val="0"/>
          <w:lang w:val="pt-PT"/>
        </w:rPr>
        <w:noBreakHyphen/>
      </w:r>
      <w:r w:rsidRPr="002606DB">
        <w:rPr>
          <w:snapToGrid w:val="0"/>
          <w:lang w:val="pt-PT"/>
        </w:rPr>
        <w:t xml:space="preserve">CTCAE v.3). A proteinúria de Grau 3 foi notificada em até 10,9% dos doentes tratados. A proteinúria de Grau 4 (síndrome nefrótico) foi observada em até 1,4% dos doentes tratados. Recomenda-se a análise da proteinúria antes do início da terapêutica com </w:t>
      </w:r>
      <w:r w:rsidR="00FB2483">
        <w:rPr>
          <w:color w:val="000000"/>
          <w:lang w:val="pt-PT"/>
        </w:rPr>
        <w:t>Vegzelma</w:t>
      </w:r>
      <w:r w:rsidRPr="002606DB">
        <w:rPr>
          <w:snapToGrid w:val="0"/>
          <w:lang w:val="pt-PT"/>
        </w:rPr>
        <w:t xml:space="preserve">. Na maioria dos ensaios clínicos a existência de níveis de proteínas na urina </w:t>
      </w:r>
      <w:r w:rsidRPr="002606DB">
        <w:rPr>
          <w:rFonts w:ascii="Symbol" w:hAnsi="Symbol"/>
          <w:snapToGrid w:val="0"/>
          <w:lang w:val="pt-PT"/>
        </w:rPr>
        <w:t></w:t>
      </w:r>
      <w:r w:rsidRPr="002606DB">
        <w:rPr>
          <w:snapToGrid w:val="0"/>
          <w:lang w:val="pt-PT"/>
        </w:rPr>
        <w:t xml:space="preserve"> 2g /24 horas conduziu à suspensão de bevacizumab até à recuperação para valores &lt; 2g/24 horas.</w:t>
      </w:r>
    </w:p>
    <w:p w14:paraId="697AFF70" w14:textId="77777777" w:rsidR="00162CE2" w:rsidRPr="002606DB" w:rsidRDefault="00162CE2" w:rsidP="00056F35">
      <w:pPr>
        <w:pStyle w:val="a3"/>
        <w:adjustRightInd w:val="0"/>
        <w:snapToGrid w:val="0"/>
        <w:rPr>
          <w:snapToGrid w:val="0"/>
          <w:lang w:val="pt-PT"/>
        </w:rPr>
      </w:pPr>
    </w:p>
    <w:p w14:paraId="2EA66D17" w14:textId="18A11D27" w:rsidR="00162CE2" w:rsidRPr="002606DB" w:rsidRDefault="00162CE2" w:rsidP="00056F35">
      <w:pPr>
        <w:adjustRightInd w:val="0"/>
        <w:snapToGrid w:val="0"/>
        <w:rPr>
          <w:snapToGrid w:val="0"/>
          <w:lang w:val="pt-PT"/>
        </w:rPr>
      </w:pPr>
      <w:r w:rsidRPr="001C687C">
        <w:rPr>
          <w:i/>
          <w:snapToGrid w:val="0"/>
          <w:u w:val="single"/>
          <w:lang w:val="pt-PT"/>
        </w:rPr>
        <w:t xml:space="preserve">Hemorragia </w:t>
      </w:r>
      <w:r w:rsidRPr="002606DB">
        <w:rPr>
          <w:snapToGrid w:val="0"/>
          <w:lang w:val="pt-PT"/>
        </w:rPr>
        <w:t>(ver secção 4.4)</w:t>
      </w:r>
    </w:p>
    <w:p w14:paraId="41B3D96E" w14:textId="219FDF3F" w:rsidR="00162CE2" w:rsidRPr="002606DB" w:rsidRDefault="00162CE2" w:rsidP="00056F35">
      <w:pPr>
        <w:pStyle w:val="a3"/>
        <w:adjustRightInd w:val="0"/>
        <w:snapToGrid w:val="0"/>
        <w:rPr>
          <w:snapToGrid w:val="0"/>
          <w:lang w:val="pt-PT"/>
        </w:rPr>
      </w:pPr>
      <w:r w:rsidRPr="002606DB">
        <w:rPr>
          <w:snapToGrid w:val="0"/>
          <w:lang w:val="pt-PT"/>
        </w:rPr>
        <w:t>Em ensaios clínicos realizados em várias indicações, a incidência global de reações hemorrágicas de Grau 3-5 do NCI</w:t>
      </w:r>
      <w:r w:rsidR="005B3AE6" w:rsidRPr="002606DB">
        <w:rPr>
          <w:snapToGrid w:val="0"/>
          <w:lang w:val="pt-PT"/>
        </w:rPr>
        <w:noBreakHyphen/>
      </w:r>
      <w:r w:rsidRPr="002606DB">
        <w:rPr>
          <w:snapToGrid w:val="0"/>
          <w:lang w:val="pt-PT"/>
        </w:rPr>
        <w:t>CTCAE v.3 variou de 0,4% a 6,9% nos doentes tratados com bevacizumab, comparativamente com até 4,5% dos doentes no grupo controlo de quimioterapia.</w:t>
      </w:r>
    </w:p>
    <w:p w14:paraId="2BA93524" w14:textId="77777777" w:rsidR="00162CE2" w:rsidRPr="002606DB" w:rsidRDefault="00162CE2" w:rsidP="00056F35">
      <w:pPr>
        <w:pStyle w:val="a3"/>
        <w:adjustRightInd w:val="0"/>
        <w:snapToGrid w:val="0"/>
        <w:rPr>
          <w:snapToGrid w:val="0"/>
          <w:lang w:val="pt-PT"/>
        </w:rPr>
      </w:pPr>
    </w:p>
    <w:p w14:paraId="15687A4D" w14:textId="1C64B87B" w:rsidR="00162CE2" w:rsidRPr="002606DB" w:rsidRDefault="00162CE2" w:rsidP="00056F35">
      <w:pPr>
        <w:pStyle w:val="a3"/>
        <w:adjustRightInd w:val="0"/>
        <w:snapToGrid w:val="0"/>
        <w:rPr>
          <w:snapToGrid w:val="0"/>
          <w:lang w:val="pt-PT"/>
        </w:rPr>
      </w:pPr>
      <w:r w:rsidRPr="002606DB">
        <w:rPr>
          <w:snapToGrid w:val="0"/>
          <w:lang w:val="pt-PT"/>
        </w:rPr>
        <w:t>Num ensaio clínico em doentes com cancro do colo do útero com doença persistente, recorrente ou metastizada (estudo GOG</w:t>
      </w:r>
      <w:r w:rsidR="005B3AE6" w:rsidRPr="002606DB">
        <w:rPr>
          <w:snapToGrid w:val="0"/>
          <w:lang w:val="pt-PT"/>
        </w:rPr>
        <w:noBreakHyphen/>
      </w:r>
      <w:r w:rsidRPr="002606DB">
        <w:rPr>
          <w:snapToGrid w:val="0"/>
          <w:lang w:val="pt-PT"/>
        </w:rPr>
        <w:t>0240), foram notificadas reações hemorrágicas de grau 3-5 em até 8,3% das doentes tratadas com bevacizumab em associação com paclitaxel e topotecano</w:t>
      </w:r>
      <w:r w:rsidR="00A60F40" w:rsidRPr="007155C0">
        <w:rPr>
          <w:lang w:val="pt-PT"/>
        </w:rPr>
        <w:t>,</w:t>
      </w:r>
      <w:r w:rsidRPr="002606DB">
        <w:rPr>
          <w:snapToGrid w:val="0"/>
          <w:lang w:val="pt-PT"/>
        </w:rPr>
        <w:t xml:space="preserve"> comparativamente com </w:t>
      </w:r>
      <w:r w:rsidRPr="002606DB">
        <w:rPr>
          <w:snapToGrid w:val="0"/>
          <w:lang w:val="pt-PT"/>
        </w:rPr>
        <w:lastRenderedPageBreak/>
        <w:t>até 4,6% em doentes tratadas com paclitaxel e topotecano.</w:t>
      </w:r>
    </w:p>
    <w:p w14:paraId="642895BE" w14:textId="77777777" w:rsidR="00162CE2" w:rsidRPr="002606DB" w:rsidRDefault="00162CE2" w:rsidP="00056F35">
      <w:pPr>
        <w:pStyle w:val="a3"/>
        <w:adjustRightInd w:val="0"/>
        <w:snapToGrid w:val="0"/>
        <w:rPr>
          <w:snapToGrid w:val="0"/>
          <w:lang w:val="pt-PT"/>
        </w:rPr>
      </w:pPr>
    </w:p>
    <w:p w14:paraId="04057597" w14:textId="74EABBDB" w:rsidR="00162CE2" w:rsidRPr="002606DB" w:rsidRDefault="00162CE2" w:rsidP="00056F35">
      <w:pPr>
        <w:pStyle w:val="a3"/>
        <w:adjustRightInd w:val="0"/>
        <w:snapToGrid w:val="0"/>
        <w:rPr>
          <w:snapToGrid w:val="0"/>
          <w:lang w:val="pt-PT"/>
        </w:rPr>
      </w:pPr>
      <w:r w:rsidRPr="002606DB">
        <w:rPr>
          <w:snapToGrid w:val="0"/>
          <w:lang w:val="pt-PT"/>
        </w:rPr>
        <w:t>As reações hemorrágicas observadas nos ensaios clínicos foram predominantemente hemorragia associada ao tumor (ver a seguir) e hemorragias mucocutâneas ligeiras (por exemplo</w:t>
      </w:r>
      <w:r w:rsidR="00CD4CF6">
        <w:rPr>
          <w:snapToGrid w:val="0"/>
          <w:lang w:val="pt-PT"/>
        </w:rPr>
        <w:t>,</w:t>
      </w:r>
      <w:r w:rsidRPr="002606DB">
        <w:rPr>
          <w:snapToGrid w:val="0"/>
          <w:lang w:val="pt-PT"/>
        </w:rPr>
        <w:t xml:space="preserve"> epistaxe).</w:t>
      </w:r>
    </w:p>
    <w:p w14:paraId="607CD3FB" w14:textId="77777777" w:rsidR="00162CE2" w:rsidRPr="002606DB" w:rsidRDefault="00162CE2" w:rsidP="00056F35">
      <w:pPr>
        <w:pStyle w:val="a3"/>
        <w:adjustRightInd w:val="0"/>
        <w:snapToGrid w:val="0"/>
        <w:rPr>
          <w:snapToGrid w:val="0"/>
          <w:lang w:val="pt-PT"/>
        </w:rPr>
      </w:pPr>
    </w:p>
    <w:p w14:paraId="2FDD31E1" w14:textId="73363068" w:rsidR="00162CE2" w:rsidRPr="002606DB" w:rsidRDefault="00162CE2" w:rsidP="00056F35">
      <w:pPr>
        <w:adjustRightInd w:val="0"/>
        <w:snapToGrid w:val="0"/>
        <w:rPr>
          <w:snapToGrid w:val="0"/>
          <w:lang w:val="pt-PT"/>
        </w:rPr>
      </w:pPr>
      <w:r w:rsidRPr="001C687C">
        <w:rPr>
          <w:i/>
          <w:snapToGrid w:val="0"/>
          <w:u w:val="single"/>
          <w:lang w:val="pt-PT"/>
        </w:rPr>
        <w:t>Hemorragia associada ao tumor</w:t>
      </w:r>
      <w:r w:rsidRPr="002606DB">
        <w:rPr>
          <w:i/>
          <w:snapToGrid w:val="0"/>
          <w:lang w:val="pt-PT"/>
        </w:rPr>
        <w:t xml:space="preserve"> </w:t>
      </w:r>
      <w:r w:rsidRPr="002606DB">
        <w:rPr>
          <w:snapToGrid w:val="0"/>
          <w:lang w:val="pt-PT"/>
        </w:rPr>
        <w:t>(ver secção 4.4)</w:t>
      </w:r>
    </w:p>
    <w:p w14:paraId="54F92A9C" w14:textId="1A631232" w:rsidR="00162CE2" w:rsidRPr="002606DB" w:rsidRDefault="00162CE2" w:rsidP="00AD2204">
      <w:pPr>
        <w:pStyle w:val="a3"/>
        <w:adjustRightInd w:val="0"/>
        <w:snapToGrid w:val="0"/>
        <w:rPr>
          <w:snapToGrid w:val="0"/>
          <w:lang w:val="pt-PT"/>
        </w:rPr>
      </w:pPr>
      <w:r w:rsidRPr="002606DB">
        <w:rPr>
          <w:snapToGrid w:val="0"/>
          <w:lang w:val="pt-PT"/>
        </w:rPr>
        <w:t xml:space="preserve">Casos de hemorragia pulmonar/hemoptise </w:t>
      </w:r>
      <w:r w:rsidRPr="002606DB">
        <w:rPr>
          <w:i/>
          <w:snapToGrid w:val="0"/>
          <w:lang w:val="pt-PT"/>
        </w:rPr>
        <w:t xml:space="preserve">major </w:t>
      </w:r>
      <w:r w:rsidRPr="002606DB">
        <w:rPr>
          <w:snapToGrid w:val="0"/>
          <w:lang w:val="pt-PT"/>
        </w:rPr>
        <w:t xml:space="preserve">ou maciça foram observados principalmente em ensaios realizados com doentes com </w:t>
      </w:r>
      <w:r w:rsidR="005B3AE6" w:rsidRPr="002606DB">
        <w:rPr>
          <w:snapToGrid w:val="0"/>
          <w:lang w:val="pt-PT"/>
        </w:rPr>
        <w:t>NSCLC</w:t>
      </w:r>
      <w:r w:rsidRPr="002606DB">
        <w:rPr>
          <w:snapToGrid w:val="0"/>
          <w:lang w:val="pt-PT"/>
        </w:rPr>
        <w:t>. Os possíveis fatores de risco incluem histologia celular escamosa, tratamento com medicamentos</w:t>
      </w:r>
      <w:r w:rsidR="00AD2204" w:rsidRPr="002606DB">
        <w:rPr>
          <w:snapToGrid w:val="0"/>
          <w:lang w:val="pt-PT"/>
        </w:rPr>
        <w:t xml:space="preserve"> </w:t>
      </w:r>
      <w:r w:rsidRPr="002606DB">
        <w:rPr>
          <w:snapToGrid w:val="0"/>
          <w:lang w:val="pt-PT"/>
        </w:rPr>
        <w:t>anti</w:t>
      </w:r>
      <w:r w:rsidR="009512A7" w:rsidRPr="007155C0">
        <w:rPr>
          <w:lang w:val="pt-PT"/>
        </w:rPr>
        <w:t>r</w:t>
      </w:r>
      <w:r w:rsidRPr="002606DB">
        <w:rPr>
          <w:snapToGrid w:val="0"/>
          <w:lang w:val="pt-PT"/>
        </w:rPr>
        <w:t>reumáticos/anti</w:t>
      </w:r>
      <w:r w:rsidR="005B3AE6" w:rsidRPr="002606DB">
        <w:rPr>
          <w:snapToGrid w:val="0"/>
          <w:lang w:val="pt-PT"/>
        </w:rPr>
        <w:noBreakHyphen/>
      </w:r>
      <w:r w:rsidRPr="002606DB">
        <w:rPr>
          <w:snapToGrid w:val="0"/>
          <w:lang w:val="pt-PT"/>
        </w:rPr>
        <w:t xml:space="preserve">inflamatórios, tratamento com anticoagulantes, radioterapia anterior, terapêutica com bevacizumab, antecedentes médicos de aterosclerose, localização central do tumor e cavitação do tumor antes ou durante a terapêutica. As únicas variáveis que mostraram estar correlacionadas de uma forma estatisticamente significativa com hemorragia foram a terapêutica com bevacizumab e a histologia celular escamosa. Doentes com </w:t>
      </w:r>
      <w:r w:rsidR="00013970">
        <w:rPr>
          <w:snapToGrid w:val="0"/>
          <w:lang w:val="pt-PT"/>
        </w:rPr>
        <w:t>NSCLC</w:t>
      </w:r>
      <w:r w:rsidRPr="002606DB">
        <w:rPr>
          <w:snapToGrid w:val="0"/>
          <w:lang w:val="pt-PT"/>
        </w:rPr>
        <w:t xml:space="preserve"> com histologia celular do tipo escamosa ou mista conhecida com predominância de histologia celular escamosa foram excluídos de estudos de fase III subsequentes, embora tenham sido incluídos doentes com histologia tumoral desconhecida.</w:t>
      </w:r>
    </w:p>
    <w:p w14:paraId="75E48773" w14:textId="77777777" w:rsidR="00162CE2" w:rsidRPr="002606DB" w:rsidRDefault="00162CE2" w:rsidP="00056F35">
      <w:pPr>
        <w:pStyle w:val="a3"/>
        <w:adjustRightInd w:val="0"/>
        <w:snapToGrid w:val="0"/>
        <w:rPr>
          <w:snapToGrid w:val="0"/>
          <w:lang w:val="pt-PT"/>
        </w:rPr>
      </w:pPr>
    </w:p>
    <w:p w14:paraId="5B2D2C61" w14:textId="42B5766A" w:rsidR="00162CE2" w:rsidRPr="002606DB" w:rsidRDefault="00162CE2" w:rsidP="00056F35">
      <w:pPr>
        <w:pStyle w:val="a3"/>
        <w:adjustRightInd w:val="0"/>
        <w:snapToGrid w:val="0"/>
        <w:rPr>
          <w:snapToGrid w:val="0"/>
          <w:lang w:val="pt-PT"/>
        </w:rPr>
      </w:pPr>
      <w:r w:rsidRPr="002606DB">
        <w:rPr>
          <w:snapToGrid w:val="0"/>
          <w:lang w:val="pt-PT"/>
        </w:rPr>
        <w:t>Em doentes com</w:t>
      </w:r>
      <w:r w:rsidR="00013970">
        <w:rPr>
          <w:snapToGrid w:val="0"/>
          <w:lang w:val="pt-PT"/>
        </w:rPr>
        <w:t xml:space="preserve"> </w:t>
      </w:r>
      <w:r w:rsidR="00194BA3">
        <w:rPr>
          <w:snapToGrid w:val="0"/>
          <w:lang w:val="pt-PT"/>
        </w:rPr>
        <w:t>NSCLC</w:t>
      </w:r>
      <w:r w:rsidRPr="002606DB">
        <w:rPr>
          <w:snapToGrid w:val="0"/>
          <w:lang w:val="pt-PT"/>
        </w:rPr>
        <w:t xml:space="preserve">, excluindo histologia com predomínio de células escamosas, observaram-se reações de todos os Graus com uma frequência até 9,3% quando tratados com bevacizumab mais quimioterapia, comparativamente com até 5% nos doentes tratados só com quimioterapia. Observaram-se reações de Grau 3-5 em até 2,3% de doentes tratados com bevacizumab mais quimioterapia, comparativamente com &lt; 1% em doentes só a fazer quimioterapia (NCI-CTCAE v.3). Podem ocorrer repentinamente casos de hemorragia pulmonar/hemoptise </w:t>
      </w:r>
      <w:r w:rsidRPr="002606DB">
        <w:rPr>
          <w:i/>
          <w:snapToGrid w:val="0"/>
          <w:lang w:val="pt-PT"/>
        </w:rPr>
        <w:t xml:space="preserve">major </w:t>
      </w:r>
      <w:r w:rsidRPr="002606DB">
        <w:rPr>
          <w:snapToGrid w:val="0"/>
          <w:lang w:val="pt-PT"/>
        </w:rPr>
        <w:t>ou maciça e até dois terços dos casos de hemorragia pulmonar grave foram fatais.</w:t>
      </w:r>
    </w:p>
    <w:p w14:paraId="6F0C6AC3" w14:textId="77777777" w:rsidR="00162CE2" w:rsidRPr="002606DB" w:rsidRDefault="00162CE2" w:rsidP="00056F35">
      <w:pPr>
        <w:pStyle w:val="a3"/>
        <w:adjustRightInd w:val="0"/>
        <w:snapToGrid w:val="0"/>
        <w:rPr>
          <w:snapToGrid w:val="0"/>
          <w:lang w:val="pt-PT"/>
        </w:rPr>
      </w:pPr>
    </w:p>
    <w:p w14:paraId="4A68BFC3" w14:textId="77777777" w:rsidR="00162CE2" w:rsidRPr="002606DB" w:rsidRDefault="00162CE2" w:rsidP="00056F35">
      <w:pPr>
        <w:pStyle w:val="a3"/>
        <w:adjustRightInd w:val="0"/>
        <w:snapToGrid w:val="0"/>
        <w:rPr>
          <w:snapToGrid w:val="0"/>
          <w:lang w:val="pt-PT"/>
        </w:rPr>
      </w:pPr>
      <w:r w:rsidRPr="002606DB">
        <w:rPr>
          <w:snapToGrid w:val="0"/>
          <w:lang w:val="pt-PT"/>
        </w:rPr>
        <w:t>Hemorragias gastrointestinais incluindo hemorragia retal e melena foram notificadas em doentes com cancro colo-retal e têm sido avaliadas como hemorragias associadas ao tumor.</w:t>
      </w:r>
    </w:p>
    <w:p w14:paraId="2F917EAC" w14:textId="77777777" w:rsidR="00162CE2" w:rsidRPr="002606DB" w:rsidRDefault="00162CE2" w:rsidP="00056F35">
      <w:pPr>
        <w:pStyle w:val="a3"/>
        <w:adjustRightInd w:val="0"/>
        <w:snapToGrid w:val="0"/>
        <w:rPr>
          <w:snapToGrid w:val="0"/>
          <w:lang w:val="pt-PT"/>
        </w:rPr>
      </w:pPr>
    </w:p>
    <w:p w14:paraId="7BB5565C" w14:textId="4C984A15" w:rsidR="00162CE2" w:rsidRPr="002606DB" w:rsidRDefault="00162CE2" w:rsidP="00056F35">
      <w:pPr>
        <w:pStyle w:val="a3"/>
        <w:adjustRightInd w:val="0"/>
        <w:snapToGrid w:val="0"/>
        <w:rPr>
          <w:snapToGrid w:val="0"/>
          <w:lang w:val="pt-PT"/>
        </w:rPr>
      </w:pPr>
      <w:r w:rsidRPr="002606DB">
        <w:rPr>
          <w:snapToGrid w:val="0"/>
          <w:lang w:val="pt-PT"/>
        </w:rPr>
        <w:t>A hemorragia associada ao tumor foi também observada raramente em outros tipos e localizações tumorais, incluindo casos de hemorragia do sistema nervoso central (SNC), em doentes com metástases no SNC (ver secção 4.4).</w:t>
      </w:r>
    </w:p>
    <w:p w14:paraId="76BF0B5E" w14:textId="77777777" w:rsidR="00162CE2" w:rsidRPr="002606DB" w:rsidRDefault="00162CE2" w:rsidP="00056F35">
      <w:pPr>
        <w:pStyle w:val="a3"/>
        <w:adjustRightInd w:val="0"/>
        <w:snapToGrid w:val="0"/>
        <w:rPr>
          <w:snapToGrid w:val="0"/>
          <w:lang w:val="pt-PT"/>
        </w:rPr>
      </w:pPr>
    </w:p>
    <w:p w14:paraId="41EE55A0" w14:textId="6F9F3A08" w:rsidR="00162CE2" w:rsidRPr="002606DB" w:rsidRDefault="00162CE2" w:rsidP="00AD2204">
      <w:pPr>
        <w:pStyle w:val="a3"/>
        <w:keepNext/>
        <w:widowControl/>
        <w:adjustRightInd w:val="0"/>
        <w:snapToGrid w:val="0"/>
        <w:rPr>
          <w:snapToGrid w:val="0"/>
          <w:lang w:val="pt-PT"/>
        </w:rPr>
      </w:pPr>
      <w:r w:rsidRPr="002606DB">
        <w:rPr>
          <w:snapToGrid w:val="0"/>
          <w:lang w:val="pt-PT"/>
        </w:rPr>
        <w:t>A incidência de hemorragia do SNC em doentes com metástases do SNC não tratadas a receber bevacizumab não foi avaliada prospectivamente em ensaios clínicos aleatorizados. Numa análise exploratória retrospetiva de dados de 13 ensaios aleatorizados completos em doentes com vários tipos de tumor, 3 de 91 doentes com metástases cerebrais (3,3%) apresentaram hemorragia do SNC (todas de Grau 4) quando tratados com bevacizumab, comparativamente a 1 caso (Grau 5) em 96 doentes (1%) que não foram expostos a bevacizumab. Em dois estudos subsequentes em doentes com metástases cerebrais tratadas (que incluíram cerca de 800 doentes), foi notificado um caso de hemorragia do SNC de Grau 2 em 83 indivíduos tratados com bevacizumab (1,2%) na altura da análise de segurança interina (NCI</w:t>
      </w:r>
      <w:r w:rsidR="005B3AE6" w:rsidRPr="002606DB">
        <w:rPr>
          <w:snapToGrid w:val="0"/>
          <w:lang w:val="pt-PT"/>
        </w:rPr>
        <w:noBreakHyphen/>
      </w:r>
      <w:r w:rsidRPr="002606DB">
        <w:rPr>
          <w:snapToGrid w:val="0"/>
          <w:lang w:val="pt-PT"/>
        </w:rPr>
        <w:t>CTCAE v.3).</w:t>
      </w:r>
    </w:p>
    <w:p w14:paraId="6F57B2DD" w14:textId="77777777" w:rsidR="00162CE2" w:rsidRPr="002606DB" w:rsidRDefault="00162CE2" w:rsidP="00056F35">
      <w:pPr>
        <w:pStyle w:val="a3"/>
        <w:adjustRightInd w:val="0"/>
        <w:snapToGrid w:val="0"/>
        <w:rPr>
          <w:snapToGrid w:val="0"/>
          <w:lang w:val="pt-PT"/>
        </w:rPr>
      </w:pPr>
    </w:p>
    <w:p w14:paraId="1275BD07" w14:textId="2C159B2D" w:rsidR="00162CE2" w:rsidRPr="002606DB" w:rsidRDefault="00162CE2" w:rsidP="00056F35">
      <w:pPr>
        <w:pStyle w:val="a3"/>
        <w:adjustRightInd w:val="0"/>
        <w:snapToGrid w:val="0"/>
        <w:rPr>
          <w:snapToGrid w:val="0"/>
          <w:lang w:val="pt-PT"/>
        </w:rPr>
      </w:pPr>
      <w:r w:rsidRPr="002606DB">
        <w:rPr>
          <w:snapToGrid w:val="0"/>
          <w:lang w:val="pt-PT"/>
        </w:rPr>
        <w:t>No âmbito de todos os ensaios clínicos, foi observada hemorragia mucocutânea em até 50% dos doentes tratados com bevacizumab. A maioria destas reações foi epistaxe de Grau 1, NCI</w:t>
      </w:r>
      <w:r w:rsidR="005B3AE6" w:rsidRPr="002606DB">
        <w:rPr>
          <w:snapToGrid w:val="0"/>
          <w:lang w:val="pt-PT"/>
        </w:rPr>
        <w:noBreakHyphen/>
      </w:r>
      <w:r w:rsidRPr="002606DB">
        <w:rPr>
          <w:snapToGrid w:val="0"/>
          <w:lang w:val="pt-PT"/>
        </w:rPr>
        <w:t xml:space="preserve">CTCAE v.3, com duração inferior a 5 minutos, resolvendo-se sem qualquer intervenção médica e que não implicou alterações no regime de tratamento de bevacizumab. A informação clínica de segurança sugere que a incidência de hemorragia mucocutânea </w:t>
      </w:r>
      <w:r w:rsidRPr="002606DB">
        <w:rPr>
          <w:i/>
          <w:snapToGrid w:val="0"/>
          <w:lang w:val="pt-PT"/>
        </w:rPr>
        <w:t xml:space="preserve">minor </w:t>
      </w:r>
      <w:r w:rsidRPr="002606DB">
        <w:rPr>
          <w:snapToGrid w:val="0"/>
          <w:lang w:val="pt-PT"/>
        </w:rPr>
        <w:t>(por ex. epistaxe) pode ser dose</w:t>
      </w:r>
      <w:r w:rsidR="005B3AE6" w:rsidRPr="002606DB">
        <w:rPr>
          <w:snapToGrid w:val="0"/>
          <w:lang w:val="pt-PT"/>
        </w:rPr>
        <w:noBreakHyphen/>
      </w:r>
      <w:r w:rsidRPr="002606DB">
        <w:rPr>
          <w:snapToGrid w:val="0"/>
          <w:lang w:val="pt-PT"/>
        </w:rPr>
        <w:t>dependente.</w:t>
      </w:r>
    </w:p>
    <w:p w14:paraId="49E16905" w14:textId="77777777" w:rsidR="00162CE2" w:rsidRPr="002606DB" w:rsidRDefault="00162CE2" w:rsidP="00056F35">
      <w:pPr>
        <w:pStyle w:val="a3"/>
        <w:adjustRightInd w:val="0"/>
        <w:snapToGrid w:val="0"/>
        <w:rPr>
          <w:snapToGrid w:val="0"/>
          <w:lang w:val="pt-PT"/>
        </w:rPr>
      </w:pPr>
    </w:p>
    <w:p w14:paraId="6786B67C" w14:textId="77777777" w:rsidR="00162CE2" w:rsidRPr="002606DB" w:rsidRDefault="00162CE2" w:rsidP="00056F35">
      <w:pPr>
        <w:pStyle w:val="a3"/>
        <w:adjustRightInd w:val="0"/>
        <w:snapToGrid w:val="0"/>
        <w:rPr>
          <w:snapToGrid w:val="0"/>
          <w:lang w:val="pt-PT"/>
        </w:rPr>
      </w:pPr>
      <w:r w:rsidRPr="002606DB">
        <w:rPr>
          <w:snapToGrid w:val="0"/>
          <w:lang w:val="pt-PT"/>
        </w:rPr>
        <w:t>Também foram observadas reações menos frequentes de hemorragia mucocutânea ligeira em diferentes localizações, tais como hemorragia gengival ou hemorragia vaginal.</w:t>
      </w:r>
    </w:p>
    <w:p w14:paraId="3613B2CD" w14:textId="77777777" w:rsidR="00162CE2" w:rsidRPr="002606DB" w:rsidRDefault="00162CE2" w:rsidP="00056F35">
      <w:pPr>
        <w:pStyle w:val="a3"/>
        <w:adjustRightInd w:val="0"/>
        <w:snapToGrid w:val="0"/>
        <w:rPr>
          <w:snapToGrid w:val="0"/>
          <w:lang w:val="pt-PT"/>
        </w:rPr>
      </w:pPr>
    </w:p>
    <w:p w14:paraId="2CBF30B3" w14:textId="53EEE7A3" w:rsidR="00162CE2" w:rsidRPr="002606DB" w:rsidRDefault="00162CE2" w:rsidP="00056F35">
      <w:pPr>
        <w:adjustRightInd w:val="0"/>
        <w:snapToGrid w:val="0"/>
        <w:rPr>
          <w:snapToGrid w:val="0"/>
          <w:lang w:val="pt-PT"/>
        </w:rPr>
      </w:pPr>
      <w:r w:rsidRPr="001C687C">
        <w:rPr>
          <w:i/>
          <w:snapToGrid w:val="0"/>
          <w:u w:val="single"/>
          <w:lang w:val="pt-PT"/>
        </w:rPr>
        <w:t>Tromboembolismo</w:t>
      </w:r>
      <w:r w:rsidRPr="002606DB">
        <w:rPr>
          <w:i/>
          <w:snapToGrid w:val="0"/>
          <w:lang w:val="pt-PT"/>
        </w:rPr>
        <w:t xml:space="preserve"> </w:t>
      </w:r>
      <w:r w:rsidRPr="002606DB">
        <w:rPr>
          <w:snapToGrid w:val="0"/>
          <w:lang w:val="pt-PT"/>
        </w:rPr>
        <w:t>(ver secção 4.4)</w:t>
      </w:r>
    </w:p>
    <w:p w14:paraId="3DBC0EC8" w14:textId="77777777" w:rsidR="00162CE2" w:rsidRPr="002606DB" w:rsidRDefault="00162CE2" w:rsidP="00056F35">
      <w:pPr>
        <w:pStyle w:val="a3"/>
        <w:adjustRightInd w:val="0"/>
        <w:snapToGrid w:val="0"/>
        <w:rPr>
          <w:snapToGrid w:val="0"/>
          <w:lang w:val="pt-PT"/>
        </w:rPr>
      </w:pPr>
    </w:p>
    <w:p w14:paraId="728FDAA1" w14:textId="61F6F984" w:rsidR="00162CE2" w:rsidRPr="002606DB" w:rsidRDefault="00162CE2" w:rsidP="00056F35">
      <w:pPr>
        <w:pStyle w:val="a3"/>
        <w:adjustRightInd w:val="0"/>
        <w:snapToGrid w:val="0"/>
        <w:rPr>
          <w:snapToGrid w:val="0"/>
          <w:lang w:val="pt-PT"/>
        </w:rPr>
      </w:pPr>
      <w:r w:rsidRPr="002606DB">
        <w:rPr>
          <w:i/>
          <w:snapToGrid w:val="0"/>
          <w:lang w:val="pt-PT"/>
        </w:rPr>
        <w:t xml:space="preserve">Tromboembolismo arterial: </w:t>
      </w:r>
      <w:r w:rsidRPr="002606DB">
        <w:rPr>
          <w:snapToGrid w:val="0"/>
          <w:lang w:val="pt-PT"/>
        </w:rPr>
        <w:t xml:space="preserve">Observou-se um aumento da incidência de reações tromboembólicas arteriais em doentes tratados com </w:t>
      </w:r>
      <w:r w:rsidR="000049B1">
        <w:rPr>
          <w:snapToGrid w:val="0"/>
          <w:lang w:val="pt-PT"/>
        </w:rPr>
        <w:t>bevacizumab</w:t>
      </w:r>
      <w:r w:rsidR="000049B1" w:rsidRPr="002606DB">
        <w:rPr>
          <w:snapToGrid w:val="0"/>
          <w:lang w:val="pt-PT"/>
        </w:rPr>
        <w:t xml:space="preserve"> </w:t>
      </w:r>
      <w:r w:rsidRPr="002606DB">
        <w:rPr>
          <w:snapToGrid w:val="0"/>
          <w:lang w:val="pt-PT"/>
        </w:rPr>
        <w:t>em várias indicações, incluindo acidentes vasculares cerebrais, enfarte do miocárdio, acidente isquémico transitório e outras reações tromboembólicas arteriais.</w:t>
      </w:r>
    </w:p>
    <w:p w14:paraId="13C359BD" w14:textId="77777777" w:rsidR="00162CE2" w:rsidRPr="002606DB" w:rsidRDefault="00162CE2" w:rsidP="00056F35">
      <w:pPr>
        <w:pStyle w:val="a3"/>
        <w:adjustRightInd w:val="0"/>
        <w:snapToGrid w:val="0"/>
        <w:rPr>
          <w:snapToGrid w:val="0"/>
          <w:lang w:val="pt-PT"/>
        </w:rPr>
      </w:pPr>
    </w:p>
    <w:p w14:paraId="485655E4" w14:textId="73C5925E" w:rsidR="00162CE2" w:rsidRPr="002606DB" w:rsidRDefault="00162CE2" w:rsidP="00056F35">
      <w:pPr>
        <w:pStyle w:val="a3"/>
        <w:adjustRightInd w:val="0"/>
        <w:snapToGrid w:val="0"/>
        <w:rPr>
          <w:snapToGrid w:val="0"/>
          <w:lang w:val="pt-PT"/>
        </w:rPr>
      </w:pPr>
      <w:r w:rsidRPr="002606DB">
        <w:rPr>
          <w:snapToGrid w:val="0"/>
          <w:lang w:val="pt-PT"/>
        </w:rPr>
        <w:t xml:space="preserve">Nos ensaios clínicos, a incidência global de reações tromboembólicas arteriais variou até 3,8% nos </w:t>
      </w:r>
      <w:r w:rsidR="00B72472">
        <w:rPr>
          <w:snapToGrid w:val="0"/>
          <w:lang w:val="pt-PT"/>
        </w:rPr>
        <w:t>grupo</w:t>
      </w:r>
      <w:r w:rsidRPr="002606DB">
        <w:rPr>
          <w:snapToGrid w:val="0"/>
          <w:lang w:val="pt-PT"/>
        </w:rPr>
        <w:t xml:space="preserve">s com bevacizumab, comparativamente com até 2,1% nos </w:t>
      </w:r>
      <w:r w:rsidR="00B72472">
        <w:rPr>
          <w:snapToGrid w:val="0"/>
          <w:lang w:val="pt-PT"/>
        </w:rPr>
        <w:t>grupo</w:t>
      </w:r>
      <w:r w:rsidRPr="002606DB">
        <w:rPr>
          <w:snapToGrid w:val="0"/>
          <w:lang w:val="pt-PT"/>
        </w:rPr>
        <w:t>s controlo com quimioterapia. Foram notificados casos com consequência fatal em 0,8% dos doentes tratados com bevacizumab, comparativamente com 0,5% dos doentes tratados apenas com quimioterapia. Acidentes vasculares cerebrais (incluindo acidente isquémico transitório) foram notificados em até 2,7% dos doentes tratados com bevacizumab em associação com quimioterapia, comparativamente com até 0,5% dos doentes tratados apenas com quimioterapia. Foram notificados casos de enfarte do miocárdio em até 1,4% dos doentes tratados com bevacizumab em associação com quimioterapia comparativamente com até 0,7% dos doentes tratados apenas com quimioterapia.</w:t>
      </w:r>
    </w:p>
    <w:p w14:paraId="3329E871" w14:textId="77777777" w:rsidR="00162CE2" w:rsidRPr="002606DB" w:rsidRDefault="00162CE2" w:rsidP="00056F35">
      <w:pPr>
        <w:pStyle w:val="a3"/>
        <w:adjustRightInd w:val="0"/>
        <w:snapToGrid w:val="0"/>
        <w:rPr>
          <w:snapToGrid w:val="0"/>
          <w:lang w:val="pt-PT"/>
        </w:rPr>
      </w:pPr>
    </w:p>
    <w:p w14:paraId="69C6FE01" w14:textId="6E884BA4" w:rsidR="00162CE2" w:rsidRPr="002606DB" w:rsidRDefault="00162CE2" w:rsidP="00056F35">
      <w:pPr>
        <w:pStyle w:val="a3"/>
        <w:adjustRightInd w:val="0"/>
        <w:snapToGrid w:val="0"/>
        <w:rPr>
          <w:snapToGrid w:val="0"/>
          <w:lang w:val="pt-PT"/>
        </w:rPr>
      </w:pPr>
      <w:r w:rsidRPr="002606DB">
        <w:rPr>
          <w:snapToGrid w:val="0"/>
          <w:lang w:val="pt-PT"/>
        </w:rPr>
        <w:t>No ensaio clínico AVF2192g, que avaliava bevacizumab em associação com 5</w:t>
      </w:r>
      <w:r w:rsidR="005B3AE6" w:rsidRPr="002606DB">
        <w:rPr>
          <w:snapToGrid w:val="0"/>
          <w:lang w:val="pt-PT"/>
        </w:rPr>
        <w:noBreakHyphen/>
      </w:r>
      <w:r w:rsidRPr="002606DB">
        <w:rPr>
          <w:snapToGrid w:val="0"/>
          <w:lang w:val="pt-PT"/>
        </w:rPr>
        <w:t>fluorouracilo/ácido folínico, incluíram-se doentes com cancro colo-retal metastizado que não eram candidatos para o tratamento com irinotecano. Neste ensaio observaram-se reações tromboembólicas arteriais em 11% (11/100) dos doentes, comparativamente a 5,8% (6/104) no grupo controlo com quimioterapia.</w:t>
      </w:r>
    </w:p>
    <w:p w14:paraId="120B6D18" w14:textId="77777777" w:rsidR="00162CE2" w:rsidRPr="002606DB" w:rsidRDefault="00162CE2" w:rsidP="00056F35">
      <w:pPr>
        <w:pStyle w:val="a3"/>
        <w:adjustRightInd w:val="0"/>
        <w:snapToGrid w:val="0"/>
        <w:rPr>
          <w:snapToGrid w:val="0"/>
          <w:lang w:val="pt-PT"/>
        </w:rPr>
      </w:pPr>
    </w:p>
    <w:p w14:paraId="5B64E771" w14:textId="7DCAC67D" w:rsidR="00162CE2" w:rsidRPr="002606DB" w:rsidRDefault="00162CE2" w:rsidP="00056F35">
      <w:pPr>
        <w:pStyle w:val="a3"/>
        <w:adjustRightInd w:val="0"/>
        <w:snapToGrid w:val="0"/>
        <w:rPr>
          <w:snapToGrid w:val="0"/>
          <w:lang w:val="pt-PT"/>
        </w:rPr>
      </w:pPr>
      <w:r w:rsidRPr="002606DB">
        <w:rPr>
          <w:i/>
          <w:snapToGrid w:val="0"/>
          <w:lang w:val="pt-PT"/>
        </w:rPr>
        <w:t xml:space="preserve">Tromboembolismo venoso: </w:t>
      </w:r>
      <w:r w:rsidRPr="002606DB">
        <w:rPr>
          <w:snapToGrid w:val="0"/>
          <w:lang w:val="pt-PT"/>
        </w:rPr>
        <w:t>A incidência de reações tromboembólicas venosas em ensaios clínicos foi semelhante em doentes tratados com bevacizumab em associação com quimioterapia, comparativamente à verificada em doentes a fazer o tratamento controlo apenas com quimioterapia. As reações tromboembólicas venosas incluem trombose venosa profunda, embolia pulmonar e tromboflebite.</w:t>
      </w:r>
    </w:p>
    <w:p w14:paraId="490FBCF5" w14:textId="77777777" w:rsidR="00162CE2" w:rsidRPr="002606DB" w:rsidRDefault="00162CE2" w:rsidP="00056F35">
      <w:pPr>
        <w:pStyle w:val="a3"/>
        <w:adjustRightInd w:val="0"/>
        <w:snapToGrid w:val="0"/>
        <w:rPr>
          <w:snapToGrid w:val="0"/>
          <w:lang w:val="pt-PT"/>
        </w:rPr>
      </w:pPr>
    </w:p>
    <w:p w14:paraId="7BD0D3D9" w14:textId="65BDD603" w:rsidR="00162CE2" w:rsidRPr="002606DB" w:rsidRDefault="00162CE2" w:rsidP="00056F35">
      <w:pPr>
        <w:pStyle w:val="a3"/>
        <w:adjustRightInd w:val="0"/>
        <w:snapToGrid w:val="0"/>
        <w:rPr>
          <w:snapToGrid w:val="0"/>
          <w:lang w:val="pt-PT"/>
        </w:rPr>
      </w:pPr>
      <w:r w:rsidRPr="002606DB">
        <w:rPr>
          <w:snapToGrid w:val="0"/>
          <w:lang w:val="pt-PT"/>
        </w:rPr>
        <w:t>Nos ensaios clínicos realizados em várias indicações, a incidência global de reações tromboembólicas venosas variou de 2,8% a 17,3% nos doentes tratados com bevacizumab</w:t>
      </w:r>
      <w:r w:rsidR="00295788" w:rsidRPr="007155C0">
        <w:rPr>
          <w:lang w:val="pt-PT"/>
        </w:rPr>
        <w:t>,</w:t>
      </w:r>
      <w:r w:rsidRPr="002606DB">
        <w:rPr>
          <w:snapToGrid w:val="0"/>
          <w:lang w:val="pt-PT"/>
        </w:rPr>
        <w:t xml:space="preserve"> comparativamente com 3,2% a 15,6% nos doentes tratados nos grupos controlo.</w:t>
      </w:r>
    </w:p>
    <w:p w14:paraId="155C2BAA" w14:textId="77777777" w:rsidR="00162CE2" w:rsidRPr="002606DB" w:rsidRDefault="00162CE2" w:rsidP="00056F35">
      <w:pPr>
        <w:pStyle w:val="a3"/>
        <w:adjustRightInd w:val="0"/>
        <w:snapToGrid w:val="0"/>
        <w:rPr>
          <w:snapToGrid w:val="0"/>
          <w:lang w:val="pt-PT"/>
        </w:rPr>
      </w:pPr>
    </w:p>
    <w:p w14:paraId="0C03C7BE" w14:textId="5DD0BDC8" w:rsidR="00162CE2" w:rsidRPr="002606DB" w:rsidRDefault="00162CE2" w:rsidP="00056F35">
      <w:pPr>
        <w:pStyle w:val="a3"/>
        <w:adjustRightInd w:val="0"/>
        <w:snapToGrid w:val="0"/>
        <w:jc w:val="both"/>
        <w:rPr>
          <w:snapToGrid w:val="0"/>
          <w:lang w:val="pt-PT"/>
        </w:rPr>
      </w:pPr>
      <w:r w:rsidRPr="002606DB">
        <w:rPr>
          <w:snapToGrid w:val="0"/>
          <w:lang w:val="pt-PT"/>
        </w:rPr>
        <w:t>Foram notificadas reações tromboembólicas venosas de Grau 3-5 (NCI</w:t>
      </w:r>
      <w:r w:rsidR="005B3AE6" w:rsidRPr="002606DB">
        <w:rPr>
          <w:snapToGrid w:val="0"/>
          <w:lang w:val="pt-PT"/>
        </w:rPr>
        <w:noBreakHyphen/>
      </w:r>
      <w:r w:rsidRPr="002606DB">
        <w:rPr>
          <w:snapToGrid w:val="0"/>
          <w:lang w:val="pt-PT"/>
        </w:rPr>
        <w:t>CTCAE v.3) até um máximo de 7,8% dos doentes tratados com quimioterapia e bevacizumab, comparativamente com um máximo de 4,9% dos doentes tratados apenas com quimioterapia (entre as várias indicações, excluindo cancro do colo do útero com doença persistente, recorrente ou metastizada).</w:t>
      </w:r>
    </w:p>
    <w:p w14:paraId="0812733B" w14:textId="77777777" w:rsidR="00162CE2" w:rsidRPr="002606DB" w:rsidRDefault="00162CE2" w:rsidP="00056F35">
      <w:pPr>
        <w:pStyle w:val="a3"/>
        <w:adjustRightInd w:val="0"/>
        <w:snapToGrid w:val="0"/>
        <w:rPr>
          <w:snapToGrid w:val="0"/>
          <w:lang w:val="pt-PT"/>
        </w:rPr>
      </w:pPr>
    </w:p>
    <w:p w14:paraId="46DB628B" w14:textId="589F5066" w:rsidR="00162CE2" w:rsidRPr="002606DB" w:rsidRDefault="00162CE2" w:rsidP="00AD2204">
      <w:pPr>
        <w:pStyle w:val="a3"/>
        <w:keepNext/>
        <w:widowControl/>
        <w:adjustRightInd w:val="0"/>
        <w:snapToGrid w:val="0"/>
        <w:rPr>
          <w:snapToGrid w:val="0"/>
          <w:lang w:val="pt-PT"/>
        </w:rPr>
      </w:pPr>
      <w:r w:rsidRPr="002606DB">
        <w:rPr>
          <w:snapToGrid w:val="0"/>
          <w:lang w:val="pt-PT"/>
        </w:rPr>
        <w:t>Num ensaio clínico em doentes com cancro do colo do útero com doença persistente, recorrente ou metastizada (estudo GOG</w:t>
      </w:r>
      <w:r w:rsidR="005B3AE6" w:rsidRPr="002606DB">
        <w:rPr>
          <w:snapToGrid w:val="0"/>
          <w:lang w:val="pt-PT"/>
        </w:rPr>
        <w:noBreakHyphen/>
      </w:r>
      <w:r w:rsidRPr="002606DB">
        <w:rPr>
          <w:snapToGrid w:val="0"/>
          <w:lang w:val="pt-PT"/>
        </w:rPr>
        <w:t>0240), foram notificados acontecimentos tromboembólicos venosos de grau 3-5 em até 15,6% das doentes tratadas com bevacizumab em associação com paclitaxel e cisplatina</w:t>
      </w:r>
      <w:r w:rsidR="00295788" w:rsidRPr="007155C0">
        <w:rPr>
          <w:lang w:val="pt-PT"/>
        </w:rPr>
        <w:t>,</w:t>
      </w:r>
      <w:r w:rsidRPr="002606DB">
        <w:rPr>
          <w:snapToGrid w:val="0"/>
          <w:lang w:val="pt-PT"/>
        </w:rPr>
        <w:t xml:space="preserve"> comparativamente com até 7,0% em doentes tratadas com paclitaxel e cisplatina.</w:t>
      </w:r>
    </w:p>
    <w:p w14:paraId="69604C9B" w14:textId="77777777" w:rsidR="00162CE2" w:rsidRPr="002606DB" w:rsidRDefault="00162CE2" w:rsidP="00056F35">
      <w:pPr>
        <w:adjustRightInd w:val="0"/>
        <w:snapToGrid w:val="0"/>
        <w:rPr>
          <w:snapToGrid w:val="0"/>
          <w:lang w:val="pt-PT"/>
        </w:rPr>
      </w:pPr>
    </w:p>
    <w:p w14:paraId="2E67B58B" w14:textId="79464313" w:rsidR="00162CE2" w:rsidRPr="002606DB" w:rsidRDefault="00162CE2" w:rsidP="00056F35">
      <w:pPr>
        <w:pStyle w:val="a3"/>
        <w:adjustRightInd w:val="0"/>
        <w:snapToGrid w:val="0"/>
        <w:rPr>
          <w:snapToGrid w:val="0"/>
          <w:lang w:val="pt-PT"/>
        </w:rPr>
      </w:pPr>
      <w:r w:rsidRPr="002606DB">
        <w:rPr>
          <w:snapToGrid w:val="0"/>
          <w:lang w:val="pt-PT"/>
        </w:rPr>
        <w:t>Doentes que tenham sofrido reações tromboembólicas venosas podem ter um risco superior de recorrência caso façam tratamento com bevacizumab em associação com quimioterapia, comparativamente a um tratamento apenas com quimioterapia.</w:t>
      </w:r>
    </w:p>
    <w:p w14:paraId="5BAC6A2A" w14:textId="77777777" w:rsidR="00162CE2" w:rsidRPr="002606DB" w:rsidRDefault="00162CE2" w:rsidP="00056F35">
      <w:pPr>
        <w:pStyle w:val="a3"/>
        <w:adjustRightInd w:val="0"/>
        <w:snapToGrid w:val="0"/>
        <w:rPr>
          <w:snapToGrid w:val="0"/>
          <w:lang w:val="pt-PT"/>
        </w:rPr>
      </w:pPr>
    </w:p>
    <w:p w14:paraId="0071B0D7"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Insuficiência cardíaca congestiva (ICC)</w:t>
      </w:r>
    </w:p>
    <w:p w14:paraId="2499EAF2" w14:textId="059507C2" w:rsidR="00162CE2" w:rsidRPr="002606DB" w:rsidRDefault="00162CE2" w:rsidP="00056F35">
      <w:pPr>
        <w:pStyle w:val="a3"/>
        <w:adjustRightInd w:val="0"/>
        <w:snapToGrid w:val="0"/>
        <w:rPr>
          <w:snapToGrid w:val="0"/>
          <w:lang w:val="pt-PT"/>
        </w:rPr>
      </w:pPr>
      <w:r w:rsidRPr="002606DB">
        <w:rPr>
          <w:snapToGrid w:val="0"/>
          <w:lang w:val="pt-PT"/>
        </w:rPr>
        <w:t>Em ensaios clínicos com bevacizumab, observaram-se casos de ICC em todas as indicações oncológicas estudadas até à data, mas predominantemente em doentes com cancro da mama metastizado. Em quatro ensaios de fase III (AVF2119g, E2100, BO17708 e AVF3694g) realizados em doentes com cancro da mama metastizado foi notificada ICC de Grau 3 (NCI</w:t>
      </w:r>
      <w:r w:rsidR="005B3AE6" w:rsidRPr="002606DB">
        <w:rPr>
          <w:snapToGrid w:val="0"/>
          <w:lang w:val="pt-PT"/>
        </w:rPr>
        <w:noBreakHyphen/>
      </w:r>
      <w:r w:rsidRPr="002606DB">
        <w:rPr>
          <w:snapToGrid w:val="0"/>
          <w:lang w:val="pt-PT"/>
        </w:rPr>
        <w:t>CTCAE v.3) ou superior até 3,5% dos doentes tratados com bevacizumab</w:t>
      </w:r>
      <w:r w:rsidR="00295788" w:rsidRPr="007155C0">
        <w:rPr>
          <w:lang w:val="pt-PT"/>
        </w:rPr>
        <w:t>,</w:t>
      </w:r>
      <w:r w:rsidRPr="002606DB">
        <w:rPr>
          <w:snapToGrid w:val="0"/>
          <w:lang w:val="pt-PT"/>
        </w:rPr>
        <w:t xml:space="preserve"> em associação com quimioterapia, comparativamente com até 0,9% nos </w:t>
      </w:r>
      <w:r w:rsidR="00B72472">
        <w:rPr>
          <w:snapToGrid w:val="0"/>
          <w:lang w:val="pt-PT"/>
        </w:rPr>
        <w:t>grupo</w:t>
      </w:r>
      <w:r w:rsidRPr="002606DB">
        <w:rPr>
          <w:snapToGrid w:val="0"/>
          <w:lang w:val="pt-PT"/>
        </w:rPr>
        <w:t xml:space="preserve">s controlo. Nos doentes do estudo AVF3694g que receberam antraciclinas concomitantemente com bevacizumab, as incidências de ICC de Grau 3 ou superior nos respetivos </w:t>
      </w:r>
      <w:r w:rsidR="00B72472">
        <w:rPr>
          <w:snapToGrid w:val="0"/>
          <w:lang w:val="pt-PT"/>
        </w:rPr>
        <w:t>grupo</w:t>
      </w:r>
      <w:r w:rsidRPr="002606DB">
        <w:rPr>
          <w:snapToGrid w:val="0"/>
          <w:lang w:val="pt-PT"/>
        </w:rPr>
        <w:t xml:space="preserve">s controlo e bevacizumab, foram semelhantes aos de outros estudos em cancro da mama metastizado: 2,9% no </w:t>
      </w:r>
      <w:r w:rsidR="00B72472">
        <w:rPr>
          <w:snapToGrid w:val="0"/>
          <w:lang w:val="pt-PT"/>
        </w:rPr>
        <w:t>grupo</w:t>
      </w:r>
      <w:r w:rsidRPr="002606DB">
        <w:rPr>
          <w:snapToGrid w:val="0"/>
          <w:lang w:val="pt-PT"/>
        </w:rPr>
        <w:t xml:space="preserve"> bevacizumab + antraciclina e 0% no </w:t>
      </w:r>
      <w:r w:rsidR="00B72472">
        <w:rPr>
          <w:snapToGrid w:val="0"/>
          <w:lang w:val="pt-PT"/>
        </w:rPr>
        <w:t>grupo</w:t>
      </w:r>
      <w:r w:rsidRPr="002606DB">
        <w:rPr>
          <w:snapToGrid w:val="0"/>
          <w:lang w:val="pt-PT"/>
        </w:rPr>
        <w:t xml:space="preserve"> placebo + antraciclina. Adicionalmente, no estudo AVF3694g</w:t>
      </w:r>
      <w:r w:rsidR="00295788" w:rsidRPr="007155C0">
        <w:rPr>
          <w:lang w:val="fr-CA"/>
        </w:rPr>
        <w:t>,</w:t>
      </w:r>
      <w:r w:rsidRPr="002606DB">
        <w:rPr>
          <w:snapToGrid w:val="0"/>
          <w:lang w:val="pt-PT"/>
        </w:rPr>
        <w:t xml:space="preserve"> as incidências de ICC de qualquer Grau foram semelhantes entre os </w:t>
      </w:r>
      <w:r w:rsidR="00B72472">
        <w:rPr>
          <w:snapToGrid w:val="0"/>
          <w:lang w:val="pt-PT"/>
        </w:rPr>
        <w:t>grupo</w:t>
      </w:r>
      <w:r w:rsidRPr="002606DB">
        <w:rPr>
          <w:snapToGrid w:val="0"/>
          <w:lang w:val="pt-PT"/>
        </w:rPr>
        <w:t>s bevacizumab + antraciclina (6,2%) e placebo + antraciclina (6,0%).</w:t>
      </w:r>
    </w:p>
    <w:p w14:paraId="3FD6FA4A" w14:textId="77777777" w:rsidR="00162CE2" w:rsidRPr="002606DB" w:rsidRDefault="00162CE2" w:rsidP="00056F35">
      <w:pPr>
        <w:pStyle w:val="a3"/>
        <w:adjustRightInd w:val="0"/>
        <w:snapToGrid w:val="0"/>
        <w:rPr>
          <w:snapToGrid w:val="0"/>
          <w:lang w:val="pt-PT"/>
        </w:rPr>
      </w:pPr>
    </w:p>
    <w:p w14:paraId="354CCCF3" w14:textId="6ACD8D12" w:rsidR="00162CE2" w:rsidRPr="002606DB" w:rsidRDefault="00162CE2" w:rsidP="00056F35">
      <w:pPr>
        <w:pStyle w:val="a3"/>
        <w:adjustRightInd w:val="0"/>
        <w:snapToGrid w:val="0"/>
        <w:rPr>
          <w:snapToGrid w:val="0"/>
          <w:lang w:val="pt-PT"/>
        </w:rPr>
      </w:pPr>
      <w:r w:rsidRPr="002606DB">
        <w:rPr>
          <w:snapToGrid w:val="0"/>
          <w:lang w:val="pt-PT"/>
        </w:rPr>
        <w:t xml:space="preserve">A maioria dos doentes que desenvolveu ICC durante os ensaios no </w:t>
      </w:r>
      <w:r w:rsidR="005C022B">
        <w:rPr>
          <w:snapToGrid w:val="0"/>
          <w:lang w:val="pt-PT"/>
        </w:rPr>
        <w:t>mBC</w:t>
      </w:r>
      <w:r w:rsidRPr="002606DB">
        <w:rPr>
          <w:snapToGrid w:val="0"/>
          <w:lang w:val="pt-PT"/>
        </w:rPr>
        <w:t xml:space="preserve"> apresentou melhoria dos sintomas e/ou melhoria da função ventricular esquerda no seguimento de tratamento médico adequado.</w:t>
      </w:r>
    </w:p>
    <w:p w14:paraId="5E5F6330" w14:textId="77777777" w:rsidR="00162CE2" w:rsidRPr="002606DB" w:rsidRDefault="00162CE2" w:rsidP="00056F35">
      <w:pPr>
        <w:pStyle w:val="a3"/>
        <w:adjustRightInd w:val="0"/>
        <w:snapToGrid w:val="0"/>
        <w:rPr>
          <w:snapToGrid w:val="0"/>
          <w:lang w:val="pt-PT"/>
        </w:rPr>
      </w:pPr>
    </w:p>
    <w:p w14:paraId="0C6D0B45" w14:textId="05F169EC" w:rsidR="00162CE2" w:rsidRPr="002606DB" w:rsidRDefault="00162CE2" w:rsidP="00056F35">
      <w:pPr>
        <w:pStyle w:val="a3"/>
        <w:adjustRightInd w:val="0"/>
        <w:snapToGrid w:val="0"/>
        <w:rPr>
          <w:snapToGrid w:val="0"/>
          <w:lang w:val="pt-PT"/>
        </w:rPr>
      </w:pPr>
      <w:r w:rsidRPr="002606DB">
        <w:rPr>
          <w:snapToGrid w:val="0"/>
          <w:lang w:val="pt-PT"/>
        </w:rPr>
        <w:t xml:space="preserve">Na maioria dos ensaios clínicos de bevacizumab, excluíram-se doentes com ICC das classes II-IV da </w:t>
      </w:r>
      <w:r w:rsidRPr="002606DB">
        <w:rPr>
          <w:snapToGrid w:val="0"/>
          <w:lang w:val="pt-PT"/>
        </w:rPr>
        <w:lastRenderedPageBreak/>
        <w:t>NYHA (</w:t>
      </w:r>
      <w:r w:rsidRPr="002606DB">
        <w:rPr>
          <w:i/>
          <w:snapToGrid w:val="0"/>
          <w:lang w:val="pt-PT"/>
        </w:rPr>
        <w:t>New York Heart Association</w:t>
      </w:r>
      <w:r w:rsidRPr="002606DB">
        <w:rPr>
          <w:snapToGrid w:val="0"/>
          <w:lang w:val="pt-PT"/>
        </w:rPr>
        <w:t>) pré</w:t>
      </w:r>
      <w:r w:rsidR="005B3AE6" w:rsidRPr="002606DB">
        <w:rPr>
          <w:snapToGrid w:val="0"/>
          <w:lang w:val="pt-PT"/>
        </w:rPr>
        <w:noBreakHyphen/>
      </w:r>
      <w:r w:rsidRPr="002606DB">
        <w:rPr>
          <w:snapToGrid w:val="0"/>
          <w:lang w:val="pt-PT"/>
        </w:rPr>
        <w:t>existente</w:t>
      </w:r>
      <w:r w:rsidR="00295788" w:rsidRPr="007155C0">
        <w:rPr>
          <w:lang w:val="fr-CA"/>
        </w:rPr>
        <w:t>,</w:t>
      </w:r>
      <w:r w:rsidRPr="002606DB">
        <w:rPr>
          <w:snapToGrid w:val="0"/>
          <w:lang w:val="pt-PT"/>
        </w:rPr>
        <w:t xml:space="preserve"> pelo que não há informação disponível sobre o risco de ICC nesta população.</w:t>
      </w:r>
    </w:p>
    <w:p w14:paraId="4E561FF2" w14:textId="77777777" w:rsidR="00162CE2" w:rsidRPr="002606DB" w:rsidRDefault="00162CE2" w:rsidP="00056F35">
      <w:pPr>
        <w:pStyle w:val="a3"/>
        <w:adjustRightInd w:val="0"/>
        <w:snapToGrid w:val="0"/>
        <w:rPr>
          <w:snapToGrid w:val="0"/>
          <w:lang w:val="pt-PT"/>
        </w:rPr>
      </w:pPr>
    </w:p>
    <w:p w14:paraId="59146480" w14:textId="77777777" w:rsidR="00162CE2" w:rsidRPr="002606DB" w:rsidRDefault="00162CE2" w:rsidP="00056F35">
      <w:pPr>
        <w:pStyle w:val="a3"/>
        <w:adjustRightInd w:val="0"/>
        <w:snapToGrid w:val="0"/>
        <w:rPr>
          <w:snapToGrid w:val="0"/>
          <w:lang w:val="pt-PT"/>
        </w:rPr>
      </w:pPr>
      <w:r w:rsidRPr="002606DB">
        <w:rPr>
          <w:snapToGrid w:val="0"/>
          <w:lang w:val="pt-PT"/>
        </w:rPr>
        <w:t>O tratamento prévio com antraciclinas e /ou com radiação da parede torácica podem ser fatores de risco para o desenvolvimento de ICC.</w:t>
      </w:r>
    </w:p>
    <w:p w14:paraId="7E605751" w14:textId="77777777" w:rsidR="00162CE2" w:rsidRPr="002606DB" w:rsidRDefault="00162CE2" w:rsidP="00056F35">
      <w:pPr>
        <w:pStyle w:val="a3"/>
        <w:adjustRightInd w:val="0"/>
        <w:snapToGrid w:val="0"/>
        <w:rPr>
          <w:snapToGrid w:val="0"/>
          <w:lang w:val="pt-PT"/>
        </w:rPr>
      </w:pPr>
    </w:p>
    <w:p w14:paraId="5102AFF1" w14:textId="0F2B1ECC" w:rsidR="00162CE2" w:rsidRPr="002606DB" w:rsidRDefault="00162CE2" w:rsidP="00056F35">
      <w:pPr>
        <w:pStyle w:val="a3"/>
        <w:adjustRightInd w:val="0"/>
        <w:snapToGrid w:val="0"/>
        <w:rPr>
          <w:snapToGrid w:val="0"/>
          <w:lang w:val="pt-PT"/>
        </w:rPr>
      </w:pPr>
      <w:r w:rsidRPr="002606DB">
        <w:rPr>
          <w:snapToGrid w:val="0"/>
          <w:lang w:val="pt-PT"/>
        </w:rPr>
        <w:t>Foi observado um aumento da incidência de ICC num ensaio clínico em doentes com linfoma difuso de grandes células B, quando recebiam bevacizumab</w:t>
      </w:r>
      <w:r w:rsidR="005B3AE6" w:rsidRPr="002606DB">
        <w:rPr>
          <w:snapToGrid w:val="0"/>
          <w:lang w:val="pt-PT"/>
        </w:rPr>
        <w:t xml:space="preserve"> </w:t>
      </w:r>
      <w:r w:rsidRPr="002606DB">
        <w:rPr>
          <w:snapToGrid w:val="0"/>
          <w:lang w:val="pt-PT"/>
        </w:rPr>
        <w:t>com uma dose cumulativa de doxorrubicina superior a 300 mg/m</w:t>
      </w:r>
      <w:r w:rsidRPr="002606DB">
        <w:rPr>
          <w:snapToGrid w:val="0"/>
          <w:vertAlign w:val="superscript"/>
          <w:lang w:val="pt-PT"/>
        </w:rPr>
        <w:t>2</w:t>
      </w:r>
      <w:r w:rsidRPr="002606DB">
        <w:rPr>
          <w:snapToGrid w:val="0"/>
          <w:lang w:val="pt-PT"/>
        </w:rPr>
        <w:t>. Este ensaio clínico de fase III comparou rituximab/ ciclofosfamida/ doxorrubicina/ vincristina/ prednisona (R</w:t>
      </w:r>
      <w:r w:rsidR="005B3AE6" w:rsidRPr="002606DB">
        <w:rPr>
          <w:snapToGrid w:val="0"/>
          <w:lang w:val="pt-PT"/>
        </w:rPr>
        <w:noBreakHyphen/>
      </w:r>
      <w:r w:rsidRPr="002606DB">
        <w:rPr>
          <w:snapToGrid w:val="0"/>
          <w:lang w:val="pt-PT"/>
        </w:rPr>
        <w:t>CHOP) mais bevacizumab a R</w:t>
      </w:r>
      <w:r w:rsidR="005B3AE6" w:rsidRPr="002606DB">
        <w:rPr>
          <w:snapToGrid w:val="0"/>
          <w:lang w:val="pt-PT"/>
        </w:rPr>
        <w:noBreakHyphen/>
      </w:r>
      <w:r w:rsidRPr="002606DB">
        <w:rPr>
          <w:snapToGrid w:val="0"/>
          <w:lang w:val="pt-PT"/>
        </w:rPr>
        <w:t xml:space="preserve">CHOP sem bevacizumab. Embora a incidência de ICC tenha sido, em ambos os </w:t>
      </w:r>
      <w:r w:rsidR="00B72472">
        <w:rPr>
          <w:snapToGrid w:val="0"/>
          <w:lang w:val="pt-PT"/>
        </w:rPr>
        <w:t>grupo</w:t>
      </w:r>
      <w:r w:rsidRPr="002606DB">
        <w:rPr>
          <w:snapToGrid w:val="0"/>
          <w:lang w:val="pt-PT"/>
        </w:rPr>
        <w:t xml:space="preserve">s, superior aquela observada anteriormente para a terapêutica com doxorrubicina, a taxa foi superior no </w:t>
      </w:r>
      <w:r w:rsidR="00B72472">
        <w:rPr>
          <w:snapToGrid w:val="0"/>
          <w:lang w:val="pt-PT"/>
        </w:rPr>
        <w:t>grupo</w:t>
      </w:r>
      <w:r w:rsidRPr="002606DB">
        <w:rPr>
          <w:snapToGrid w:val="0"/>
          <w:lang w:val="pt-PT"/>
        </w:rPr>
        <w:t xml:space="preserve"> R</w:t>
      </w:r>
      <w:r w:rsidR="005B3AE6" w:rsidRPr="002606DB">
        <w:rPr>
          <w:snapToGrid w:val="0"/>
          <w:lang w:val="pt-PT"/>
        </w:rPr>
        <w:noBreakHyphen/>
      </w:r>
      <w:r w:rsidRPr="002606DB">
        <w:rPr>
          <w:snapToGrid w:val="0"/>
          <w:lang w:val="pt-PT"/>
        </w:rPr>
        <w:t>CHOP mais bevacizumab. Estes resultados sugerem que deve ser considerada uma observação clínica de perto com uma avaliação cardíaca apropriada, nos doentes expostos a doses cumulativas de doxorrubicina superiores a</w:t>
      </w:r>
    </w:p>
    <w:p w14:paraId="6F249195" w14:textId="31E7BFA7" w:rsidR="00162CE2" w:rsidRPr="002606DB" w:rsidRDefault="00162CE2" w:rsidP="00056F35">
      <w:pPr>
        <w:pStyle w:val="a3"/>
        <w:adjustRightInd w:val="0"/>
        <w:snapToGrid w:val="0"/>
        <w:rPr>
          <w:snapToGrid w:val="0"/>
          <w:lang w:val="pt-PT"/>
        </w:rPr>
      </w:pPr>
      <w:r w:rsidRPr="002606DB">
        <w:rPr>
          <w:snapToGrid w:val="0"/>
          <w:lang w:val="pt-PT"/>
        </w:rPr>
        <w:t>300 mg/m</w:t>
      </w:r>
      <w:r w:rsidRPr="002606DB">
        <w:rPr>
          <w:snapToGrid w:val="0"/>
          <w:vertAlign w:val="superscript"/>
          <w:lang w:val="pt-PT"/>
        </w:rPr>
        <w:t>2</w:t>
      </w:r>
      <w:r w:rsidRPr="002606DB">
        <w:rPr>
          <w:snapToGrid w:val="0"/>
          <w:lang w:val="pt-PT"/>
        </w:rPr>
        <w:t xml:space="preserve"> quando associadas com bevacizumab.</w:t>
      </w:r>
    </w:p>
    <w:p w14:paraId="68F1E395" w14:textId="77777777" w:rsidR="00162CE2" w:rsidRPr="002606DB" w:rsidRDefault="00162CE2" w:rsidP="00056F35">
      <w:pPr>
        <w:pStyle w:val="a3"/>
        <w:adjustRightInd w:val="0"/>
        <w:snapToGrid w:val="0"/>
        <w:rPr>
          <w:snapToGrid w:val="0"/>
          <w:lang w:val="pt-PT"/>
        </w:rPr>
      </w:pPr>
    </w:p>
    <w:p w14:paraId="22B4BF0C" w14:textId="3EC826BA" w:rsidR="00162CE2" w:rsidRPr="002606DB" w:rsidRDefault="00162CE2" w:rsidP="00056F35">
      <w:pPr>
        <w:adjustRightInd w:val="0"/>
        <w:snapToGrid w:val="0"/>
        <w:rPr>
          <w:snapToGrid w:val="0"/>
          <w:lang w:val="pt-PT"/>
        </w:rPr>
      </w:pPr>
      <w:r w:rsidRPr="001C687C">
        <w:rPr>
          <w:i/>
          <w:snapToGrid w:val="0"/>
          <w:u w:val="single"/>
          <w:lang w:val="pt-PT"/>
        </w:rPr>
        <w:t>Reações de hipersensibilidade</w:t>
      </w:r>
      <w:r w:rsidR="00CA5E1C">
        <w:rPr>
          <w:i/>
          <w:snapToGrid w:val="0"/>
          <w:u w:val="single"/>
          <w:lang w:val="pt-PT"/>
        </w:rPr>
        <w:t xml:space="preserve"> </w:t>
      </w:r>
      <w:r w:rsidR="00CA5E1C" w:rsidRPr="00CA5E1C">
        <w:rPr>
          <w:i/>
          <w:snapToGrid w:val="0"/>
          <w:u w:val="single"/>
          <w:lang w:val="pt-PT"/>
        </w:rPr>
        <w:t>(incluindo choque anafilático)</w:t>
      </w:r>
      <w:r w:rsidRPr="001C687C">
        <w:rPr>
          <w:i/>
          <w:snapToGrid w:val="0"/>
          <w:u w:val="single"/>
          <w:lang w:val="pt-PT"/>
        </w:rPr>
        <w:t>/reações à perfusão</w:t>
      </w:r>
      <w:r w:rsidRPr="002606DB">
        <w:rPr>
          <w:i/>
          <w:snapToGrid w:val="0"/>
          <w:lang w:val="pt-PT"/>
        </w:rPr>
        <w:t xml:space="preserve"> </w:t>
      </w:r>
      <w:r w:rsidRPr="002606DB">
        <w:rPr>
          <w:snapToGrid w:val="0"/>
          <w:lang w:val="pt-PT"/>
        </w:rPr>
        <w:t>(ver</w:t>
      </w:r>
      <w:r w:rsidR="002C7FE7">
        <w:rPr>
          <w:snapToGrid w:val="0"/>
          <w:lang w:val="pt-PT"/>
        </w:rPr>
        <w:t xml:space="preserve"> </w:t>
      </w:r>
      <w:r w:rsidR="002C7FE7" w:rsidRPr="007155C0">
        <w:rPr>
          <w:lang w:val="pt-PT"/>
        </w:rPr>
        <w:t>abaixo,</w:t>
      </w:r>
      <w:r w:rsidRPr="002606DB">
        <w:rPr>
          <w:snapToGrid w:val="0"/>
          <w:lang w:val="pt-PT"/>
        </w:rPr>
        <w:t xml:space="preserve"> secção 4.4 e </w:t>
      </w:r>
      <w:r w:rsidRPr="002606DB">
        <w:rPr>
          <w:i/>
          <w:snapToGrid w:val="0"/>
          <w:lang w:val="pt-PT"/>
        </w:rPr>
        <w:t>Experiência pós</w:t>
      </w:r>
      <w:r w:rsidR="005B3AE6" w:rsidRPr="002606DB">
        <w:rPr>
          <w:i/>
          <w:snapToGrid w:val="0"/>
          <w:lang w:val="pt-PT"/>
        </w:rPr>
        <w:noBreakHyphen/>
      </w:r>
      <w:r w:rsidRPr="002606DB">
        <w:rPr>
          <w:i/>
          <w:snapToGrid w:val="0"/>
          <w:lang w:val="pt-PT"/>
        </w:rPr>
        <w:t>comercialização</w:t>
      </w:r>
      <w:r w:rsidRPr="002606DB">
        <w:rPr>
          <w:snapToGrid w:val="0"/>
          <w:lang w:val="pt-PT"/>
        </w:rPr>
        <w:t>)</w:t>
      </w:r>
    </w:p>
    <w:p w14:paraId="0B11E2C4" w14:textId="467F0D55" w:rsidR="00162CE2" w:rsidRPr="002606DB" w:rsidRDefault="00162CE2" w:rsidP="00056F35">
      <w:pPr>
        <w:pStyle w:val="a3"/>
        <w:adjustRightInd w:val="0"/>
        <w:snapToGrid w:val="0"/>
        <w:rPr>
          <w:snapToGrid w:val="0"/>
          <w:lang w:val="pt-PT"/>
        </w:rPr>
      </w:pPr>
      <w:r w:rsidRPr="002606DB">
        <w:rPr>
          <w:snapToGrid w:val="0"/>
          <w:lang w:val="pt-PT"/>
        </w:rPr>
        <w:t xml:space="preserve">Em alguns ensaios clínicos, foram notificadas reações anafiláticas e do tipo </w:t>
      </w:r>
      <w:r w:rsidR="00625A6A" w:rsidRPr="002606DB">
        <w:rPr>
          <w:snapToGrid w:val="0"/>
          <w:lang w:val="pt-PT"/>
        </w:rPr>
        <w:t>anafilact</w:t>
      </w:r>
      <w:r w:rsidR="00625A6A">
        <w:rPr>
          <w:snapToGrid w:val="0"/>
          <w:lang w:val="pt-PT"/>
        </w:rPr>
        <w:t>o</w:t>
      </w:r>
      <w:r w:rsidR="00625A6A" w:rsidRPr="002606DB">
        <w:rPr>
          <w:snapToGrid w:val="0"/>
          <w:lang w:val="pt-PT"/>
        </w:rPr>
        <w:t xml:space="preserve">ide </w:t>
      </w:r>
      <w:r w:rsidRPr="002606DB">
        <w:rPr>
          <w:snapToGrid w:val="0"/>
          <w:lang w:val="pt-PT"/>
        </w:rPr>
        <w:t>mais frequentemente em doentes a receber bevacizumab em associação com quimioterapia do que com quimioterapia isolada. A incidência destas reações em alguns ensaios clínicos com bevacizumab é frequente (até 5% em doentes tratados com bevacizumab).</w:t>
      </w:r>
    </w:p>
    <w:p w14:paraId="48351D8B" w14:textId="77777777" w:rsidR="00162CE2" w:rsidRPr="002606DB" w:rsidRDefault="00162CE2" w:rsidP="00056F35">
      <w:pPr>
        <w:pStyle w:val="a3"/>
        <w:adjustRightInd w:val="0"/>
        <w:snapToGrid w:val="0"/>
        <w:rPr>
          <w:snapToGrid w:val="0"/>
          <w:lang w:val="pt-PT"/>
        </w:rPr>
      </w:pPr>
    </w:p>
    <w:p w14:paraId="38BB3B02"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Infeções</w:t>
      </w:r>
    </w:p>
    <w:p w14:paraId="01D38995" w14:textId="708E4DD5" w:rsidR="00162CE2" w:rsidRPr="002606DB" w:rsidRDefault="00162CE2" w:rsidP="00056F35">
      <w:pPr>
        <w:pStyle w:val="a3"/>
        <w:adjustRightInd w:val="0"/>
        <w:snapToGrid w:val="0"/>
        <w:rPr>
          <w:snapToGrid w:val="0"/>
          <w:lang w:val="pt-PT"/>
        </w:rPr>
      </w:pPr>
      <w:r w:rsidRPr="002606DB">
        <w:rPr>
          <w:snapToGrid w:val="0"/>
          <w:lang w:val="pt-PT"/>
        </w:rPr>
        <w:t>Num ensaio clínico em doentes com cancro do colo do útero com doença persistente, recorrente ou metastizada (estudo GOG</w:t>
      </w:r>
      <w:r w:rsidR="005B3AE6" w:rsidRPr="002606DB">
        <w:rPr>
          <w:snapToGrid w:val="0"/>
          <w:lang w:val="pt-PT"/>
        </w:rPr>
        <w:noBreakHyphen/>
      </w:r>
      <w:r w:rsidRPr="002606DB">
        <w:rPr>
          <w:snapToGrid w:val="0"/>
          <w:lang w:val="pt-PT"/>
        </w:rPr>
        <w:t>0240), foram notificadas infeções de grau 3-5 em até 24% das doentes tratadas com bevacizumab em associação com paclitaxel e topotecano</w:t>
      </w:r>
      <w:r w:rsidR="00943491" w:rsidRPr="007155C0">
        <w:rPr>
          <w:lang w:val="pt-PT"/>
        </w:rPr>
        <w:t>,</w:t>
      </w:r>
      <w:r w:rsidRPr="002606DB">
        <w:rPr>
          <w:snapToGrid w:val="0"/>
          <w:lang w:val="pt-PT"/>
        </w:rPr>
        <w:t xml:space="preserve"> comparativamente com até 13,0% em doentes tratadas com paclitaxel e topotecano.</w:t>
      </w:r>
    </w:p>
    <w:p w14:paraId="2B51C20B" w14:textId="77777777" w:rsidR="00162CE2" w:rsidRPr="002606DB" w:rsidRDefault="00162CE2" w:rsidP="00056F35">
      <w:pPr>
        <w:pStyle w:val="a3"/>
        <w:adjustRightInd w:val="0"/>
        <w:snapToGrid w:val="0"/>
        <w:rPr>
          <w:snapToGrid w:val="0"/>
          <w:lang w:val="pt-PT"/>
        </w:rPr>
      </w:pPr>
    </w:p>
    <w:p w14:paraId="7A8DDA37" w14:textId="09580B38" w:rsidR="00162CE2" w:rsidRPr="002606DB" w:rsidRDefault="00162CE2" w:rsidP="00AD2204">
      <w:pPr>
        <w:keepNext/>
        <w:widowControl/>
        <w:adjustRightInd w:val="0"/>
        <w:snapToGrid w:val="0"/>
        <w:rPr>
          <w:snapToGrid w:val="0"/>
          <w:lang w:val="pt-PT"/>
        </w:rPr>
      </w:pPr>
      <w:r w:rsidRPr="001C687C">
        <w:rPr>
          <w:i/>
          <w:snapToGrid w:val="0"/>
          <w:u w:val="single"/>
          <w:lang w:val="pt-PT"/>
        </w:rPr>
        <w:t>Insuficiência ovárica/ fertilidade</w:t>
      </w:r>
      <w:r w:rsidRPr="002606DB">
        <w:rPr>
          <w:i/>
          <w:snapToGrid w:val="0"/>
          <w:lang w:val="pt-PT"/>
        </w:rPr>
        <w:t xml:space="preserve"> </w:t>
      </w:r>
      <w:r w:rsidRPr="002606DB">
        <w:rPr>
          <w:snapToGrid w:val="0"/>
          <w:lang w:val="pt-PT"/>
        </w:rPr>
        <w:t>(ver secções 4.4 e 4.6)</w:t>
      </w:r>
    </w:p>
    <w:p w14:paraId="682BF384" w14:textId="52FED213" w:rsidR="00162CE2" w:rsidRPr="002606DB" w:rsidRDefault="00162CE2" w:rsidP="00AD2204">
      <w:pPr>
        <w:pStyle w:val="a3"/>
        <w:adjustRightInd w:val="0"/>
        <w:snapToGrid w:val="0"/>
        <w:rPr>
          <w:snapToGrid w:val="0"/>
          <w:lang w:val="pt-PT"/>
        </w:rPr>
      </w:pPr>
      <w:r w:rsidRPr="002606DB">
        <w:rPr>
          <w:snapToGrid w:val="0"/>
          <w:lang w:val="pt-PT"/>
        </w:rPr>
        <w:t>No estudo NSABP C</w:t>
      </w:r>
      <w:r w:rsidR="005B3AE6" w:rsidRPr="002606DB">
        <w:rPr>
          <w:snapToGrid w:val="0"/>
          <w:lang w:val="pt-PT"/>
        </w:rPr>
        <w:noBreakHyphen/>
      </w:r>
      <w:r w:rsidRPr="002606DB">
        <w:rPr>
          <w:snapToGrid w:val="0"/>
          <w:lang w:val="pt-PT"/>
        </w:rPr>
        <w:t>08, um ensaio de fase III com bevacizumab no tratamento adjuvante de doentes com cancro do cólon, a incidência de novos casos de insuficiênc</w:t>
      </w:r>
      <w:r w:rsidR="000049B1">
        <w:rPr>
          <w:snapToGrid w:val="0"/>
          <w:lang w:val="pt-PT"/>
        </w:rPr>
        <w:t>i</w:t>
      </w:r>
      <w:r w:rsidRPr="002606DB">
        <w:rPr>
          <w:snapToGrid w:val="0"/>
          <w:lang w:val="pt-PT"/>
        </w:rPr>
        <w:t>a ovárica, definida como amenorreia de duração igual ou superior a 3 meses, níveis FSH ≥30 mUI/ml e um teste de gravidez β</w:t>
      </w:r>
      <w:r w:rsidR="005B3AE6" w:rsidRPr="002606DB">
        <w:rPr>
          <w:snapToGrid w:val="0"/>
          <w:lang w:val="pt-PT"/>
        </w:rPr>
        <w:noBreakHyphen/>
      </w:r>
      <w:r w:rsidRPr="002606DB">
        <w:rPr>
          <w:snapToGrid w:val="0"/>
          <w:lang w:val="pt-PT"/>
        </w:rPr>
        <w:t>HCG sérica negativo, foi avaliada em 295 mulheres pré-menopaúsicas. Foram notificados novos casos de insuficiência ovárica em 2,6 % das doentes no grupo mFOLFOX</w:t>
      </w:r>
      <w:r w:rsidR="00D85667" w:rsidRPr="002606DB">
        <w:rPr>
          <w:snapToGrid w:val="0"/>
          <w:lang w:val="pt-PT"/>
        </w:rPr>
        <w:noBreakHyphen/>
      </w:r>
      <w:r w:rsidRPr="002606DB">
        <w:rPr>
          <w:snapToGrid w:val="0"/>
          <w:lang w:val="pt-PT"/>
        </w:rPr>
        <w:t>6 comparativamente com 39% no</w:t>
      </w:r>
      <w:r w:rsidR="00D85667" w:rsidRPr="002606DB">
        <w:rPr>
          <w:snapToGrid w:val="0"/>
          <w:lang w:val="pt-PT"/>
        </w:rPr>
        <w:t xml:space="preserve"> </w:t>
      </w:r>
      <w:r w:rsidRPr="002606DB">
        <w:rPr>
          <w:snapToGrid w:val="0"/>
          <w:lang w:val="pt-PT"/>
        </w:rPr>
        <w:t>grupo mFOLFOX</w:t>
      </w:r>
      <w:r w:rsidR="00D85667" w:rsidRPr="002606DB">
        <w:rPr>
          <w:snapToGrid w:val="0"/>
          <w:lang w:val="pt-PT"/>
        </w:rPr>
        <w:noBreakHyphen/>
      </w:r>
      <w:r w:rsidRPr="002606DB">
        <w:rPr>
          <w:snapToGrid w:val="0"/>
          <w:lang w:val="pt-PT"/>
        </w:rPr>
        <w:t>6 + bevacizumab. Após a descontinuação do tratamento com bevacizumab, a função ovárica foi recuperada em 86,2% destas mulheres avaliáveis. Os efeitos a longo prazo do tratamento com bevacizumab na fertilidade são desconhecidos.</w:t>
      </w:r>
    </w:p>
    <w:p w14:paraId="7929F2D4" w14:textId="77777777" w:rsidR="00162CE2" w:rsidRPr="002606DB" w:rsidRDefault="00162CE2" w:rsidP="00056F35">
      <w:pPr>
        <w:pStyle w:val="a3"/>
        <w:adjustRightInd w:val="0"/>
        <w:snapToGrid w:val="0"/>
        <w:rPr>
          <w:snapToGrid w:val="0"/>
          <w:lang w:val="pt-PT"/>
        </w:rPr>
      </w:pPr>
    </w:p>
    <w:p w14:paraId="5955B416" w14:textId="77777777" w:rsidR="00162CE2" w:rsidRPr="001C687C" w:rsidRDefault="00162CE2" w:rsidP="00056F35">
      <w:pPr>
        <w:adjustRightInd w:val="0"/>
        <w:snapToGrid w:val="0"/>
        <w:jc w:val="both"/>
        <w:rPr>
          <w:i/>
          <w:snapToGrid w:val="0"/>
          <w:u w:val="single"/>
          <w:lang w:val="pt-PT"/>
        </w:rPr>
      </w:pPr>
      <w:r w:rsidRPr="001C687C">
        <w:rPr>
          <w:i/>
          <w:snapToGrid w:val="0"/>
          <w:u w:val="single"/>
          <w:lang w:val="pt-PT"/>
        </w:rPr>
        <w:t>Alterações laboratoriais</w:t>
      </w:r>
    </w:p>
    <w:p w14:paraId="47EAA09C" w14:textId="0D425BB5" w:rsidR="00162CE2" w:rsidRPr="002606DB" w:rsidRDefault="00162CE2" w:rsidP="00056F35">
      <w:pPr>
        <w:pStyle w:val="a3"/>
        <w:adjustRightInd w:val="0"/>
        <w:snapToGrid w:val="0"/>
        <w:rPr>
          <w:snapToGrid w:val="0"/>
          <w:lang w:val="pt-PT"/>
        </w:rPr>
      </w:pPr>
      <w:r w:rsidRPr="002606DB">
        <w:rPr>
          <w:snapToGrid w:val="0"/>
          <w:lang w:val="pt-PT"/>
        </w:rPr>
        <w:t xml:space="preserve">A diminuição do número de neutrófilos, diminuição do número de leucócitos e presença de proteínas na urina podem estar associados ao tratamento com </w:t>
      </w:r>
      <w:r w:rsidR="00FB2483">
        <w:rPr>
          <w:color w:val="000000"/>
          <w:lang w:val="pt-PT"/>
        </w:rPr>
        <w:t>Vegzelma</w:t>
      </w:r>
      <w:r w:rsidRPr="002606DB">
        <w:rPr>
          <w:snapToGrid w:val="0"/>
          <w:lang w:val="pt-PT"/>
        </w:rPr>
        <w:t>.</w:t>
      </w:r>
    </w:p>
    <w:p w14:paraId="0F205ABD" w14:textId="77777777" w:rsidR="00162CE2" w:rsidRPr="002606DB" w:rsidRDefault="00162CE2" w:rsidP="00056F35">
      <w:pPr>
        <w:pStyle w:val="a3"/>
        <w:adjustRightInd w:val="0"/>
        <w:snapToGrid w:val="0"/>
        <w:rPr>
          <w:snapToGrid w:val="0"/>
          <w:lang w:val="pt-PT"/>
        </w:rPr>
      </w:pPr>
    </w:p>
    <w:p w14:paraId="6745C4DF" w14:textId="4683BBFE" w:rsidR="00162CE2" w:rsidRPr="002606DB" w:rsidRDefault="00162CE2" w:rsidP="00056F35">
      <w:pPr>
        <w:pStyle w:val="a3"/>
        <w:adjustRightInd w:val="0"/>
        <w:snapToGrid w:val="0"/>
        <w:rPr>
          <w:snapToGrid w:val="0"/>
          <w:lang w:val="pt-PT"/>
        </w:rPr>
      </w:pPr>
      <w:r w:rsidRPr="002606DB">
        <w:rPr>
          <w:snapToGrid w:val="0"/>
          <w:lang w:val="pt-PT"/>
        </w:rPr>
        <w:t>No decurso dos ensaios clínicos</w:t>
      </w:r>
      <w:r w:rsidR="002C6B15" w:rsidRPr="007155C0">
        <w:rPr>
          <w:lang w:val="pt-PT"/>
        </w:rPr>
        <w:t>,</w:t>
      </w:r>
      <w:r w:rsidRPr="002606DB">
        <w:rPr>
          <w:snapToGrid w:val="0"/>
          <w:lang w:val="pt-PT"/>
        </w:rPr>
        <w:t xml:space="preserve"> ocorreram as seguintes alterações laboratoriais, de Grau 3 e 4 (NCI</w:t>
      </w:r>
      <w:r w:rsidR="00D85667" w:rsidRPr="002606DB">
        <w:rPr>
          <w:snapToGrid w:val="0"/>
          <w:lang w:val="pt-PT"/>
        </w:rPr>
        <w:noBreakHyphen/>
      </w:r>
      <w:r w:rsidRPr="002606DB">
        <w:rPr>
          <w:snapToGrid w:val="0"/>
          <w:lang w:val="pt-PT"/>
        </w:rPr>
        <w:t>CTCAE v.3), em doentes tratados com bevacizumab, com pelo menos uma diferença de 2% comparativamente aos grupos controlo correspondentes: hiperglicemia, hemoglobina diminuída, hipocaliemia, hiponatremia, diminuição do número de glóbulos brancos, índice normalizado internacional (INR) aumentado.</w:t>
      </w:r>
    </w:p>
    <w:p w14:paraId="7A9E9266" w14:textId="77777777" w:rsidR="00162CE2" w:rsidRPr="002606DB" w:rsidRDefault="00162CE2" w:rsidP="00056F35">
      <w:pPr>
        <w:pStyle w:val="a3"/>
        <w:adjustRightInd w:val="0"/>
        <w:snapToGrid w:val="0"/>
        <w:rPr>
          <w:snapToGrid w:val="0"/>
          <w:lang w:val="pt-PT"/>
        </w:rPr>
      </w:pPr>
    </w:p>
    <w:p w14:paraId="306348C5" w14:textId="43D0CFCA" w:rsidR="00162CE2" w:rsidRPr="002606DB" w:rsidRDefault="00162CE2" w:rsidP="00056F35">
      <w:pPr>
        <w:pStyle w:val="a3"/>
        <w:adjustRightInd w:val="0"/>
        <w:snapToGrid w:val="0"/>
        <w:rPr>
          <w:snapToGrid w:val="0"/>
          <w:lang w:val="pt-PT"/>
        </w:rPr>
      </w:pPr>
      <w:r w:rsidRPr="002606DB">
        <w:rPr>
          <w:snapToGrid w:val="0"/>
          <w:lang w:val="pt-PT"/>
        </w:rPr>
        <w:t>Os ensaios clínicos demonstraram que aumentos transientes de creatinina sérica (com intervalos entre 1,5-1,9 vezes o valor da linha de base), com e sem proteinúria, estão associados ao uso de bevacizumab. Em doentes tratados com bevacizumab, o aumento observado de creatinina sérica não foi associado a um aumento da incidência de manifestações clínicas de compromisso renal.</w:t>
      </w:r>
    </w:p>
    <w:p w14:paraId="6BEB6ED4" w14:textId="77777777" w:rsidR="00162CE2" w:rsidRPr="002606DB" w:rsidRDefault="00162CE2" w:rsidP="00056F35">
      <w:pPr>
        <w:pStyle w:val="a3"/>
        <w:adjustRightInd w:val="0"/>
        <w:snapToGrid w:val="0"/>
        <w:rPr>
          <w:snapToGrid w:val="0"/>
          <w:lang w:val="pt-PT"/>
        </w:rPr>
      </w:pPr>
    </w:p>
    <w:p w14:paraId="42079CDF" w14:textId="77777777" w:rsidR="00162CE2" w:rsidRPr="002606DB" w:rsidRDefault="00162CE2" w:rsidP="00056F35">
      <w:pPr>
        <w:pStyle w:val="a3"/>
        <w:adjustRightInd w:val="0"/>
        <w:snapToGrid w:val="0"/>
        <w:rPr>
          <w:snapToGrid w:val="0"/>
          <w:lang w:val="pt-PT"/>
        </w:rPr>
      </w:pPr>
      <w:r w:rsidRPr="002606DB">
        <w:rPr>
          <w:snapToGrid w:val="0"/>
          <w:u w:val="single"/>
          <w:lang w:val="pt-PT"/>
        </w:rPr>
        <w:t>Outras populações especiais</w:t>
      </w:r>
    </w:p>
    <w:p w14:paraId="3919F98B" w14:textId="77777777" w:rsidR="00162CE2" w:rsidRPr="002606DB" w:rsidRDefault="00162CE2" w:rsidP="00056F35">
      <w:pPr>
        <w:pStyle w:val="a3"/>
        <w:adjustRightInd w:val="0"/>
        <w:snapToGrid w:val="0"/>
        <w:rPr>
          <w:snapToGrid w:val="0"/>
          <w:lang w:val="pt-PT"/>
        </w:rPr>
      </w:pPr>
    </w:p>
    <w:p w14:paraId="34871DDE"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Doentes idosos</w:t>
      </w:r>
    </w:p>
    <w:p w14:paraId="3E91955B" w14:textId="1F828E28" w:rsidR="00162CE2" w:rsidRPr="002606DB" w:rsidRDefault="00162CE2" w:rsidP="00056F35">
      <w:pPr>
        <w:pStyle w:val="a3"/>
        <w:adjustRightInd w:val="0"/>
        <w:snapToGrid w:val="0"/>
        <w:rPr>
          <w:snapToGrid w:val="0"/>
          <w:lang w:val="pt-PT"/>
        </w:rPr>
      </w:pPr>
      <w:r w:rsidRPr="002606DB">
        <w:rPr>
          <w:snapToGrid w:val="0"/>
          <w:lang w:val="pt-PT"/>
        </w:rPr>
        <w:lastRenderedPageBreak/>
        <w:t>Em ensaios clínicos aleatorizados</w:t>
      </w:r>
      <w:r w:rsidR="00AD69C1" w:rsidRPr="007155C0">
        <w:rPr>
          <w:lang w:val="pt-PT"/>
        </w:rPr>
        <w:t>,</w:t>
      </w:r>
      <w:r w:rsidRPr="002606DB">
        <w:rPr>
          <w:snapToGrid w:val="0"/>
          <w:lang w:val="pt-PT"/>
        </w:rPr>
        <w:t xml:space="preserve"> o tratamento de doentes com idade &gt; 65 anos com </w:t>
      </w:r>
      <w:r w:rsidR="005177B0" w:rsidRPr="007155C0">
        <w:rPr>
          <w:lang w:val="pt-PT"/>
        </w:rPr>
        <w:t xml:space="preserve">bevacizumab </w:t>
      </w:r>
      <w:r w:rsidRPr="002606DB">
        <w:rPr>
          <w:snapToGrid w:val="0"/>
          <w:lang w:val="pt-PT"/>
        </w:rPr>
        <w:t>esteve associado a um risco aumentado de desenvolvimento de reações tromboembólicas arteriais</w:t>
      </w:r>
      <w:r w:rsidR="00682E3E" w:rsidRPr="007155C0">
        <w:rPr>
          <w:lang w:val="pt-PT"/>
        </w:rPr>
        <w:t>,</w:t>
      </w:r>
      <w:r w:rsidRPr="002606DB">
        <w:rPr>
          <w:snapToGrid w:val="0"/>
          <w:lang w:val="pt-PT"/>
        </w:rPr>
        <w:t xml:space="preserve"> incluindo acidentes vasculares cerebrais, acidentes isquémicos transitórios e enfartes do miocárdio. Outras reações observadas com uma frequência superior em doentes com mais de 65 anos foram: leucopenia e trombocitopenia de Grau 3-4 (NCI</w:t>
      </w:r>
      <w:r w:rsidR="00D85667" w:rsidRPr="002606DB">
        <w:rPr>
          <w:snapToGrid w:val="0"/>
          <w:lang w:val="pt-PT"/>
        </w:rPr>
        <w:noBreakHyphen/>
      </w:r>
      <w:r w:rsidRPr="002606DB">
        <w:rPr>
          <w:snapToGrid w:val="0"/>
          <w:lang w:val="pt-PT"/>
        </w:rPr>
        <w:t xml:space="preserve">CTCAE v.3), neutropenia, diarreia, náuseas, cefaleia e fadiga de todos os Graus, comparativamente com as observadas em doentes com idade ≤ 65 anos quando tratados com bevacizumab (ver secções 4.4 e 4.8 em </w:t>
      </w:r>
      <w:r w:rsidRPr="002606DB">
        <w:rPr>
          <w:i/>
          <w:snapToGrid w:val="0"/>
          <w:lang w:val="pt-PT"/>
        </w:rPr>
        <w:t>Tromboembolismo</w:t>
      </w:r>
      <w:r w:rsidRPr="002606DB">
        <w:rPr>
          <w:snapToGrid w:val="0"/>
          <w:lang w:val="pt-PT"/>
        </w:rPr>
        <w:t xml:space="preserve">). Em um ensaio clínico a incidência de hipertensão Grau ≥ 3 foi duas vezes maior em doentes &gt; 65 anos de idade do que no grupo de doentes mais jovens (&lt; 65 anos). Num estudo com doentes com cancro do ovário recorrente resistente a platina, foram também notificadas alopécia, inflamação da mucosa, neuropatia sensorial periférica, proteinúria e hipertensão e ocorreram a uma taxa pelo menos 5% superior no </w:t>
      </w:r>
      <w:r w:rsidR="00B72472">
        <w:rPr>
          <w:snapToGrid w:val="0"/>
          <w:lang w:val="pt-PT"/>
        </w:rPr>
        <w:t>grupo</w:t>
      </w:r>
      <w:r w:rsidRPr="002606DB">
        <w:rPr>
          <w:snapToGrid w:val="0"/>
          <w:lang w:val="pt-PT"/>
        </w:rPr>
        <w:t xml:space="preserve"> de QT + BV para os doentes com idade </w:t>
      </w:r>
      <w:r w:rsidRPr="002606DB">
        <w:rPr>
          <w:rFonts w:ascii="Symbol" w:hAnsi="Symbol"/>
          <w:snapToGrid w:val="0"/>
          <w:lang w:val="pt-PT"/>
        </w:rPr>
        <w:t></w:t>
      </w:r>
      <w:r w:rsidRPr="002606DB">
        <w:rPr>
          <w:snapToGrid w:val="0"/>
          <w:lang w:val="pt-PT"/>
        </w:rPr>
        <w:t xml:space="preserve"> 65 anos tratados com bevacizumab, comparativamente com doentes com idade &lt; 65 anos tratados com bevacizumab.</w:t>
      </w:r>
    </w:p>
    <w:p w14:paraId="721B9760" w14:textId="1954348B" w:rsidR="00162CE2" w:rsidRPr="002606DB" w:rsidRDefault="00162CE2" w:rsidP="00056F35">
      <w:pPr>
        <w:pStyle w:val="a3"/>
        <w:adjustRightInd w:val="0"/>
        <w:snapToGrid w:val="0"/>
        <w:rPr>
          <w:snapToGrid w:val="0"/>
          <w:lang w:val="pt-PT"/>
        </w:rPr>
      </w:pPr>
      <w:r w:rsidRPr="002606DB">
        <w:rPr>
          <w:snapToGrid w:val="0"/>
          <w:lang w:val="pt-PT"/>
        </w:rPr>
        <w:t xml:space="preserve">Não foi observado um aumento da incidência de outras reações, incluindo perfuração gastrointestinal, complicações na cicatrização de feridas, </w:t>
      </w:r>
      <w:r w:rsidR="00814C6F">
        <w:rPr>
          <w:snapToGrid w:val="0"/>
          <w:lang w:val="pt-PT"/>
        </w:rPr>
        <w:t xml:space="preserve">ICC </w:t>
      </w:r>
      <w:r w:rsidRPr="002606DB">
        <w:rPr>
          <w:snapToGrid w:val="0"/>
          <w:lang w:val="pt-PT"/>
        </w:rPr>
        <w:t>e hemorragia em doentes idosos (&gt; 65 anos)</w:t>
      </w:r>
      <w:r w:rsidR="00D85667" w:rsidRPr="002606DB">
        <w:rPr>
          <w:snapToGrid w:val="0"/>
          <w:lang w:val="pt-PT"/>
        </w:rPr>
        <w:t xml:space="preserve"> a receber bevacizumab</w:t>
      </w:r>
      <w:r w:rsidRPr="002606DB">
        <w:rPr>
          <w:snapToGrid w:val="0"/>
          <w:lang w:val="pt-PT"/>
        </w:rPr>
        <w:t xml:space="preserve">, comparativamente com doentes com idade </w:t>
      </w:r>
      <w:r w:rsidRPr="002606DB">
        <w:rPr>
          <w:rFonts w:ascii="Symbol" w:hAnsi="Symbol"/>
          <w:snapToGrid w:val="0"/>
          <w:lang w:val="pt-PT"/>
        </w:rPr>
        <w:t></w:t>
      </w:r>
      <w:r w:rsidRPr="002606DB">
        <w:rPr>
          <w:snapToGrid w:val="0"/>
          <w:lang w:val="pt-PT"/>
        </w:rPr>
        <w:t>65 anos tratados com bevacizumab</w:t>
      </w:r>
    </w:p>
    <w:p w14:paraId="278B3D7B" w14:textId="77777777" w:rsidR="00162CE2" w:rsidRPr="002606DB" w:rsidRDefault="00162CE2" w:rsidP="00056F35">
      <w:pPr>
        <w:pStyle w:val="a3"/>
        <w:adjustRightInd w:val="0"/>
        <w:snapToGrid w:val="0"/>
        <w:rPr>
          <w:snapToGrid w:val="0"/>
          <w:lang w:val="pt-PT"/>
        </w:rPr>
      </w:pPr>
    </w:p>
    <w:p w14:paraId="23C2580D"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População pediátrica</w:t>
      </w:r>
    </w:p>
    <w:p w14:paraId="71B89F52" w14:textId="10D59BB5" w:rsidR="00162CE2" w:rsidRPr="002606DB" w:rsidRDefault="00162CE2" w:rsidP="00056F35">
      <w:pPr>
        <w:pStyle w:val="a3"/>
        <w:adjustRightInd w:val="0"/>
        <w:snapToGrid w:val="0"/>
        <w:rPr>
          <w:snapToGrid w:val="0"/>
          <w:lang w:val="pt-PT"/>
        </w:rPr>
      </w:pPr>
      <w:r w:rsidRPr="002606DB">
        <w:rPr>
          <w:snapToGrid w:val="0"/>
          <w:lang w:val="pt-PT"/>
        </w:rPr>
        <w:t>A segurança e eficácia de bevacizumab em crianças com menos de 18 anos de idade não foram estabelecidas.</w:t>
      </w:r>
    </w:p>
    <w:p w14:paraId="52C4FA42" w14:textId="77777777" w:rsidR="00162CE2" w:rsidRPr="002606DB" w:rsidRDefault="00162CE2" w:rsidP="00056F35">
      <w:pPr>
        <w:pStyle w:val="a3"/>
        <w:adjustRightInd w:val="0"/>
        <w:snapToGrid w:val="0"/>
        <w:rPr>
          <w:snapToGrid w:val="0"/>
          <w:lang w:val="pt-PT"/>
        </w:rPr>
      </w:pPr>
    </w:p>
    <w:p w14:paraId="69C19E59" w14:textId="70C31196" w:rsidR="00162CE2" w:rsidRPr="002606DB" w:rsidRDefault="00162CE2" w:rsidP="00056F35">
      <w:pPr>
        <w:pStyle w:val="a3"/>
        <w:adjustRightInd w:val="0"/>
        <w:snapToGrid w:val="0"/>
        <w:rPr>
          <w:snapToGrid w:val="0"/>
          <w:lang w:val="pt-PT"/>
        </w:rPr>
      </w:pPr>
      <w:r w:rsidRPr="002606DB">
        <w:rPr>
          <w:snapToGrid w:val="0"/>
          <w:lang w:val="pt-PT"/>
        </w:rPr>
        <w:t>No estudo BO25041 de associação de bevacizumab à radioterapia (RT) pós-operatória com temozolomida concomitante e adjuvante em doentes pediátricos com gliomas de alto grau, supratentoriais, infratentoriais, cerebelosos ou pedunculares, recentemente diagnosticados, o perfil de segurança foi comparável ao observado noutros tipos de tumores em adultos tratados com bevacizumab.</w:t>
      </w:r>
    </w:p>
    <w:p w14:paraId="43E4BD82" w14:textId="77777777" w:rsidR="00162CE2" w:rsidRPr="002606DB" w:rsidRDefault="00162CE2" w:rsidP="00056F35">
      <w:pPr>
        <w:pStyle w:val="a3"/>
        <w:adjustRightInd w:val="0"/>
        <w:snapToGrid w:val="0"/>
        <w:rPr>
          <w:snapToGrid w:val="0"/>
          <w:lang w:val="pt-PT"/>
        </w:rPr>
      </w:pPr>
    </w:p>
    <w:p w14:paraId="394703C3" w14:textId="7BAB43E7" w:rsidR="00162CE2" w:rsidRPr="002606DB" w:rsidRDefault="00162CE2" w:rsidP="00AD2204">
      <w:pPr>
        <w:pStyle w:val="a3"/>
        <w:keepNext/>
        <w:keepLines/>
        <w:widowControl/>
        <w:adjustRightInd w:val="0"/>
        <w:snapToGrid w:val="0"/>
        <w:rPr>
          <w:snapToGrid w:val="0"/>
          <w:lang w:val="pt-PT"/>
        </w:rPr>
      </w:pPr>
      <w:r w:rsidRPr="002606DB">
        <w:rPr>
          <w:snapToGrid w:val="0"/>
          <w:lang w:val="pt-PT"/>
        </w:rPr>
        <w:t>No estudo BO20924</w:t>
      </w:r>
      <w:r w:rsidR="00682E3E" w:rsidRPr="007155C0">
        <w:rPr>
          <w:lang w:val="pt-PT"/>
        </w:rPr>
        <w:t>,</w:t>
      </w:r>
      <w:r w:rsidRPr="002606DB">
        <w:rPr>
          <w:snapToGrid w:val="0"/>
          <w:lang w:val="pt-PT"/>
        </w:rPr>
        <w:t xml:space="preserve"> que associou bevacizumab ao atual tratamento padrão no rabdomiossarcoma e sarcoma dos tecidos moles não</w:t>
      </w:r>
      <w:r w:rsidR="00D85667" w:rsidRPr="002606DB">
        <w:rPr>
          <w:snapToGrid w:val="0"/>
          <w:lang w:val="pt-PT"/>
        </w:rPr>
        <w:noBreakHyphen/>
      </w:r>
      <w:r w:rsidRPr="002606DB">
        <w:rPr>
          <w:snapToGrid w:val="0"/>
          <w:lang w:val="pt-PT"/>
        </w:rPr>
        <w:t>rabdomiossarcoma metastizados, o perfil de segurança nas crianças tratadas com bevacizumab foi comparável com o observado nos adultos tratados com bevacizumab.</w:t>
      </w:r>
    </w:p>
    <w:p w14:paraId="74681A04" w14:textId="77777777" w:rsidR="00162CE2" w:rsidRPr="002606DB" w:rsidRDefault="00162CE2" w:rsidP="00056F35">
      <w:pPr>
        <w:pStyle w:val="a3"/>
        <w:adjustRightInd w:val="0"/>
        <w:snapToGrid w:val="0"/>
        <w:rPr>
          <w:snapToGrid w:val="0"/>
          <w:lang w:val="pt-PT"/>
        </w:rPr>
      </w:pPr>
    </w:p>
    <w:p w14:paraId="58BB04E9" w14:textId="45C4D9D6" w:rsidR="00162CE2" w:rsidRPr="002606DB" w:rsidRDefault="00FB2483" w:rsidP="00056F35">
      <w:pPr>
        <w:pStyle w:val="a3"/>
        <w:adjustRightInd w:val="0"/>
        <w:snapToGrid w:val="0"/>
        <w:rPr>
          <w:snapToGrid w:val="0"/>
          <w:lang w:val="pt-PT"/>
        </w:rPr>
      </w:pPr>
      <w:r>
        <w:rPr>
          <w:color w:val="000000"/>
          <w:lang w:val="en-GB"/>
        </w:rPr>
        <w:t>Vegzelma</w:t>
      </w:r>
      <w:r w:rsidR="00162CE2" w:rsidRPr="002606DB">
        <w:rPr>
          <w:color w:val="000000"/>
          <w:lang w:val="en-GB"/>
        </w:rPr>
        <w:t xml:space="preserve"> </w:t>
      </w:r>
      <w:r w:rsidR="00162CE2" w:rsidRPr="002606DB">
        <w:rPr>
          <w:snapToGrid w:val="0"/>
          <w:lang w:val="pt-PT"/>
        </w:rPr>
        <w:t xml:space="preserve">não está aprovado para utilização em doentes com idade inferior </w:t>
      </w:r>
      <w:proofErr w:type="gramStart"/>
      <w:r w:rsidR="00162CE2" w:rsidRPr="002606DB">
        <w:rPr>
          <w:snapToGrid w:val="0"/>
          <w:lang w:val="pt-PT"/>
        </w:rPr>
        <w:t>a</w:t>
      </w:r>
      <w:proofErr w:type="gramEnd"/>
      <w:r w:rsidR="00162CE2" w:rsidRPr="002606DB">
        <w:rPr>
          <w:snapToGrid w:val="0"/>
          <w:lang w:val="pt-PT"/>
        </w:rPr>
        <w:t xml:space="preserve"> 18 anos. Em casos publicados na literatura, foram observados casos de osteonecrose não</w:t>
      </w:r>
      <w:r w:rsidR="00D85667" w:rsidRPr="002606DB">
        <w:rPr>
          <w:snapToGrid w:val="0"/>
          <w:lang w:val="pt-PT"/>
        </w:rPr>
        <w:noBreakHyphen/>
      </w:r>
      <w:r w:rsidR="00162CE2" w:rsidRPr="002606DB">
        <w:rPr>
          <w:snapToGrid w:val="0"/>
          <w:lang w:val="pt-PT"/>
        </w:rPr>
        <w:t>mandibular em doentes com idade inferior a 18 anos tratados com bevacizumab.</w:t>
      </w:r>
    </w:p>
    <w:p w14:paraId="19B8496C" w14:textId="77777777" w:rsidR="00162CE2" w:rsidRPr="002606DB" w:rsidRDefault="00162CE2" w:rsidP="00056F35">
      <w:pPr>
        <w:adjustRightInd w:val="0"/>
        <w:snapToGrid w:val="0"/>
        <w:rPr>
          <w:snapToGrid w:val="0"/>
          <w:lang w:val="pt-PT"/>
        </w:rPr>
      </w:pPr>
    </w:p>
    <w:p w14:paraId="4DE5617E" w14:textId="58D146D9" w:rsidR="00162CE2" w:rsidRPr="002606DB" w:rsidRDefault="00162CE2" w:rsidP="00417EC0">
      <w:pPr>
        <w:pStyle w:val="a3"/>
        <w:keepNext/>
        <w:keepLines/>
        <w:adjustRightInd w:val="0"/>
        <w:snapToGrid w:val="0"/>
        <w:rPr>
          <w:snapToGrid w:val="0"/>
          <w:lang w:val="pt-PT"/>
        </w:rPr>
      </w:pPr>
      <w:r w:rsidRPr="002606DB">
        <w:rPr>
          <w:snapToGrid w:val="0"/>
          <w:u w:val="single"/>
          <w:lang w:val="pt-PT"/>
        </w:rPr>
        <w:t>Experiência pós</w:t>
      </w:r>
      <w:r w:rsidR="00D85667" w:rsidRPr="002606DB">
        <w:rPr>
          <w:snapToGrid w:val="0"/>
          <w:u w:val="single"/>
          <w:lang w:val="pt-PT"/>
        </w:rPr>
        <w:noBreakHyphen/>
      </w:r>
      <w:r w:rsidRPr="002606DB">
        <w:rPr>
          <w:snapToGrid w:val="0"/>
          <w:u w:val="single"/>
          <w:lang w:val="pt-PT"/>
        </w:rPr>
        <w:t>comercialização</w:t>
      </w:r>
    </w:p>
    <w:p w14:paraId="73D9ED85" w14:textId="77777777" w:rsidR="00162CE2" w:rsidRPr="002606DB" w:rsidRDefault="00162CE2" w:rsidP="00417EC0">
      <w:pPr>
        <w:pStyle w:val="a3"/>
        <w:keepNext/>
        <w:keepLines/>
        <w:adjustRightInd w:val="0"/>
        <w:snapToGrid w:val="0"/>
        <w:rPr>
          <w:snapToGrid w:val="0"/>
          <w:lang w:val="pt-PT"/>
        </w:rPr>
      </w:pPr>
    </w:p>
    <w:p w14:paraId="0A7A03DA" w14:textId="7C58097B" w:rsidR="00162CE2" w:rsidRPr="00730741" w:rsidRDefault="00F71117"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3</w:t>
      </w:r>
      <w:r w:rsidR="00162CE2" w:rsidRPr="00730741">
        <w:rPr>
          <w:b/>
          <w:bCs/>
          <w:snapToGrid w:val="0"/>
          <w:lang w:val="pt-PT"/>
        </w:rPr>
        <w:tab/>
        <w:t>Reações adversas notificadas em ambiente pós</w:t>
      </w:r>
      <w:r w:rsidR="00D85667" w:rsidRPr="00730741">
        <w:rPr>
          <w:b/>
          <w:bCs/>
          <w:snapToGrid w:val="0"/>
          <w:lang w:val="pt-PT"/>
        </w:rPr>
        <w:noBreakHyphen/>
      </w:r>
      <w:r w:rsidR="00162CE2" w:rsidRPr="00730741">
        <w:rPr>
          <w:b/>
          <w:bCs/>
          <w:snapToGrid w:val="0"/>
          <w:lang w:val="pt-PT"/>
        </w:rPr>
        <w:t>comercialização</w:t>
      </w:r>
    </w:p>
    <w:p w14:paraId="05F2717B" w14:textId="77777777" w:rsidR="00162CE2" w:rsidRPr="002606DB" w:rsidRDefault="00162CE2" w:rsidP="00056F35">
      <w:pPr>
        <w:pStyle w:val="a3"/>
        <w:adjustRightInd w:val="0"/>
        <w:snapToGrid w:val="0"/>
        <w:rPr>
          <w:b/>
          <w:snapToGrid w:val="0"/>
          <w:lang w:val="pt-PT"/>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4"/>
        <w:gridCol w:w="6706"/>
      </w:tblGrid>
      <w:tr w:rsidR="00162CE2" w:rsidRPr="002606DB" w14:paraId="33EA5C9B" w14:textId="77777777" w:rsidTr="00A64384">
        <w:trPr>
          <w:cantSplit/>
          <w:tblHeader/>
        </w:trPr>
        <w:tc>
          <w:tcPr>
            <w:tcW w:w="2275" w:type="dxa"/>
            <w:vAlign w:val="center"/>
          </w:tcPr>
          <w:p w14:paraId="40F82066" w14:textId="77777777" w:rsidR="00162CE2" w:rsidRPr="002606DB" w:rsidRDefault="00162CE2" w:rsidP="00BF5A3A">
            <w:pPr>
              <w:pStyle w:val="TableParagraph"/>
              <w:adjustRightInd w:val="0"/>
              <w:snapToGrid w:val="0"/>
              <w:jc w:val="center"/>
              <w:rPr>
                <w:b/>
                <w:bCs/>
                <w:i/>
                <w:snapToGrid w:val="0"/>
                <w:sz w:val="20"/>
                <w:lang w:val="pt-PT"/>
              </w:rPr>
            </w:pPr>
            <w:r w:rsidRPr="002606DB">
              <w:rPr>
                <w:b/>
                <w:bCs/>
                <w:i/>
                <w:snapToGrid w:val="0"/>
                <w:sz w:val="20"/>
                <w:lang w:val="pt-PT"/>
              </w:rPr>
              <w:t>Classes de sistemas de órgãos (SOC)</w:t>
            </w:r>
          </w:p>
        </w:tc>
        <w:tc>
          <w:tcPr>
            <w:tcW w:w="6480" w:type="dxa"/>
            <w:vAlign w:val="center"/>
          </w:tcPr>
          <w:p w14:paraId="09FFC30C" w14:textId="77777777" w:rsidR="00162CE2" w:rsidRPr="002606DB" w:rsidRDefault="00162CE2" w:rsidP="00BF5A3A">
            <w:pPr>
              <w:pStyle w:val="TableParagraph"/>
              <w:adjustRightInd w:val="0"/>
              <w:snapToGrid w:val="0"/>
              <w:jc w:val="center"/>
              <w:rPr>
                <w:b/>
                <w:bCs/>
                <w:i/>
                <w:snapToGrid w:val="0"/>
                <w:sz w:val="20"/>
                <w:lang w:val="pt-PT"/>
              </w:rPr>
            </w:pPr>
            <w:r w:rsidRPr="002606DB">
              <w:rPr>
                <w:b/>
                <w:bCs/>
                <w:i/>
                <w:snapToGrid w:val="0"/>
                <w:sz w:val="20"/>
                <w:lang w:val="pt-PT"/>
              </w:rPr>
              <w:t>Reações (frequência*)</w:t>
            </w:r>
          </w:p>
        </w:tc>
      </w:tr>
      <w:tr w:rsidR="00162CE2" w:rsidRPr="008F0C27" w14:paraId="05EE3D66" w14:textId="77777777" w:rsidTr="00A64384">
        <w:trPr>
          <w:cantSplit/>
          <w:tblHeader/>
        </w:trPr>
        <w:tc>
          <w:tcPr>
            <w:tcW w:w="2275" w:type="dxa"/>
            <w:vAlign w:val="center"/>
          </w:tcPr>
          <w:p w14:paraId="40EF7775"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Infeções e infestações</w:t>
            </w:r>
          </w:p>
        </w:tc>
        <w:tc>
          <w:tcPr>
            <w:tcW w:w="6480" w:type="dxa"/>
            <w:vAlign w:val="center"/>
          </w:tcPr>
          <w:p w14:paraId="3DC6927B" w14:textId="77777777" w:rsidR="00162CE2" w:rsidRPr="002606DB" w:rsidRDefault="00162CE2" w:rsidP="00D206FE">
            <w:pPr>
              <w:pStyle w:val="TableParagraph"/>
              <w:adjustRightInd w:val="0"/>
              <w:snapToGrid w:val="0"/>
              <w:rPr>
                <w:snapToGrid w:val="0"/>
                <w:sz w:val="20"/>
                <w:lang w:val="pt-PT"/>
              </w:rPr>
            </w:pPr>
            <w:r w:rsidRPr="002606DB">
              <w:rPr>
                <w:snapToGrid w:val="0"/>
                <w:sz w:val="20"/>
                <w:lang w:val="pt-PT"/>
              </w:rPr>
              <w:t>Fasciite necrotizante, normalmente secundária a complicações na cicatrização de feridas, perfuração gastrointestinal ou formação de fístulas (rara) (ver também secção 4.4)</w:t>
            </w:r>
          </w:p>
        </w:tc>
      </w:tr>
      <w:tr w:rsidR="00162CE2" w:rsidRPr="00CA5E1C" w14:paraId="4EAF2F09" w14:textId="77777777" w:rsidTr="00A64384">
        <w:trPr>
          <w:cantSplit/>
          <w:tblHeader/>
        </w:trPr>
        <w:tc>
          <w:tcPr>
            <w:tcW w:w="2275" w:type="dxa"/>
            <w:vAlign w:val="center"/>
          </w:tcPr>
          <w:p w14:paraId="1FB614D3"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Doenças do sistema imunitário</w:t>
            </w:r>
          </w:p>
        </w:tc>
        <w:tc>
          <w:tcPr>
            <w:tcW w:w="6480" w:type="dxa"/>
            <w:vAlign w:val="center"/>
          </w:tcPr>
          <w:p w14:paraId="01686E63" w14:textId="0756C111" w:rsidR="00162CE2" w:rsidRPr="008438B6" w:rsidRDefault="00162CE2" w:rsidP="00D206FE">
            <w:pPr>
              <w:pStyle w:val="TableParagraph"/>
              <w:adjustRightInd w:val="0"/>
              <w:snapToGrid w:val="0"/>
              <w:rPr>
                <w:snapToGrid w:val="0"/>
                <w:sz w:val="20"/>
                <w:lang w:val="pt-PT"/>
              </w:rPr>
            </w:pPr>
            <w:r w:rsidRPr="002606DB">
              <w:rPr>
                <w:snapToGrid w:val="0"/>
                <w:sz w:val="20"/>
                <w:lang w:val="pt-PT"/>
              </w:rPr>
              <w:t>Reações de hipersensibilidade e reações à perfusão (</w:t>
            </w:r>
            <w:r w:rsidR="003D3B08" w:rsidRPr="00DD6A90">
              <w:rPr>
                <w:snapToGrid w:val="0"/>
                <w:sz w:val="20"/>
                <w:lang w:val="pt-PT"/>
              </w:rPr>
              <w:t>frequente</w:t>
            </w:r>
            <w:r w:rsidRPr="002606DB">
              <w:rPr>
                <w:snapToGrid w:val="0"/>
                <w:sz w:val="20"/>
                <w:lang w:val="pt-PT"/>
              </w:rPr>
              <w:t>); com as seguintes co</w:t>
            </w:r>
            <w:r w:rsidR="000C061B">
              <w:rPr>
                <w:snapToGrid w:val="0"/>
                <w:sz w:val="20"/>
                <w:lang w:val="pt-PT"/>
              </w:rPr>
              <w:t>-</w:t>
            </w:r>
            <w:r w:rsidRPr="002606DB">
              <w:rPr>
                <w:snapToGrid w:val="0"/>
                <w:sz w:val="20"/>
                <w:lang w:val="pt-PT"/>
              </w:rPr>
              <w:t xml:space="preserve">manifestações possíveis: dispneia/dificuldade respiratória, rubor/vermelhidão/erupção cutânea, hipotensão ou hipertensão, dessaturação de oxigénio, dor torácica, arrepios e náuseas/vómitos (ver também secção 4.4 e </w:t>
            </w:r>
            <w:r w:rsidRPr="001C687C">
              <w:rPr>
                <w:i/>
                <w:snapToGrid w:val="0"/>
                <w:sz w:val="20"/>
                <w:u w:val="single"/>
                <w:lang w:val="pt-PT"/>
              </w:rPr>
              <w:t>Reações de hipersensibilidade</w:t>
            </w:r>
            <w:r w:rsidR="00DD3F5D">
              <w:rPr>
                <w:rFonts w:eastAsia="맑은 고딕" w:hint="eastAsia"/>
                <w:i/>
                <w:snapToGrid w:val="0"/>
                <w:sz w:val="20"/>
                <w:u w:val="single"/>
                <w:lang w:val="pt-PT" w:eastAsia="ko-KR"/>
              </w:rPr>
              <w:t xml:space="preserve"> </w:t>
            </w:r>
            <w:r w:rsidR="00DD3F5D" w:rsidRPr="00DD3F5D">
              <w:rPr>
                <w:i/>
                <w:snapToGrid w:val="0"/>
                <w:sz w:val="20"/>
                <w:u w:val="single"/>
                <w:lang w:val="pt-PT"/>
              </w:rPr>
              <w:t>(incluindo choque anafilático)</w:t>
            </w:r>
            <w:r w:rsidRPr="001C687C">
              <w:rPr>
                <w:i/>
                <w:snapToGrid w:val="0"/>
                <w:sz w:val="20"/>
                <w:u w:val="single"/>
                <w:lang w:val="pt-PT"/>
              </w:rPr>
              <w:t>/reações à perfusão</w:t>
            </w:r>
            <w:r w:rsidRPr="002606DB">
              <w:rPr>
                <w:i/>
                <w:snapToGrid w:val="0"/>
                <w:sz w:val="20"/>
                <w:lang w:val="pt-PT"/>
              </w:rPr>
              <w:t xml:space="preserve"> </w:t>
            </w:r>
            <w:r w:rsidRPr="002606DB">
              <w:rPr>
                <w:snapToGrid w:val="0"/>
                <w:sz w:val="20"/>
                <w:lang w:val="pt-PT"/>
              </w:rPr>
              <w:t>acima)</w:t>
            </w:r>
            <w:r w:rsidR="008438B6" w:rsidRPr="00DD6A90">
              <w:rPr>
                <w:lang w:val="pt-PT"/>
              </w:rPr>
              <w:t>.</w:t>
            </w:r>
          </w:p>
          <w:p w14:paraId="4EFF76DD" w14:textId="77777777" w:rsidR="00CA5E1C" w:rsidRDefault="00CA5E1C" w:rsidP="00D206FE">
            <w:pPr>
              <w:pStyle w:val="TableParagraph"/>
              <w:adjustRightInd w:val="0"/>
              <w:snapToGrid w:val="0"/>
              <w:rPr>
                <w:snapToGrid w:val="0"/>
                <w:sz w:val="20"/>
                <w:lang w:val="pt-PT"/>
              </w:rPr>
            </w:pPr>
          </w:p>
          <w:p w14:paraId="2749A0EB" w14:textId="79824888" w:rsidR="00CA5E1C" w:rsidRPr="002606DB" w:rsidRDefault="00CA5E1C" w:rsidP="00D206FE">
            <w:pPr>
              <w:pStyle w:val="TableParagraph"/>
              <w:adjustRightInd w:val="0"/>
              <w:snapToGrid w:val="0"/>
              <w:rPr>
                <w:snapToGrid w:val="0"/>
                <w:sz w:val="20"/>
                <w:lang w:val="pt-PT"/>
              </w:rPr>
            </w:pPr>
            <w:r w:rsidRPr="00CA5E1C">
              <w:rPr>
                <w:snapToGrid w:val="0"/>
                <w:sz w:val="20"/>
                <w:lang w:val="pt-PT"/>
              </w:rPr>
              <w:t>Choque anafilático (raro) (ver também a secção 4.4).</w:t>
            </w:r>
          </w:p>
        </w:tc>
      </w:tr>
      <w:tr w:rsidR="00162CE2" w:rsidRPr="002606DB" w14:paraId="52CE97DC" w14:textId="77777777" w:rsidTr="00A64384">
        <w:trPr>
          <w:cantSplit/>
          <w:tblHeader/>
        </w:trPr>
        <w:tc>
          <w:tcPr>
            <w:tcW w:w="2275" w:type="dxa"/>
            <w:vAlign w:val="center"/>
          </w:tcPr>
          <w:p w14:paraId="31AC5A0A"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Doenças do sistema nervoso</w:t>
            </w:r>
          </w:p>
        </w:tc>
        <w:tc>
          <w:tcPr>
            <w:tcW w:w="6480" w:type="dxa"/>
            <w:vAlign w:val="center"/>
          </w:tcPr>
          <w:p w14:paraId="75E84BC6" w14:textId="2DB6329B" w:rsidR="00162CE2" w:rsidRPr="002606DB" w:rsidRDefault="00162CE2" w:rsidP="00D206FE">
            <w:pPr>
              <w:pStyle w:val="TableParagraph"/>
              <w:adjustRightInd w:val="0"/>
              <w:snapToGrid w:val="0"/>
              <w:rPr>
                <w:snapToGrid w:val="0"/>
                <w:sz w:val="20"/>
                <w:lang w:val="pt-PT"/>
              </w:rPr>
            </w:pPr>
            <w:r w:rsidRPr="002606DB">
              <w:rPr>
                <w:snapToGrid w:val="0"/>
                <w:sz w:val="20"/>
                <w:lang w:val="pt-PT"/>
              </w:rPr>
              <w:t>Encefalopatia hipertensiva (muito raro) (ver também secção 4.4 e</w:t>
            </w:r>
            <w:r w:rsidR="00D85667" w:rsidRPr="002606DB">
              <w:rPr>
                <w:snapToGrid w:val="0"/>
                <w:sz w:val="20"/>
                <w:lang w:val="pt-PT"/>
              </w:rPr>
              <w:t xml:space="preserve"> </w:t>
            </w:r>
            <w:r w:rsidRPr="001C687C">
              <w:rPr>
                <w:i/>
                <w:snapToGrid w:val="0"/>
                <w:sz w:val="20"/>
                <w:u w:val="single"/>
                <w:lang w:val="pt-PT"/>
              </w:rPr>
              <w:t>Hipertensão</w:t>
            </w:r>
            <w:r w:rsidRPr="002606DB">
              <w:rPr>
                <w:i/>
                <w:snapToGrid w:val="0"/>
                <w:sz w:val="20"/>
                <w:lang w:val="pt-PT"/>
              </w:rPr>
              <w:t xml:space="preserve"> </w:t>
            </w:r>
            <w:r w:rsidRPr="002606DB">
              <w:rPr>
                <w:snapToGrid w:val="0"/>
                <w:sz w:val="20"/>
                <w:lang w:val="pt-PT"/>
              </w:rPr>
              <w:t>na secção 4.8).</w:t>
            </w:r>
          </w:p>
          <w:p w14:paraId="346939E8" w14:textId="77777777" w:rsidR="00D85667" w:rsidRPr="002606DB" w:rsidRDefault="00D85667" w:rsidP="00D206FE">
            <w:pPr>
              <w:pStyle w:val="TableParagraph"/>
              <w:adjustRightInd w:val="0"/>
              <w:snapToGrid w:val="0"/>
              <w:rPr>
                <w:snapToGrid w:val="0"/>
                <w:sz w:val="20"/>
                <w:lang w:val="pt-PT"/>
              </w:rPr>
            </w:pPr>
          </w:p>
          <w:p w14:paraId="6BAFD015" w14:textId="7E7AC566" w:rsidR="00162CE2" w:rsidRPr="002606DB" w:rsidRDefault="00162CE2" w:rsidP="00D206FE">
            <w:pPr>
              <w:pStyle w:val="TableParagraph"/>
              <w:adjustRightInd w:val="0"/>
              <w:snapToGrid w:val="0"/>
              <w:rPr>
                <w:snapToGrid w:val="0"/>
                <w:sz w:val="20"/>
                <w:lang w:val="pt-PT"/>
              </w:rPr>
            </w:pPr>
            <w:r w:rsidRPr="002606DB">
              <w:rPr>
                <w:snapToGrid w:val="0"/>
                <w:sz w:val="20"/>
                <w:lang w:val="pt-PT"/>
              </w:rPr>
              <w:t xml:space="preserve">Síndrome de </w:t>
            </w:r>
            <w:r w:rsidR="00814C6F">
              <w:rPr>
                <w:snapToGrid w:val="0"/>
                <w:sz w:val="20"/>
                <w:lang w:val="pt-PT"/>
              </w:rPr>
              <w:t>e</w:t>
            </w:r>
            <w:r w:rsidRPr="002606DB">
              <w:rPr>
                <w:snapToGrid w:val="0"/>
                <w:sz w:val="20"/>
                <w:lang w:val="pt-PT"/>
              </w:rPr>
              <w:t xml:space="preserve">ncefalopatia </w:t>
            </w:r>
            <w:r w:rsidR="00814C6F">
              <w:rPr>
                <w:snapToGrid w:val="0"/>
                <w:sz w:val="20"/>
                <w:lang w:val="pt-PT"/>
              </w:rPr>
              <w:t>p</w:t>
            </w:r>
            <w:r w:rsidRPr="002606DB">
              <w:rPr>
                <w:snapToGrid w:val="0"/>
                <w:sz w:val="20"/>
                <w:lang w:val="pt-PT"/>
              </w:rPr>
              <w:t xml:space="preserve">osterior </w:t>
            </w:r>
            <w:r w:rsidR="00814C6F">
              <w:rPr>
                <w:snapToGrid w:val="0"/>
                <w:sz w:val="20"/>
                <w:lang w:val="pt-PT"/>
              </w:rPr>
              <w:t>r</w:t>
            </w:r>
            <w:r w:rsidRPr="002606DB">
              <w:rPr>
                <w:snapToGrid w:val="0"/>
                <w:sz w:val="20"/>
                <w:lang w:val="pt-PT"/>
              </w:rPr>
              <w:t>eversível (SEPR), (raro) (ver também a secção 4.4).</w:t>
            </w:r>
          </w:p>
        </w:tc>
      </w:tr>
      <w:tr w:rsidR="00162CE2" w:rsidRPr="008F0C27" w14:paraId="13DD498C" w14:textId="77777777" w:rsidTr="00A64384">
        <w:trPr>
          <w:cantSplit/>
          <w:tblHeader/>
        </w:trPr>
        <w:tc>
          <w:tcPr>
            <w:tcW w:w="2275" w:type="dxa"/>
            <w:vAlign w:val="center"/>
          </w:tcPr>
          <w:p w14:paraId="5AA4B1DB"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Vasculopatias</w:t>
            </w:r>
          </w:p>
        </w:tc>
        <w:tc>
          <w:tcPr>
            <w:tcW w:w="6480" w:type="dxa"/>
            <w:vAlign w:val="center"/>
          </w:tcPr>
          <w:p w14:paraId="7B47FDB7" w14:textId="18394C08" w:rsidR="00162CE2" w:rsidRPr="002606DB" w:rsidRDefault="00162CE2" w:rsidP="00D206FE">
            <w:pPr>
              <w:pStyle w:val="TableParagraph"/>
              <w:adjustRightInd w:val="0"/>
              <w:snapToGrid w:val="0"/>
              <w:rPr>
                <w:snapToGrid w:val="0"/>
                <w:sz w:val="20"/>
                <w:lang w:val="pt-PT"/>
              </w:rPr>
            </w:pPr>
            <w:r w:rsidRPr="002606DB">
              <w:rPr>
                <w:snapToGrid w:val="0"/>
                <w:sz w:val="20"/>
                <w:lang w:val="pt-PT"/>
              </w:rPr>
              <w:t>Microangiopatia trombótica renal, que pode manifestar-se clinicamente por proteinúria (desconhecida) com ou sem utilização concomitante de sunitinib. Para mais informação sobre proteinúria</w:t>
            </w:r>
            <w:r w:rsidR="006D1181" w:rsidRPr="007155C0">
              <w:rPr>
                <w:lang w:val="fr-CA"/>
              </w:rPr>
              <w:t>,</w:t>
            </w:r>
            <w:r w:rsidRPr="002606DB">
              <w:rPr>
                <w:snapToGrid w:val="0"/>
                <w:sz w:val="20"/>
                <w:lang w:val="pt-PT"/>
              </w:rPr>
              <w:t xml:space="preserve"> ver secção 4.4 e </w:t>
            </w:r>
            <w:r w:rsidRPr="001C687C">
              <w:rPr>
                <w:i/>
                <w:snapToGrid w:val="0"/>
                <w:sz w:val="20"/>
                <w:u w:val="single"/>
                <w:lang w:val="pt-PT"/>
              </w:rPr>
              <w:t>Proteinúria</w:t>
            </w:r>
            <w:r w:rsidRPr="002606DB">
              <w:rPr>
                <w:i/>
                <w:snapToGrid w:val="0"/>
                <w:sz w:val="20"/>
                <w:lang w:val="pt-PT"/>
              </w:rPr>
              <w:t xml:space="preserve"> </w:t>
            </w:r>
            <w:r w:rsidRPr="002606DB">
              <w:rPr>
                <w:snapToGrid w:val="0"/>
                <w:sz w:val="20"/>
                <w:lang w:val="pt-PT"/>
              </w:rPr>
              <w:t>na secção 4.8.</w:t>
            </w:r>
          </w:p>
        </w:tc>
      </w:tr>
      <w:tr w:rsidR="00162CE2" w:rsidRPr="002606DB" w14:paraId="2E0D4C8B" w14:textId="77777777" w:rsidTr="00A64384">
        <w:trPr>
          <w:cantSplit/>
          <w:tblHeader/>
        </w:trPr>
        <w:tc>
          <w:tcPr>
            <w:tcW w:w="2275" w:type="dxa"/>
            <w:vAlign w:val="center"/>
          </w:tcPr>
          <w:p w14:paraId="2B5B4146"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Doenças respiratórias, torácicas e do mediastino</w:t>
            </w:r>
          </w:p>
        </w:tc>
        <w:tc>
          <w:tcPr>
            <w:tcW w:w="6480" w:type="dxa"/>
            <w:vAlign w:val="center"/>
          </w:tcPr>
          <w:p w14:paraId="2C64B1FF" w14:textId="5C8B7356" w:rsidR="00162CE2" w:rsidRPr="002606DB" w:rsidRDefault="00162CE2" w:rsidP="000049B1">
            <w:pPr>
              <w:pStyle w:val="TableParagraph"/>
              <w:adjustRightInd w:val="0"/>
              <w:snapToGrid w:val="0"/>
              <w:rPr>
                <w:snapToGrid w:val="0"/>
                <w:sz w:val="20"/>
                <w:lang w:val="pt-PT"/>
              </w:rPr>
            </w:pPr>
            <w:r w:rsidRPr="002606DB">
              <w:rPr>
                <w:snapToGrid w:val="0"/>
                <w:sz w:val="20"/>
                <w:lang w:val="pt-PT"/>
              </w:rPr>
              <w:t>Perfuração do septo nasal (desconhecida)</w:t>
            </w:r>
            <w:r w:rsidR="00814C6F">
              <w:rPr>
                <w:snapToGrid w:val="0"/>
                <w:sz w:val="20"/>
                <w:lang w:val="pt-PT"/>
              </w:rPr>
              <w:t>,</w:t>
            </w:r>
            <w:r w:rsidR="000049B1">
              <w:rPr>
                <w:snapToGrid w:val="0"/>
                <w:sz w:val="20"/>
                <w:lang w:val="pt-PT"/>
              </w:rPr>
              <w:t xml:space="preserve"> </w:t>
            </w:r>
            <w:r w:rsidR="00814C6F">
              <w:rPr>
                <w:snapToGrid w:val="0"/>
                <w:sz w:val="20"/>
                <w:lang w:val="pt-PT"/>
              </w:rPr>
              <w:t>h</w:t>
            </w:r>
            <w:r w:rsidRPr="002606DB">
              <w:rPr>
                <w:snapToGrid w:val="0"/>
                <w:sz w:val="20"/>
                <w:lang w:val="pt-PT"/>
              </w:rPr>
              <w:t>ipertensão pulmonar (desconhecida)</w:t>
            </w:r>
            <w:r w:rsidR="00814C6F">
              <w:rPr>
                <w:snapToGrid w:val="0"/>
                <w:sz w:val="20"/>
                <w:lang w:val="pt-PT"/>
              </w:rPr>
              <w:t>,</w:t>
            </w:r>
            <w:r w:rsidRPr="002606DB">
              <w:rPr>
                <w:snapToGrid w:val="0"/>
                <w:sz w:val="20"/>
                <w:lang w:val="pt-PT"/>
              </w:rPr>
              <w:t xml:space="preserve"> </w:t>
            </w:r>
            <w:r w:rsidR="00814C6F">
              <w:rPr>
                <w:snapToGrid w:val="0"/>
                <w:sz w:val="20"/>
                <w:lang w:val="pt-PT"/>
              </w:rPr>
              <w:t>d</w:t>
            </w:r>
            <w:r w:rsidRPr="002606DB">
              <w:rPr>
                <w:snapToGrid w:val="0"/>
                <w:sz w:val="20"/>
                <w:lang w:val="pt-PT"/>
              </w:rPr>
              <w:t>isfonia (frequente)</w:t>
            </w:r>
          </w:p>
        </w:tc>
      </w:tr>
      <w:tr w:rsidR="00162CE2" w:rsidRPr="002606DB" w14:paraId="07A69129" w14:textId="77777777" w:rsidTr="00A64384">
        <w:trPr>
          <w:cantSplit/>
          <w:tblHeader/>
        </w:trPr>
        <w:tc>
          <w:tcPr>
            <w:tcW w:w="2275" w:type="dxa"/>
            <w:vAlign w:val="center"/>
          </w:tcPr>
          <w:p w14:paraId="4F3E4038"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Doenças gastrointestinais</w:t>
            </w:r>
          </w:p>
        </w:tc>
        <w:tc>
          <w:tcPr>
            <w:tcW w:w="6480" w:type="dxa"/>
            <w:vAlign w:val="center"/>
          </w:tcPr>
          <w:p w14:paraId="22328860" w14:textId="77777777" w:rsidR="00162CE2" w:rsidRPr="002606DB" w:rsidRDefault="00162CE2" w:rsidP="00D206FE">
            <w:pPr>
              <w:pStyle w:val="TableParagraph"/>
              <w:adjustRightInd w:val="0"/>
              <w:snapToGrid w:val="0"/>
              <w:rPr>
                <w:snapToGrid w:val="0"/>
                <w:sz w:val="20"/>
                <w:lang w:val="pt-PT"/>
              </w:rPr>
            </w:pPr>
            <w:r w:rsidRPr="002606DB">
              <w:rPr>
                <w:snapToGrid w:val="0"/>
                <w:sz w:val="20"/>
                <w:lang w:val="pt-PT"/>
              </w:rPr>
              <w:t>Úlcera gastrointestinal (desconhecida)</w:t>
            </w:r>
          </w:p>
        </w:tc>
      </w:tr>
      <w:tr w:rsidR="00162CE2" w:rsidRPr="002606DB" w14:paraId="2724A641" w14:textId="77777777" w:rsidTr="00A64384">
        <w:trPr>
          <w:cantSplit/>
          <w:tblHeader/>
        </w:trPr>
        <w:tc>
          <w:tcPr>
            <w:tcW w:w="2275" w:type="dxa"/>
            <w:vAlign w:val="center"/>
          </w:tcPr>
          <w:p w14:paraId="1C1B93E9"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Afeções hepatobiliares</w:t>
            </w:r>
          </w:p>
        </w:tc>
        <w:tc>
          <w:tcPr>
            <w:tcW w:w="6480" w:type="dxa"/>
            <w:vAlign w:val="center"/>
          </w:tcPr>
          <w:p w14:paraId="69060618" w14:textId="77777777" w:rsidR="00162CE2" w:rsidRPr="002606DB" w:rsidRDefault="00162CE2" w:rsidP="00D206FE">
            <w:pPr>
              <w:pStyle w:val="TableParagraph"/>
              <w:adjustRightInd w:val="0"/>
              <w:snapToGrid w:val="0"/>
              <w:rPr>
                <w:snapToGrid w:val="0"/>
                <w:sz w:val="20"/>
                <w:lang w:val="pt-PT"/>
              </w:rPr>
            </w:pPr>
            <w:r w:rsidRPr="002606DB">
              <w:rPr>
                <w:snapToGrid w:val="0"/>
                <w:sz w:val="20"/>
                <w:lang w:val="pt-PT"/>
              </w:rPr>
              <w:t>Perfuração da vesícula biliar (desconhecida)</w:t>
            </w:r>
          </w:p>
        </w:tc>
      </w:tr>
      <w:tr w:rsidR="00162CE2" w:rsidRPr="008F0C27" w14:paraId="3BD8E5CE" w14:textId="77777777" w:rsidTr="00A64384">
        <w:trPr>
          <w:cantSplit/>
          <w:tblHeader/>
        </w:trPr>
        <w:tc>
          <w:tcPr>
            <w:tcW w:w="2275" w:type="dxa"/>
            <w:vMerge w:val="restart"/>
            <w:vAlign w:val="center"/>
          </w:tcPr>
          <w:p w14:paraId="440AD5CB"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Afeções musculoesqueléticas e dos tecidos conjuntivos</w:t>
            </w:r>
          </w:p>
        </w:tc>
        <w:tc>
          <w:tcPr>
            <w:tcW w:w="6480" w:type="dxa"/>
            <w:vAlign w:val="center"/>
          </w:tcPr>
          <w:p w14:paraId="6EB89FD7" w14:textId="33290548" w:rsidR="00162CE2" w:rsidRPr="002606DB" w:rsidRDefault="00162CE2" w:rsidP="00D206FE">
            <w:pPr>
              <w:pStyle w:val="TableParagraph"/>
              <w:adjustRightInd w:val="0"/>
              <w:snapToGrid w:val="0"/>
              <w:rPr>
                <w:snapToGrid w:val="0"/>
                <w:sz w:val="20"/>
                <w:lang w:val="pt-PT"/>
              </w:rPr>
            </w:pPr>
            <w:r w:rsidRPr="002606DB">
              <w:rPr>
                <w:snapToGrid w:val="0"/>
                <w:sz w:val="20"/>
                <w:lang w:val="pt-PT"/>
              </w:rPr>
              <w:t xml:space="preserve">Foram notificados casos de </w:t>
            </w:r>
            <w:r w:rsidR="00814C6F">
              <w:rPr>
                <w:snapToGrid w:val="0"/>
                <w:sz w:val="20"/>
                <w:lang w:val="pt-PT"/>
              </w:rPr>
              <w:t>o</w:t>
            </w:r>
            <w:r w:rsidRPr="002606DB">
              <w:rPr>
                <w:snapToGrid w:val="0"/>
                <w:sz w:val="20"/>
                <w:lang w:val="pt-PT"/>
              </w:rPr>
              <w:t xml:space="preserve">steonecrose da </w:t>
            </w:r>
            <w:r w:rsidR="00814C6F">
              <w:rPr>
                <w:snapToGrid w:val="0"/>
                <w:sz w:val="20"/>
                <w:lang w:val="pt-PT"/>
              </w:rPr>
              <w:t>m</w:t>
            </w:r>
            <w:r w:rsidRPr="002606DB">
              <w:rPr>
                <w:snapToGrid w:val="0"/>
                <w:sz w:val="20"/>
                <w:lang w:val="pt-PT"/>
              </w:rPr>
              <w:t>andíbula (ONM) em doentes tratados com bevacizumab, a maioria dos quais ocorreu em doentes que tinham fatores de risco identificados para ONM, em particular a exposição a bifosfonatos intravenosos e/ou história de doença dentária requerendo procedimentos dentários invasivos (ver também secção 4.4)</w:t>
            </w:r>
          </w:p>
        </w:tc>
      </w:tr>
      <w:tr w:rsidR="00162CE2" w:rsidRPr="008F0C27" w14:paraId="294EF1F3" w14:textId="77777777" w:rsidTr="00A64384">
        <w:trPr>
          <w:cantSplit/>
          <w:tblHeader/>
        </w:trPr>
        <w:tc>
          <w:tcPr>
            <w:tcW w:w="2275" w:type="dxa"/>
            <w:vMerge/>
            <w:tcBorders>
              <w:top w:val="nil"/>
            </w:tcBorders>
            <w:vAlign w:val="center"/>
          </w:tcPr>
          <w:p w14:paraId="0AF4DC7E" w14:textId="77777777" w:rsidR="00162CE2" w:rsidRPr="002606DB" w:rsidRDefault="00162CE2" w:rsidP="00BF5A3A">
            <w:pPr>
              <w:adjustRightInd w:val="0"/>
              <w:snapToGrid w:val="0"/>
              <w:jc w:val="center"/>
              <w:rPr>
                <w:snapToGrid w:val="0"/>
                <w:sz w:val="20"/>
                <w:szCs w:val="2"/>
                <w:lang w:val="pt-PT"/>
              </w:rPr>
            </w:pPr>
          </w:p>
        </w:tc>
        <w:tc>
          <w:tcPr>
            <w:tcW w:w="6480" w:type="dxa"/>
            <w:vAlign w:val="center"/>
          </w:tcPr>
          <w:p w14:paraId="6EBB7A47" w14:textId="1F8875A3" w:rsidR="00162CE2" w:rsidRPr="002606DB" w:rsidRDefault="00162CE2" w:rsidP="00D206FE">
            <w:pPr>
              <w:pStyle w:val="TableParagraph"/>
              <w:adjustRightInd w:val="0"/>
              <w:snapToGrid w:val="0"/>
              <w:rPr>
                <w:snapToGrid w:val="0"/>
                <w:sz w:val="20"/>
                <w:lang w:val="pt-PT"/>
              </w:rPr>
            </w:pPr>
            <w:r w:rsidRPr="002606DB">
              <w:rPr>
                <w:snapToGrid w:val="0"/>
                <w:sz w:val="20"/>
                <w:lang w:val="pt-PT"/>
              </w:rPr>
              <w:t>Foram observados casos de osteonecrose não</w:t>
            </w:r>
            <w:r w:rsidR="00D85667" w:rsidRPr="002606DB">
              <w:rPr>
                <w:snapToGrid w:val="0"/>
                <w:sz w:val="20"/>
                <w:lang w:val="pt-PT"/>
              </w:rPr>
              <w:noBreakHyphen/>
            </w:r>
            <w:r w:rsidRPr="002606DB">
              <w:rPr>
                <w:snapToGrid w:val="0"/>
                <w:sz w:val="20"/>
                <w:lang w:val="pt-PT"/>
              </w:rPr>
              <w:t xml:space="preserve">mandibular em doentes pediátricos tratados com bevacizumab (ver secção 4.8, </w:t>
            </w:r>
            <w:r w:rsidRPr="001C687C">
              <w:rPr>
                <w:i/>
                <w:snapToGrid w:val="0"/>
                <w:sz w:val="20"/>
                <w:u w:val="single"/>
                <w:lang w:val="pt-PT"/>
              </w:rPr>
              <w:t>População pediátrica</w:t>
            </w:r>
            <w:r w:rsidRPr="002606DB">
              <w:rPr>
                <w:snapToGrid w:val="0"/>
                <w:sz w:val="20"/>
                <w:lang w:val="pt-PT"/>
              </w:rPr>
              <w:t>)</w:t>
            </w:r>
          </w:p>
        </w:tc>
      </w:tr>
      <w:tr w:rsidR="00162CE2" w:rsidRPr="008F0C27" w14:paraId="4641C086" w14:textId="77777777" w:rsidTr="00BF5A3A">
        <w:trPr>
          <w:cantSplit/>
        </w:trPr>
        <w:tc>
          <w:tcPr>
            <w:tcW w:w="2275" w:type="dxa"/>
            <w:vAlign w:val="center"/>
          </w:tcPr>
          <w:p w14:paraId="54A4D05E" w14:textId="77777777" w:rsidR="00162CE2" w:rsidRPr="002606DB" w:rsidRDefault="00162CE2" w:rsidP="00BF5A3A">
            <w:pPr>
              <w:pStyle w:val="TableParagraph"/>
              <w:adjustRightInd w:val="0"/>
              <w:snapToGrid w:val="0"/>
              <w:jc w:val="center"/>
              <w:rPr>
                <w:i/>
                <w:snapToGrid w:val="0"/>
                <w:sz w:val="20"/>
                <w:lang w:val="pt-PT"/>
              </w:rPr>
            </w:pPr>
            <w:r w:rsidRPr="002606DB">
              <w:rPr>
                <w:i/>
                <w:snapToGrid w:val="0"/>
                <w:sz w:val="20"/>
                <w:lang w:val="pt-PT"/>
              </w:rPr>
              <w:t>Afeções congénitas, familiares e genéticas</w:t>
            </w:r>
          </w:p>
        </w:tc>
        <w:tc>
          <w:tcPr>
            <w:tcW w:w="6480" w:type="dxa"/>
            <w:vAlign w:val="center"/>
          </w:tcPr>
          <w:p w14:paraId="51DA7EDD" w14:textId="5115AC68" w:rsidR="00162CE2" w:rsidRPr="002606DB" w:rsidRDefault="00162CE2" w:rsidP="00D206FE">
            <w:pPr>
              <w:pStyle w:val="TableParagraph"/>
              <w:adjustRightInd w:val="0"/>
              <w:snapToGrid w:val="0"/>
              <w:rPr>
                <w:snapToGrid w:val="0"/>
                <w:sz w:val="20"/>
                <w:lang w:val="pt-PT"/>
              </w:rPr>
            </w:pPr>
            <w:r w:rsidRPr="002606DB">
              <w:rPr>
                <w:snapToGrid w:val="0"/>
                <w:sz w:val="20"/>
                <w:lang w:val="pt-PT"/>
              </w:rPr>
              <w:t>Foram observados casos de anomalias fetais em mulheres tratadas com bevacizumab em monoterapia ou em associação com citotóxicos com efeito embriotóxico conhecido (ver secção 4.6)</w:t>
            </w:r>
          </w:p>
        </w:tc>
      </w:tr>
    </w:tbl>
    <w:p w14:paraId="63839F28" w14:textId="4783E27B" w:rsidR="00162CE2" w:rsidRPr="002606DB" w:rsidRDefault="00162CE2" w:rsidP="00D206FE">
      <w:pPr>
        <w:pStyle w:val="a4"/>
        <w:adjustRightInd w:val="0"/>
        <w:snapToGrid w:val="0"/>
        <w:ind w:left="0" w:firstLine="0"/>
        <w:rPr>
          <w:snapToGrid w:val="0"/>
          <w:sz w:val="18"/>
          <w:szCs w:val="18"/>
          <w:lang w:val="pt-PT"/>
        </w:rPr>
      </w:pPr>
      <w:r w:rsidRPr="002606DB">
        <w:rPr>
          <w:snapToGrid w:val="0"/>
          <w:sz w:val="18"/>
          <w:szCs w:val="18"/>
          <w:lang w:val="pt-PT"/>
        </w:rPr>
        <w:t xml:space="preserve">* </w:t>
      </w:r>
      <w:r w:rsidR="00D85667" w:rsidRPr="002606DB">
        <w:rPr>
          <w:snapToGrid w:val="0"/>
          <w:sz w:val="18"/>
          <w:szCs w:val="18"/>
          <w:lang w:val="pt-PT"/>
        </w:rPr>
        <w:t>S</w:t>
      </w:r>
      <w:r w:rsidRPr="002606DB">
        <w:rPr>
          <w:snapToGrid w:val="0"/>
          <w:sz w:val="18"/>
          <w:szCs w:val="18"/>
          <w:lang w:val="pt-PT"/>
        </w:rPr>
        <w:t>e especificada, a frequência foi obtida a partir de dados de ensaios clínicos</w:t>
      </w:r>
    </w:p>
    <w:p w14:paraId="4B7DB080" w14:textId="77777777" w:rsidR="00162CE2" w:rsidRPr="002606DB" w:rsidRDefault="00162CE2" w:rsidP="00056F35">
      <w:pPr>
        <w:adjustRightInd w:val="0"/>
        <w:snapToGrid w:val="0"/>
        <w:rPr>
          <w:snapToGrid w:val="0"/>
          <w:lang w:val="pt-PT"/>
        </w:rPr>
      </w:pPr>
    </w:p>
    <w:p w14:paraId="2FE8F8B7" w14:textId="77777777" w:rsidR="00162CE2" w:rsidRPr="002606DB" w:rsidRDefault="00162CE2" w:rsidP="00056F35">
      <w:pPr>
        <w:pStyle w:val="a3"/>
        <w:adjustRightInd w:val="0"/>
        <w:snapToGrid w:val="0"/>
        <w:rPr>
          <w:snapToGrid w:val="0"/>
          <w:lang w:val="pt-PT"/>
        </w:rPr>
      </w:pPr>
      <w:r w:rsidRPr="002606DB">
        <w:rPr>
          <w:snapToGrid w:val="0"/>
          <w:u w:val="single"/>
          <w:lang w:val="pt-PT"/>
        </w:rPr>
        <w:t>Notificação de suspeitas de reações adversas</w:t>
      </w:r>
    </w:p>
    <w:p w14:paraId="179A52A2" w14:textId="77777777" w:rsidR="00162CE2" w:rsidRPr="002606DB" w:rsidRDefault="00162CE2" w:rsidP="00056F35">
      <w:pPr>
        <w:pStyle w:val="a3"/>
        <w:adjustRightInd w:val="0"/>
        <w:snapToGrid w:val="0"/>
        <w:rPr>
          <w:snapToGrid w:val="0"/>
          <w:lang w:val="pt-PT"/>
        </w:rPr>
      </w:pPr>
      <w:r w:rsidRPr="002606DB">
        <w:rPr>
          <w:snapToGrid w:val="0"/>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2606DB">
        <w:rPr>
          <w:snapToGrid w:val="0"/>
          <w:color w:val="000000"/>
          <w:shd w:val="clear" w:color="auto" w:fill="C1C1C1"/>
          <w:lang w:val="pt-PT"/>
        </w:rPr>
        <w:t>do sistema</w:t>
      </w:r>
      <w:r w:rsidRPr="002606DB">
        <w:rPr>
          <w:snapToGrid w:val="0"/>
          <w:color w:val="000000"/>
          <w:lang w:val="pt-PT"/>
        </w:rPr>
        <w:t xml:space="preserve"> </w:t>
      </w:r>
      <w:r w:rsidRPr="002606DB">
        <w:rPr>
          <w:snapToGrid w:val="0"/>
          <w:color w:val="000000"/>
          <w:shd w:val="clear" w:color="auto" w:fill="C1C1C1"/>
          <w:lang w:val="pt-PT"/>
        </w:rPr>
        <w:t xml:space="preserve">nacional de notificação mencionado no </w:t>
      </w:r>
      <w:r>
        <w:fldChar w:fldCharType="begin"/>
      </w:r>
      <w:r w:rsidRPr="00A72D1F">
        <w:rPr>
          <w:lang w:val="fr-CA"/>
        </w:rPr>
        <w:instrText>HYPERLINK "https://www.ema.europa.eu/documents/template-form/appendix-v-adverse-drug-reaction-reporting-details_en.doc" \h</w:instrText>
      </w:r>
      <w:r>
        <w:fldChar w:fldCharType="separate"/>
      </w:r>
      <w:r w:rsidRPr="002606DB">
        <w:rPr>
          <w:snapToGrid w:val="0"/>
          <w:color w:val="0000FF"/>
          <w:u w:val="single" w:color="0000FF"/>
          <w:shd w:val="clear" w:color="auto" w:fill="C1C1C1"/>
          <w:lang w:val="pt-PT"/>
        </w:rPr>
        <w:t>Apêndice V</w:t>
      </w:r>
      <w:r>
        <w:fldChar w:fldCharType="end"/>
      </w:r>
      <w:r w:rsidRPr="002606DB">
        <w:rPr>
          <w:snapToGrid w:val="0"/>
          <w:color w:val="000000"/>
          <w:shd w:val="clear" w:color="auto" w:fill="C1C1C1"/>
          <w:lang w:val="pt-PT"/>
        </w:rPr>
        <w:t>*</w:t>
      </w:r>
      <w:r w:rsidRPr="002606DB">
        <w:rPr>
          <w:snapToGrid w:val="0"/>
          <w:color w:val="000000"/>
          <w:lang w:val="pt-PT"/>
        </w:rPr>
        <w:t>.</w:t>
      </w:r>
    </w:p>
    <w:p w14:paraId="1660D5A3" w14:textId="77777777" w:rsidR="00162CE2" w:rsidRPr="002606DB" w:rsidRDefault="00162CE2" w:rsidP="00056F35">
      <w:pPr>
        <w:pStyle w:val="a3"/>
        <w:adjustRightInd w:val="0"/>
        <w:snapToGrid w:val="0"/>
        <w:rPr>
          <w:snapToGrid w:val="0"/>
          <w:lang w:val="pt-PT"/>
        </w:rPr>
      </w:pPr>
    </w:p>
    <w:p w14:paraId="1BF09E51" w14:textId="77777777" w:rsidR="00162CE2" w:rsidRPr="002606DB" w:rsidRDefault="00162CE2" w:rsidP="00552771">
      <w:pPr>
        <w:pStyle w:val="2"/>
        <w:adjustRightInd w:val="0"/>
        <w:snapToGrid w:val="0"/>
        <w:ind w:left="0"/>
        <w:rPr>
          <w:snapToGrid w:val="0"/>
          <w:lang w:val="pt-PT"/>
        </w:rPr>
      </w:pPr>
      <w:r w:rsidRPr="007155C0">
        <w:rPr>
          <w:snapToGrid w:val="0"/>
          <w:spacing w:val="-6"/>
          <w:w w:val="101"/>
          <w:lang w:val="pt-PT"/>
        </w:rPr>
        <w:t>4.9</w:t>
      </w:r>
      <w:r w:rsidRPr="007155C0">
        <w:rPr>
          <w:snapToGrid w:val="0"/>
          <w:spacing w:val="-6"/>
          <w:w w:val="101"/>
          <w:lang w:val="pt-PT"/>
        </w:rPr>
        <w:tab/>
      </w:r>
      <w:r w:rsidRPr="002606DB">
        <w:rPr>
          <w:snapToGrid w:val="0"/>
          <w:lang w:val="pt-PT"/>
        </w:rPr>
        <w:t>Sobredosagem</w:t>
      </w:r>
    </w:p>
    <w:p w14:paraId="78F64391" w14:textId="77777777" w:rsidR="00162CE2" w:rsidRPr="002606DB" w:rsidRDefault="00162CE2" w:rsidP="00056F35">
      <w:pPr>
        <w:pStyle w:val="a3"/>
        <w:adjustRightInd w:val="0"/>
        <w:snapToGrid w:val="0"/>
        <w:rPr>
          <w:b/>
          <w:snapToGrid w:val="0"/>
          <w:lang w:val="pt-PT"/>
        </w:rPr>
      </w:pPr>
    </w:p>
    <w:p w14:paraId="1A8B1015" w14:textId="29945437" w:rsidR="00162CE2" w:rsidRPr="002606DB" w:rsidRDefault="00162CE2" w:rsidP="00056F35">
      <w:pPr>
        <w:pStyle w:val="a3"/>
        <w:adjustRightInd w:val="0"/>
        <w:snapToGrid w:val="0"/>
        <w:rPr>
          <w:snapToGrid w:val="0"/>
          <w:lang w:val="pt-PT"/>
        </w:rPr>
      </w:pPr>
      <w:r w:rsidRPr="002606DB">
        <w:rPr>
          <w:snapToGrid w:val="0"/>
          <w:lang w:val="pt-PT"/>
        </w:rPr>
        <w:t>A dose mais elevada testada no ser humano (20 mg/kg de peso corporal, cada 2 semanas, por via intravenosa) foi associada, em diversos doentes, a enxaqueca severa.</w:t>
      </w:r>
    </w:p>
    <w:p w14:paraId="3E80A607" w14:textId="77777777" w:rsidR="00162CE2" w:rsidRPr="002606DB" w:rsidRDefault="00162CE2" w:rsidP="00056F35">
      <w:pPr>
        <w:pStyle w:val="a3"/>
        <w:adjustRightInd w:val="0"/>
        <w:snapToGrid w:val="0"/>
        <w:rPr>
          <w:snapToGrid w:val="0"/>
          <w:lang w:val="pt-PT"/>
        </w:rPr>
      </w:pPr>
    </w:p>
    <w:p w14:paraId="686E4204" w14:textId="77777777" w:rsidR="00162CE2" w:rsidRPr="002606DB" w:rsidRDefault="00162CE2" w:rsidP="003C105C">
      <w:pPr>
        <w:pStyle w:val="1"/>
        <w:keepNext/>
        <w:keepLines/>
        <w:widowControl/>
        <w:adjustRightInd w:val="0"/>
        <w:snapToGrid w:val="0"/>
        <w:ind w:left="567" w:hanging="567"/>
        <w:rPr>
          <w:snapToGrid w:val="0"/>
          <w:lang w:val="pt-PT"/>
        </w:rPr>
      </w:pPr>
      <w:r w:rsidRPr="007155C0">
        <w:rPr>
          <w:snapToGrid w:val="0"/>
          <w:w w:val="101"/>
          <w:lang w:val="pt-PT"/>
        </w:rPr>
        <w:t>5.</w:t>
      </w:r>
      <w:r w:rsidRPr="007155C0">
        <w:rPr>
          <w:snapToGrid w:val="0"/>
          <w:w w:val="101"/>
          <w:lang w:val="pt-PT"/>
        </w:rPr>
        <w:tab/>
      </w:r>
      <w:r w:rsidRPr="002606DB">
        <w:rPr>
          <w:snapToGrid w:val="0"/>
          <w:lang w:val="pt-PT"/>
        </w:rPr>
        <w:t>PROPRIEDADES FARMACOLÓGICAS</w:t>
      </w:r>
    </w:p>
    <w:p w14:paraId="68E78DBC" w14:textId="77777777" w:rsidR="00162CE2" w:rsidRPr="002606DB" w:rsidRDefault="00162CE2" w:rsidP="003C105C">
      <w:pPr>
        <w:pStyle w:val="a3"/>
        <w:keepNext/>
        <w:keepLines/>
        <w:widowControl/>
        <w:adjustRightInd w:val="0"/>
        <w:snapToGrid w:val="0"/>
        <w:ind w:left="567" w:hanging="567"/>
        <w:rPr>
          <w:b/>
          <w:snapToGrid w:val="0"/>
          <w:lang w:val="pt-PT"/>
        </w:rPr>
      </w:pPr>
    </w:p>
    <w:p w14:paraId="16354FEC" w14:textId="77777777" w:rsidR="00162CE2" w:rsidRPr="002606DB" w:rsidRDefault="00162CE2" w:rsidP="00552771">
      <w:pPr>
        <w:pStyle w:val="2"/>
        <w:adjustRightInd w:val="0"/>
        <w:snapToGrid w:val="0"/>
        <w:ind w:left="567" w:hanging="567"/>
        <w:rPr>
          <w:snapToGrid w:val="0"/>
          <w:lang w:val="pt-PT"/>
        </w:rPr>
      </w:pPr>
      <w:r w:rsidRPr="007155C0">
        <w:rPr>
          <w:snapToGrid w:val="0"/>
          <w:spacing w:val="-6"/>
          <w:w w:val="101"/>
          <w:lang w:val="pt-PT"/>
        </w:rPr>
        <w:t>5.1</w:t>
      </w:r>
      <w:r w:rsidRPr="007155C0">
        <w:rPr>
          <w:snapToGrid w:val="0"/>
          <w:spacing w:val="-6"/>
          <w:w w:val="101"/>
          <w:lang w:val="pt-PT"/>
        </w:rPr>
        <w:tab/>
      </w:r>
      <w:r w:rsidRPr="002606DB">
        <w:rPr>
          <w:snapToGrid w:val="0"/>
          <w:lang w:val="pt-PT"/>
        </w:rPr>
        <w:t>Propriedades farmacodinâmicas</w:t>
      </w:r>
    </w:p>
    <w:p w14:paraId="1647D66C" w14:textId="77777777" w:rsidR="00162CE2" w:rsidRPr="002606DB" w:rsidRDefault="00162CE2" w:rsidP="00056F35">
      <w:pPr>
        <w:pStyle w:val="a3"/>
        <w:adjustRightInd w:val="0"/>
        <w:snapToGrid w:val="0"/>
        <w:rPr>
          <w:b/>
          <w:snapToGrid w:val="0"/>
          <w:lang w:val="pt-PT"/>
        </w:rPr>
      </w:pPr>
    </w:p>
    <w:p w14:paraId="5CF99DDD" w14:textId="2BE5D197" w:rsidR="00162CE2" w:rsidRPr="002606DB" w:rsidRDefault="00162CE2" w:rsidP="00056F35">
      <w:pPr>
        <w:pStyle w:val="a3"/>
        <w:adjustRightInd w:val="0"/>
        <w:snapToGrid w:val="0"/>
        <w:rPr>
          <w:snapToGrid w:val="0"/>
          <w:lang w:val="pt-PT"/>
        </w:rPr>
      </w:pPr>
      <w:r w:rsidRPr="002606DB">
        <w:rPr>
          <w:snapToGrid w:val="0"/>
          <w:lang w:val="pt-PT"/>
        </w:rPr>
        <w:t>Grupo farmacoterapêutico: agentes antineoplásicos e imunomoduladores, agentes antineoplásicos, anticorpos monoclonais</w:t>
      </w:r>
      <w:r w:rsidR="00F408DB">
        <w:rPr>
          <w:rFonts w:eastAsia="맑은 고딕" w:hint="eastAsia"/>
          <w:snapToGrid w:val="0"/>
          <w:lang w:val="pt-PT" w:eastAsia="ko-KR"/>
        </w:rPr>
        <w:t xml:space="preserve"> </w:t>
      </w:r>
      <w:r w:rsidR="00F408DB" w:rsidRPr="007155C0">
        <w:rPr>
          <w:snapToGrid w:val="0"/>
          <w:lang w:val="pt-PT"/>
        </w:rPr>
        <w:t>e conjugados anticorpo-fármaco</w:t>
      </w:r>
      <w:r w:rsidRPr="002606DB">
        <w:rPr>
          <w:snapToGrid w:val="0"/>
          <w:lang w:val="pt-PT"/>
        </w:rPr>
        <w:t xml:space="preserve">, código ATC: </w:t>
      </w:r>
      <w:r w:rsidR="00495C91" w:rsidRPr="00495C91">
        <w:rPr>
          <w:snapToGrid w:val="0"/>
          <w:lang w:val="pt-PT"/>
        </w:rPr>
        <w:t>L01FG01</w:t>
      </w:r>
    </w:p>
    <w:p w14:paraId="6F29FCB3" w14:textId="77777777" w:rsidR="00162CE2" w:rsidRPr="002606DB" w:rsidRDefault="00162CE2" w:rsidP="00056F35">
      <w:pPr>
        <w:pStyle w:val="a3"/>
        <w:adjustRightInd w:val="0"/>
        <w:snapToGrid w:val="0"/>
        <w:rPr>
          <w:snapToGrid w:val="0"/>
          <w:lang w:val="pt-PT"/>
        </w:rPr>
      </w:pPr>
    </w:p>
    <w:p w14:paraId="38D061EE" w14:textId="4D01A80B" w:rsidR="00162CE2" w:rsidRPr="002606DB" w:rsidRDefault="00FB2483" w:rsidP="00056F35">
      <w:pPr>
        <w:pStyle w:val="a3"/>
        <w:adjustRightInd w:val="0"/>
        <w:snapToGrid w:val="0"/>
        <w:rPr>
          <w:snapToGrid w:val="0"/>
          <w:lang w:val="pt-PT"/>
        </w:rPr>
      </w:pPr>
      <w:r>
        <w:rPr>
          <w:snapToGrid w:val="0"/>
          <w:lang w:val="pt-PT"/>
        </w:rPr>
        <w:t>Vegzelma</w:t>
      </w:r>
      <w:r w:rsidR="00162CE2" w:rsidRPr="002606DB">
        <w:rPr>
          <w:snapToGrid w:val="0"/>
          <w:lang w:val="pt-PT"/>
        </w:rPr>
        <w:t xml:space="preserve"> é um medicamento bio</w:t>
      </w:r>
      <w:r w:rsidR="00E85D4F" w:rsidRPr="002606DB">
        <w:rPr>
          <w:snapToGrid w:val="0"/>
          <w:lang w:val="pt-PT"/>
        </w:rPr>
        <w:t>ssimilar</w:t>
      </w:r>
      <w:r w:rsidR="00162CE2" w:rsidRPr="002606DB">
        <w:rPr>
          <w:snapToGrid w:val="0"/>
          <w:lang w:val="pt-PT"/>
        </w:rPr>
        <w:t xml:space="preserve">. Está disponível informação pormenorizada no sítio da internet da Agência Europeia de Medicamentos </w:t>
      </w:r>
      <w:bookmarkStart w:id="4" w:name="_Hlk183096313"/>
      <w:bookmarkStart w:id="5" w:name="_Hlk183097858"/>
      <w:r w:rsidR="00C25AC8" w:rsidRPr="009E2922">
        <w:rPr>
          <w:snapToGrid w:val="0"/>
          <w:color w:val="0000FF"/>
          <w:lang w:val="de-DE"/>
        </w:rPr>
        <w:fldChar w:fldCharType="begin"/>
      </w:r>
      <w:r w:rsidR="00C25AC8" w:rsidRPr="009E2922">
        <w:rPr>
          <w:snapToGrid w:val="0"/>
          <w:color w:val="0000FF"/>
          <w:lang w:val="de-DE"/>
        </w:rPr>
        <w:instrText>HYPERLINK "https://www.ema.europa.eu "</w:instrText>
      </w:r>
      <w:r w:rsidR="00C25AC8" w:rsidRPr="009E2922">
        <w:rPr>
          <w:snapToGrid w:val="0"/>
          <w:color w:val="0000FF"/>
          <w:lang w:val="de-DE"/>
        </w:rPr>
      </w:r>
      <w:r w:rsidR="00C25AC8" w:rsidRPr="009E2922">
        <w:rPr>
          <w:snapToGrid w:val="0"/>
          <w:color w:val="0000FF"/>
          <w:lang w:val="de-DE"/>
        </w:rPr>
        <w:fldChar w:fldCharType="separate"/>
      </w:r>
      <w:r w:rsidR="00C25AC8" w:rsidRPr="009E2922">
        <w:rPr>
          <w:rStyle w:val="ac"/>
          <w:snapToGrid w:val="0"/>
          <w:lang w:val="de-DE"/>
        </w:rPr>
        <w:t>https://www.ema.europa.eu</w:t>
      </w:r>
      <w:r w:rsidR="00C25AC8" w:rsidRPr="009E2922">
        <w:rPr>
          <w:snapToGrid w:val="0"/>
          <w:color w:val="0000FF"/>
          <w:lang w:val="de-DE"/>
        </w:rPr>
        <w:fldChar w:fldCharType="end"/>
      </w:r>
      <w:bookmarkEnd w:id="4"/>
      <w:bookmarkEnd w:id="5"/>
      <w:r w:rsidR="00162CE2" w:rsidRPr="002606DB">
        <w:rPr>
          <w:snapToGrid w:val="0"/>
          <w:lang w:val="pt-PT"/>
        </w:rPr>
        <w:t>.</w:t>
      </w:r>
    </w:p>
    <w:p w14:paraId="2D49A787" w14:textId="77777777" w:rsidR="00162CE2" w:rsidRPr="002606DB" w:rsidRDefault="00162CE2" w:rsidP="00056F35">
      <w:pPr>
        <w:pStyle w:val="a3"/>
        <w:adjustRightInd w:val="0"/>
        <w:snapToGrid w:val="0"/>
        <w:rPr>
          <w:snapToGrid w:val="0"/>
          <w:lang w:val="pt-PT"/>
        </w:rPr>
      </w:pPr>
    </w:p>
    <w:p w14:paraId="7DACA521" w14:textId="77777777" w:rsidR="00162CE2" w:rsidRPr="002606DB" w:rsidRDefault="00162CE2" w:rsidP="00056F35">
      <w:pPr>
        <w:pStyle w:val="a3"/>
        <w:adjustRightInd w:val="0"/>
        <w:snapToGrid w:val="0"/>
        <w:rPr>
          <w:snapToGrid w:val="0"/>
          <w:lang w:val="pt-PT"/>
        </w:rPr>
      </w:pPr>
      <w:r w:rsidRPr="002606DB">
        <w:rPr>
          <w:snapToGrid w:val="0"/>
          <w:u w:val="single"/>
          <w:lang w:val="pt-PT"/>
        </w:rPr>
        <w:t>Mecanismo de ação</w:t>
      </w:r>
    </w:p>
    <w:p w14:paraId="6347E0F1" w14:textId="77DBF89D" w:rsidR="00162CE2" w:rsidRPr="002606DB" w:rsidRDefault="00162CE2" w:rsidP="00056F35">
      <w:pPr>
        <w:pStyle w:val="a3"/>
        <w:adjustRightInd w:val="0"/>
        <w:snapToGrid w:val="0"/>
        <w:rPr>
          <w:snapToGrid w:val="0"/>
          <w:lang w:val="pt-PT"/>
        </w:rPr>
      </w:pPr>
      <w:r w:rsidRPr="002606DB">
        <w:rPr>
          <w:snapToGrid w:val="0"/>
          <w:lang w:val="pt-PT"/>
        </w:rPr>
        <w:t>O bevacizumab liga-se ao VEGF, o principal fator envolvido na vasculogénese e na angiogénese, inibindo desta forma a ligação do VEGF aos seus recetores, Flt-1 (VEGFR</w:t>
      </w:r>
      <w:r w:rsidR="0021002E" w:rsidRPr="002606DB">
        <w:rPr>
          <w:snapToGrid w:val="0"/>
          <w:lang w:val="pt-PT"/>
        </w:rPr>
        <w:noBreakHyphen/>
      </w:r>
      <w:r w:rsidRPr="002606DB">
        <w:rPr>
          <w:snapToGrid w:val="0"/>
          <w:lang w:val="pt-PT"/>
        </w:rPr>
        <w:t>1) e KDR (VEGFR</w:t>
      </w:r>
      <w:r w:rsidR="0021002E" w:rsidRPr="002606DB">
        <w:rPr>
          <w:snapToGrid w:val="0"/>
          <w:lang w:val="pt-PT"/>
        </w:rPr>
        <w:noBreakHyphen/>
      </w:r>
      <w:r w:rsidRPr="002606DB">
        <w:rPr>
          <w:snapToGrid w:val="0"/>
          <w:lang w:val="pt-PT"/>
        </w:rPr>
        <w:t>2), na superfície das células endoteliais. A neutralização da atividade biológica do VEGF regride a vascularização tumoral, normaliza a vasculatura remanescente do tumor e inibe a formação de novos vasos, inibindo assim o crescimento tumoral.</w:t>
      </w:r>
    </w:p>
    <w:p w14:paraId="578D646D" w14:textId="77777777" w:rsidR="00162CE2" w:rsidRPr="002606DB" w:rsidRDefault="00162CE2" w:rsidP="00056F35">
      <w:pPr>
        <w:pStyle w:val="a3"/>
        <w:adjustRightInd w:val="0"/>
        <w:snapToGrid w:val="0"/>
        <w:rPr>
          <w:snapToGrid w:val="0"/>
          <w:lang w:val="pt-PT"/>
        </w:rPr>
      </w:pPr>
    </w:p>
    <w:p w14:paraId="6652927F" w14:textId="77777777" w:rsidR="00162CE2" w:rsidRPr="002606DB" w:rsidRDefault="00162CE2" w:rsidP="00056F35">
      <w:pPr>
        <w:pStyle w:val="a3"/>
        <w:adjustRightInd w:val="0"/>
        <w:snapToGrid w:val="0"/>
        <w:rPr>
          <w:snapToGrid w:val="0"/>
          <w:lang w:val="pt-PT"/>
        </w:rPr>
      </w:pPr>
      <w:r w:rsidRPr="002606DB">
        <w:rPr>
          <w:snapToGrid w:val="0"/>
          <w:u w:val="single"/>
          <w:lang w:val="pt-PT"/>
        </w:rPr>
        <w:t>Efeitos farmacodinâmicos</w:t>
      </w:r>
    </w:p>
    <w:p w14:paraId="08CAF75E" w14:textId="77777777" w:rsidR="00162CE2" w:rsidRPr="002606DB" w:rsidRDefault="00162CE2" w:rsidP="00056F35">
      <w:pPr>
        <w:pStyle w:val="a3"/>
        <w:adjustRightInd w:val="0"/>
        <w:snapToGrid w:val="0"/>
        <w:rPr>
          <w:snapToGrid w:val="0"/>
          <w:lang w:val="pt-PT"/>
        </w:rPr>
      </w:pPr>
      <w:r w:rsidRPr="002606DB">
        <w:rPr>
          <w:snapToGrid w:val="0"/>
          <w:lang w:val="pt-PT"/>
        </w:rPr>
        <w:t>A administração de bevacizumab ou do seu anticorpo murino homólogo, a modelos de xenotransplante de cancro, no ratinho nu, resultou numa intensa atividade antitumoral contra cancros humanos, incluindo os do cólon, mama, pâncreas e próstata. A progressão das metástases foi inibida e a permeabilidade microvascular foi reduzida.</w:t>
      </w:r>
    </w:p>
    <w:p w14:paraId="6D8093D5" w14:textId="77777777" w:rsidR="00162CE2" w:rsidRPr="002606DB" w:rsidRDefault="00162CE2" w:rsidP="00056F35">
      <w:pPr>
        <w:pStyle w:val="a3"/>
        <w:adjustRightInd w:val="0"/>
        <w:snapToGrid w:val="0"/>
        <w:rPr>
          <w:snapToGrid w:val="0"/>
          <w:lang w:val="pt-PT"/>
        </w:rPr>
      </w:pPr>
    </w:p>
    <w:p w14:paraId="78B4458A" w14:textId="77777777" w:rsidR="00162CE2" w:rsidRPr="002606DB" w:rsidRDefault="00162CE2" w:rsidP="00056F35">
      <w:pPr>
        <w:pStyle w:val="a3"/>
        <w:adjustRightInd w:val="0"/>
        <w:snapToGrid w:val="0"/>
        <w:rPr>
          <w:snapToGrid w:val="0"/>
          <w:lang w:val="pt-PT"/>
        </w:rPr>
      </w:pPr>
      <w:r w:rsidRPr="002606DB">
        <w:rPr>
          <w:snapToGrid w:val="0"/>
          <w:u w:val="single"/>
          <w:lang w:val="pt-PT"/>
        </w:rPr>
        <w:t>Eficácia clínica</w:t>
      </w:r>
    </w:p>
    <w:p w14:paraId="36DCC661" w14:textId="77777777" w:rsidR="00162CE2" w:rsidRPr="002606DB" w:rsidRDefault="00162CE2" w:rsidP="00056F35">
      <w:pPr>
        <w:pStyle w:val="a3"/>
        <w:adjustRightInd w:val="0"/>
        <w:snapToGrid w:val="0"/>
        <w:rPr>
          <w:snapToGrid w:val="0"/>
          <w:lang w:val="pt-PT"/>
        </w:rPr>
      </w:pPr>
    </w:p>
    <w:p w14:paraId="4EB34BD5" w14:textId="77777777" w:rsidR="00162CE2" w:rsidRPr="002606DB" w:rsidRDefault="00162CE2" w:rsidP="00056F35">
      <w:pPr>
        <w:adjustRightInd w:val="0"/>
        <w:snapToGrid w:val="0"/>
        <w:rPr>
          <w:i/>
          <w:snapToGrid w:val="0"/>
          <w:lang w:val="pt-PT"/>
        </w:rPr>
      </w:pPr>
      <w:r w:rsidRPr="002606DB">
        <w:rPr>
          <w:i/>
          <w:snapToGrid w:val="0"/>
          <w:u w:val="single"/>
          <w:lang w:val="pt-PT"/>
        </w:rPr>
        <w:t>Carcinoma metastizado do cólon ou reto (mCRC)</w:t>
      </w:r>
    </w:p>
    <w:p w14:paraId="4F7106FD" w14:textId="77777777" w:rsidR="00162CE2" w:rsidRPr="002606DB" w:rsidRDefault="00162CE2" w:rsidP="00056F35">
      <w:pPr>
        <w:pStyle w:val="a3"/>
        <w:adjustRightInd w:val="0"/>
        <w:snapToGrid w:val="0"/>
        <w:rPr>
          <w:i/>
          <w:snapToGrid w:val="0"/>
          <w:lang w:val="pt-PT"/>
        </w:rPr>
      </w:pPr>
    </w:p>
    <w:p w14:paraId="3E26053B" w14:textId="07533D12" w:rsidR="00162CE2" w:rsidRPr="002606DB" w:rsidRDefault="00162CE2" w:rsidP="00056F35">
      <w:pPr>
        <w:pStyle w:val="a3"/>
        <w:adjustRightInd w:val="0"/>
        <w:snapToGrid w:val="0"/>
        <w:rPr>
          <w:snapToGrid w:val="0"/>
          <w:lang w:val="pt-PT"/>
        </w:rPr>
      </w:pPr>
      <w:r w:rsidRPr="002606DB">
        <w:rPr>
          <w:snapToGrid w:val="0"/>
          <w:lang w:val="pt-PT"/>
        </w:rPr>
        <w:t xml:space="preserve">Estudou-se a segurança e a eficácia da dose recomendada (5 mg/kg de peso corporal, de duas em duas semanas) no carcinoma metastizado do cólon ou do reto em três ensaios clínicos aleatorizados, controlados por substância ativa, em associação com quimioterapia de primeira linha </w:t>
      </w:r>
      <w:r w:rsidR="00966331">
        <w:rPr>
          <w:snapToGrid w:val="0"/>
          <w:lang w:val="pt-PT"/>
        </w:rPr>
        <w:t>baseada em</w:t>
      </w:r>
      <w:r w:rsidRPr="002606DB">
        <w:rPr>
          <w:snapToGrid w:val="0"/>
          <w:lang w:val="pt-PT"/>
        </w:rPr>
        <w:t xml:space="preserve"> fluoropirimidinas. O </w:t>
      </w:r>
      <w:r w:rsidRPr="002606DB">
        <w:rPr>
          <w:color w:val="000000"/>
          <w:lang w:val="en-GB"/>
        </w:rPr>
        <w:t xml:space="preserve">bevacizumab </w:t>
      </w:r>
      <w:r w:rsidRPr="002606DB">
        <w:rPr>
          <w:snapToGrid w:val="0"/>
          <w:lang w:val="pt-PT"/>
        </w:rPr>
        <w:t>foi associado com 2 regimes de quimioterapia:</w:t>
      </w:r>
    </w:p>
    <w:p w14:paraId="53A382CC" w14:textId="77777777" w:rsidR="00162CE2" w:rsidRPr="002606DB" w:rsidRDefault="00162CE2" w:rsidP="00056F35">
      <w:pPr>
        <w:pStyle w:val="a3"/>
        <w:adjustRightInd w:val="0"/>
        <w:snapToGrid w:val="0"/>
        <w:rPr>
          <w:snapToGrid w:val="0"/>
          <w:lang w:val="pt-PT"/>
        </w:rPr>
      </w:pPr>
    </w:p>
    <w:p w14:paraId="42DDA832" w14:textId="45D477F5" w:rsidR="00162CE2" w:rsidRPr="002606DB" w:rsidRDefault="00162CE2" w:rsidP="00EF54B7">
      <w:pPr>
        <w:pStyle w:val="a4"/>
        <w:numPr>
          <w:ilvl w:val="0"/>
          <w:numId w:val="13"/>
        </w:numPr>
        <w:adjustRightInd w:val="0"/>
        <w:snapToGrid w:val="0"/>
        <w:ind w:left="567" w:hanging="567"/>
        <w:rPr>
          <w:snapToGrid w:val="0"/>
          <w:lang w:val="pt-PT"/>
        </w:rPr>
      </w:pPr>
      <w:r w:rsidRPr="002606DB">
        <w:rPr>
          <w:snapToGrid w:val="0"/>
          <w:lang w:val="pt-PT"/>
        </w:rPr>
        <w:t>AVF2107g: Um esquema de administração semanal de irinotecano/bólus de 5</w:t>
      </w:r>
      <w:r w:rsidR="0021002E" w:rsidRPr="002606DB">
        <w:rPr>
          <w:snapToGrid w:val="0"/>
          <w:lang w:val="pt-PT"/>
        </w:rPr>
        <w:noBreakHyphen/>
      </w:r>
      <w:r w:rsidRPr="002606DB">
        <w:rPr>
          <w:snapToGrid w:val="0"/>
          <w:lang w:val="pt-PT"/>
        </w:rPr>
        <w:t>fluorouracilo/ácido folínico (IFL) durante um total de 4 semanas, de cada ciclo de 6 semanas (regime de Saltz).</w:t>
      </w:r>
    </w:p>
    <w:p w14:paraId="4C8A6912" w14:textId="4EA8813F" w:rsidR="00162CE2" w:rsidRPr="002606DB" w:rsidRDefault="00162CE2" w:rsidP="00EF54B7">
      <w:pPr>
        <w:pStyle w:val="a4"/>
        <w:numPr>
          <w:ilvl w:val="0"/>
          <w:numId w:val="13"/>
        </w:numPr>
        <w:adjustRightInd w:val="0"/>
        <w:snapToGrid w:val="0"/>
        <w:ind w:left="567" w:hanging="567"/>
        <w:rPr>
          <w:snapToGrid w:val="0"/>
          <w:lang w:val="pt-PT"/>
        </w:rPr>
      </w:pPr>
      <w:r w:rsidRPr="002606DB">
        <w:rPr>
          <w:snapToGrid w:val="0"/>
          <w:lang w:val="pt-PT"/>
        </w:rPr>
        <w:t>AVF0780g: Em associação com bólus de 5</w:t>
      </w:r>
      <w:r w:rsidR="0021002E" w:rsidRPr="002606DB">
        <w:rPr>
          <w:snapToGrid w:val="0"/>
          <w:lang w:val="pt-PT"/>
        </w:rPr>
        <w:noBreakHyphen/>
      </w:r>
      <w:r w:rsidRPr="002606DB">
        <w:rPr>
          <w:snapToGrid w:val="0"/>
          <w:lang w:val="pt-PT"/>
        </w:rPr>
        <w:t>fluorouracilo/ácido folínico (5</w:t>
      </w:r>
      <w:r w:rsidR="0021002E" w:rsidRPr="002606DB">
        <w:rPr>
          <w:snapToGrid w:val="0"/>
          <w:lang w:val="pt-PT"/>
        </w:rPr>
        <w:noBreakHyphen/>
      </w:r>
      <w:r w:rsidRPr="002606DB">
        <w:rPr>
          <w:snapToGrid w:val="0"/>
          <w:lang w:val="pt-PT"/>
        </w:rPr>
        <w:t>FU/AF) durante um total de 6 semanas de cada ciclo de 8 semanas (regime de Roswell Park).</w:t>
      </w:r>
    </w:p>
    <w:p w14:paraId="74EDA862" w14:textId="29F03170" w:rsidR="00162CE2" w:rsidRPr="002606DB" w:rsidRDefault="00162CE2" w:rsidP="00EF54B7">
      <w:pPr>
        <w:pStyle w:val="a4"/>
        <w:numPr>
          <w:ilvl w:val="0"/>
          <w:numId w:val="13"/>
        </w:numPr>
        <w:adjustRightInd w:val="0"/>
        <w:snapToGrid w:val="0"/>
        <w:ind w:left="567" w:hanging="567"/>
        <w:rPr>
          <w:snapToGrid w:val="0"/>
          <w:lang w:val="pt-PT"/>
        </w:rPr>
      </w:pPr>
      <w:r w:rsidRPr="002606DB">
        <w:rPr>
          <w:snapToGrid w:val="0"/>
          <w:lang w:val="pt-PT"/>
        </w:rPr>
        <w:t>AVF2192g: Em associação com bólus de 5</w:t>
      </w:r>
      <w:r w:rsidR="0021002E" w:rsidRPr="002606DB">
        <w:rPr>
          <w:snapToGrid w:val="0"/>
          <w:lang w:val="pt-PT"/>
        </w:rPr>
        <w:noBreakHyphen/>
      </w:r>
      <w:r w:rsidRPr="002606DB">
        <w:rPr>
          <w:snapToGrid w:val="0"/>
          <w:lang w:val="pt-PT"/>
        </w:rPr>
        <w:t>fluorouracilo/ ácido folínico (5</w:t>
      </w:r>
      <w:r w:rsidR="0021002E" w:rsidRPr="002606DB">
        <w:rPr>
          <w:snapToGrid w:val="0"/>
          <w:lang w:val="pt-PT"/>
        </w:rPr>
        <w:noBreakHyphen/>
      </w:r>
      <w:r w:rsidRPr="002606DB">
        <w:rPr>
          <w:snapToGrid w:val="0"/>
          <w:lang w:val="pt-PT"/>
        </w:rPr>
        <w:t>FU/AF) durante um total de 6 semanas, de cada ciclo de 8 semanas (regime de Roswell Park), em doentes que não eram candidatos ideais para o tratamento de primeira linha com irinotecano.</w:t>
      </w:r>
    </w:p>
    <w:p w14:paraId="5C61B76E" w14:textId="77777777" w:rsidR="00162CE2" w:rsidRPr="002606DB" w:rsidRDefault="00162CE2" w:rsidP="00056F35">
      <w:pPr>
        <w:adjustRightInd w:val="0"/>
        <w:snapToGrid w:val="0"/>
        <w:rPr>
          <w:snapToGrid w:val="0"/>
          <w:lang w:val="pt-PT"/>
        </w:rPr>
      </w:pPr>
    </w:p>
    <w:p w14:paraId="2BC6CC4E" w14:textId="7EA552AD" w:rsidR="00162CE2" w:rsidRPr="002606DB" w:rsidRDefault="00162CE2" w:rsidP="00056F35">
      <w:pPr>
        <w:pStyle w:val="a3"/>
        <w:adjustRightInd w:val="0"/>
        <w:snapToGrid w:val="0"/>
        <w:rPr>
          <w:snapToGrid w:val="0"/>
          <w:lang w:val="pt-PT"/>
        </w:rPr>
      </w:pPr>
      <w:r w:rsidRPr="002606DB">
        <w:rPr>
          <w:snapToGrid w:val="0"/>
          <w:lang w:val="pt-PT"/>
        </w:rPr>
        <w:t>Foram realizados três ensaios adicionais com bevacizumab em doentes com carcinoma metastizado do cólon ou do reto: em primeira linha (NO16966), em segunda linha sem tratamento prévio com bevacizumab (E3200) e em segunda linha após progressão da doença, sob tratamento com bevacizumab em primeira linha (ML18147). Nestes estudos, bevacizumab foi administrado nos seguintes regimes posológicos em associação com FOLFOX</w:t>
      </w:r>
      <w:r w:rsidR="0021002E" w:rsidRPr="002606DB">
        <w:rPr>
          <w:snapToGrid w:val="0"/>
          <w:lang w:val="pt-PT"/>
        </w:rPr>
        <w:noBreakHyphen/>
      </w:r>
      <w:r w:rsidRPr="002606DB">
        <w:rPr>
          <w:snapToGrid w:val="0"/>
          <w:lang w:val="pt-PT"/>
        </w:rPr>
        <w:t>4 (5</w:t>
      </w:r>
      <w:r w:rsidR="0021002E" w:rsidRPr="002606DB">
        <w:rPr>
          <w:snapToGrid w:val="0"/>
          <w:lang w:val="pt-PT"/>
        </w:rPr>
        <w:noBreakHyphen/>
      </w:r>
      <w:r w:rsidRPr="002606DB">
        <w:rPr>
          <w:snapToGrid w:val="0"/>
          <w:lang w:val="pt-PT"/>
        </w:rPr>
        <w:t>FU/LV/oxaliplatina), XELOX (capecitabina/oxaliplatina), fluoropirimidina/irinotecano e fluoropirimidina/oxaliplatina:</w:t>
      </w:r>
    </w:p>
    <w:p w14:paraId="0498A1E8" w14:textId="77777777" w:rsidR="00162CE2" w:rsidRPr="002606DB" w:rsidRDefault="00162CE2" w:rsidP="00056F35">
      <w:pPr>
        <w:pStyle w:val="a3"/>
        <w:adjustRightInd w:val="0"/>
        <w:snapToGrid w:val="0"/>
        <w:rPr>
          <w:snapToGrid w:val="0"/>
          <w:lang w:val="pt-PT"/>
        </w:rPr>
      </w:pPr>
    </w:p>
    <w:p w14:paraId="6E880563" w14:textId="47BC5E38" w:rsidR="00162CE2" w:rsidRPr="002606DB" w:rsidRDefault="00162CE2" w:rsidP="00EF54B7">
      <w:pPr>
        <w:pStyle w:val="a4"/>
        <w:numPr>
          <w:ilvl w:val="0"/>
          <w:numId w:val="13"/>
        </w:numPr>
        <w:adjustRightInd w:val="0"/>
        <w:snapToGrid w:val="0"/>
        <w:ind w:left="567" w:hanging="567"/>
        <w:rPr>
          <w:snapToGrid w:val="0"/>
          <w:lang w:val="pt-PT"/>
        </w:rPr>
      </w:pPr>
      <w:r w:rsidRPr="002606DB">
        <w:rPr>
          <w:snapToGrid w:val="0"/>
          <w:lang w:val="pt-PT"/>
        </w:rPr>
        <w:t xml:space="preserve">NO16966: </w:t>
      </w:r>
      <w:r w:rsidRPr="007155C0">
        <w:rPr>
          <w:color w:val="000000"/>
          <w:lang w:val="pt-PT"/>
        </w:rPr>
        <w:t xml:space="preserve">bevacizumab </w:t>
      </w:r>
      <w:r w:rsidRPr="002606DB">
        <w:rPr>
          <w:snapToGrid w:val="0"/>
          <w:lang w:val="pt-PT"/>
        </w:rPr>
        <w:t xml:space="preserve">7,5 mg/kg de peso corporal de 3 em 3 semanas em associação com capecitabina por via oral e oxaliplatina por via intravenosa (XELOX) ou </w:t>
      </w:r>
      <w:r w:rsidR="00814C6F" w:rsidRPr="007155C0">
        <w:rPr>
          <w:color w:val="000000"/>
          <w:lang w:val="pt-PT"/>
        </w:rPr>
        <w:t>bevacizumab</w:t>
      </w:r>
      <w:r w:rsidRPr="002606DB">
        <w:rPr>
          <w:snapToGrid w:val="0"/>
          <w:lang w:val="pt-PT"/>
        </w:rPr>
        <w:t xml:space="preserve"> 5 mg/kg de 2 em 2 semanas em associação com folinato de cálcio e 5</w:t>
      </w:r>
      <w:r w:rsidR="0021002E" w:rsidRPr="002606DB">
        <w:rPr>
          <w:snapToGrid w:val="0"/>
          <w:lang w:val="pt-PT"/>
        </w:rPr>
        <w:noBreakHyphen/>
      </w:r>
      <w:r w:rsidRPr="002606DB">
        <w:rPr>
          <w:snapToGrid w:val="0"/>
          <w:lang w:val="pt-PT"/>
        </w:rPr>
        <w:t>fluorouracilo em bólus, seguido de perfusão de 5</w:t>
      </w:r>
      <w:r w:rsidR="0021002E" w:rsidRPr="002606DB">
        <w:rPr>
          <w:snapToGrid w:val="0"/>
          <w:lang w:val="pt-PT"/>
        </w:rPr>
        <w:noBreakHyphen/>
      </w:r>
      <w:r w:rsidRPr="002606DB">
        <w:rPr>
          <w:snapToGrid w:val="0"/>
          <w:lang w:val="pt-PT"/>
        </w:rPr>
        <w:t>fluorouracilo com oxaliplatina por via intravenosa (FOLFOX</w:t>
      </w:r>
      <w:r w:rsidR="0021002E" w:rsidRPr="002606DB">
        <w:rPr>
          <w:snapToGrid w:val="0"/>
          <w:lang w:val="pt-PT"/>
        </w:rPr>
        <w:noBreakHyphen/>
      </w:r>
      <w:r w:rsidRPr="002606DB">
        <w:rPr>
          <w:snapToGrid w:val="0"/>
          <w:lang w:val="pt-PT"/>
        </w:rPr>
        <w:t>4).</w:t>
      </w:r>
    </w:p>
    <w:p w14:paraId="7343AB6F" w14:textId="77777777" w:rsidR="00162CE2" w:rsidRPr="002606DB" w:rsidRDefault="00162CE2" w:rsidP="00417EC0">
      <w:pPr>
        <w:pStyle w:val="a3"/>
        <w:adjustRightInd w:val="0"/>
        <w:snapToGrid w:val="0"/>
        <w:ind w:left="567" w:hanging="567"/>
        <w:rPr>
          <w:snapToGrid w:val="0"/>
          <w:lang w:val="pt-PT"/>
        </w:rPr>
      </w:pPr>
    </w:p>
    <w:p w14:paraId="0614C6ED" w14:textId="0E34C831" w:rsidR="00162CE2" w:rsidRPr="002606DB" w:rsidRDefault="00162CE2" w:rsidP="00EF54B7">
      <w:pPr>
        <w:pStyle w:val="a4"/>
        <w:numPr>
          <w:ilvl w:val="0"/>
          <w:numId w:val="13"/>
        </w:numPr>
        <w:adjustRightInd w:val="0"/>
        <w:snapToGrid w:val="0"/>
        <w:ind w:left="567" w:hanging="567"/>
        <w:rPr>
          <w:snapToGrid w:val="0"/>
          <w:lang w:val="pt-PT"/>
        </w:rPr>
      </w:pPr>
      <w:r w:rsidRPr="002606DB">
        <w:rPr>
          <w:snapToGrid w:val="0"/>
          <w:lang w:val="pt-PT"/>
        </w:rPr>
        <w:t xml:space="preserve">E3200: </w:t>
      </w:r>
      <w:r w:rsidRPr="007155C0">
        <w:rPr>
          <w:color w:val="000000"/>
          <w:lang w:val="pt-PT"/>
        </w:rPr>
        <w:t xml:space="preserve">bevacizumab </w:t>
      </w:r>
      <w:r w:rsidRPr="002606DB">
        <w:rPr>
          <w:snapToGrid w:val="0"/>
          <w:lang w:val="pt-PT"/>
        </w:rPr>
        <w:t>10 mg/kg de peso corporal de 2 em 2 semanas em associação com folinato de cálcio e 5</w:t>
      </w:r>
      <w:r w:rsidR="0021002E" w:rsidRPr="002606DB">
        <w:rPr>
          <w:snapToGrid w:val="0"/>
          <w:lang w:val="pt-PT"/>
        </w:rPr>
        <w:noBreakHyphen/>
      </w:r>
      <w:r w:rsidRPr="002606DB">
        <w:rPr>
          <w:snapToGrid w:val="0"/>
          <w:lang w:val="pt-PT"/>
        </w:rPr>
        <w:t>fluorouracilo em bólus, seguido de perfusão de 5</w:t>
      </w:r>
      <w:r w:rsidR="0021002E" w:rsidRPr="002606DB">
        <w:rPr>
          <w:snapToGrid w:val="0"/>
          <w:lang w:val="pt-PT"/>
        </w:rPr>
        <w:noBreakHyphen/>
      </w:r>
      <w:r w:rsidRPr="002606DB">
        <w:rPr>
          <w:snapToGrid w:val="0"/>
          <w:lang w:val="pt-PT"/>
        </w:rPr>
        <w:t>fluorouracilo com oxaliplatina por via intravenosa (FOLFOX</w:t>
      </w:r>
      <w:r w:rsidR="0021002E" w:rsidRPr="002606DB">
        <w:rPr>
          <w:snapToGrid w:val="0"/>
          <w:lang w:val="pt-PT"/>
        </w:rPr>
        <w:noBreakHyphen/>
      </w:r>
      <w:r w:rsidRPr="002606DB">
        <w:rPr>
          <w:snapToGrid w:val="0"/>
          <w:lang w:val="pt-PT"/>
        </w:rPr>
        <w:t>4) em doentes sem tratamento prévio com bevacizumab (naïve).</w:t>
      </w:r>
    </w:p>
    <w:p w14:paraId="6620207A" w14:textId="77777777" w:rsidR="00162CE2" w:rsidRPr="002606DB" w:rsidRDefault="00162CE2" w:rsidP="00417EC0">
      <w:pPr>
        <w:pStyle w:val="a3"/>
        <w:adjustRightInd w:val="0"/>
        <w:snapToGrid w:val="0"/>
        <w:ind w:left="567" w:hanging="567"/>
        <w:rPr>
          <w:snapToGrid w:val="0"/>
          <w:lang w:val="pt-PT"/>
        </w:rPr>
      </w:pPr>
    </w:p>
    <w:p w14:paraId="798AD2DD" w14:textId="4A619D7A" w:rsidR="00162CE2" w:rsidRPr="002606DB" w:rsidRDefault="00162CE2" w:rsidP="00EF54B7">
      <w:pPr>
        <w:pStyle w:val="a4"/>
        <w:numPr>
          <w:ilvl w:val="0"/>
          <w:numId w:val="13"/>
        </w:numPr>
        <w:adjustRightInd w:val="0"/>
        <w:snapToGrid w:val="0"/>
        <w:ind w:left="567" w:hanging="567"/>
        <w:rPr>
          <w:snapToGrid w:val="0"/>
          <w:lang w:val="pt-PT"/>
        </w:rPr>
      </w:pPr>
      <w:r w:rsidRPr="002606DB">
        <w:rPr>
          <w:snapToGrid w:val="0"/>
          <w:lang w:val="pt-PT"/>
        </w:rPr>
        <w:t xml:space="preserve">ML18147: </w:t>
      </w:r>
      <w:r w:rsidRPr="007155C0">
        <w:rPr>
          <w:color w:val="000000"/>
          <w:lang w:val="pt-PT"/>
        </w:rPr>
        <w:t xml:space="preserve">bevacizumab </w:t>
      </w:r>
      <w:r w:rsidRPr="002606DB">
        <w:rPr>
          <w:snapToGrid w:val="0"/>
          <w:lang w:val="pt-PT"/>
        </w:rPr>
        <w:t xml:space="preserve">5,0 mg/kg de peso corporal de 2 em 2 semanas ou </w:t>
      </w:r>
      <w:r w:rsidR="00814C6F" w:rsidRPr="007155C0">
        <w:rPr>
          <w:color w:val="000000"/>
          <w:lang w:val="pt-PT"/>
        </w:rPr>
        <w:t>bevacizumab</w:t>
      </w:r>
      <w:r w:rsidRPr="002606DB">
        <w:rPr>
          <w:snapToGrid w:val="0"/>
          <w:lang w:val="pt-PT"/>
        </w:rPr>
        <w:t xml:space="preserve"> 7,5 mg/kg de peso corporal de 3 em 3 semanas em associação com fluoropirimidina/irinotecano ou fluoropirimidina/oxaliplatina em doentes com progressão de doença, sob tratamento com bevacizumab em primeira linha. A utilização de regimes contendo irinotecano ou oxaliplatina foi substitu</w:t>
      </w:r>
      <w:r w:rsidR="008B3C24" w:rsidRPr="007155C0">
        <w:rPr>
          <w:lang w:val="pt-PT"/>
        </w:rPr>
        <w:t>í</w:t>
      </w:r>
      <w:r w:rsidRPr="002606DB">
        <w:rPr>
          <w:snapToGrid w:val="0"/>
          <w:lang w:val="pt-PT"/>
        </w:rPr>
        <w:t>da por oxaliplatina ou irinotecano, dependendo do regime utilizado em primeira linha.</w:t>
      </w:r>
    </w:p>
    <w:p w14:paraId="5DC873BA" w14:textId="77777777" w:rsidR="00162CE2" w:rsidRPr="002606DB" w:rsidRDefault="00162CE2" w:rsidP="00056F35">
      <w:pPr>
        <w:pStyle w:val="a3"/>
        <w:adjustRightInd w:val="0"/>
        <w:snapToGrid w:val="0"/>
        <w:rPr>
          <w:snapToGrid w:val="0"/>
          <w:lang w:val="pt-PT"/>
        </w:rPr>
      </w:pPr>
    </w:p>
    <w:p w14:paraId="6E0C81C1" w14:textId="77777777" w:rsidR="00162CE2" w:rsidRPr="002606DB" w:rsidRDefault="00162CE2" w:rsidP="00056F35">
      <w:pPr>
        <w:adjustRightInd w:val="0"/>
        <w:snapToGrid w:val="0"/>
        <w:rPr>
          <w:i/>
          <w:snapToGrid w:val="0"/>
          <w:lang w:val="pt-PT"/>
        </w:rPr>
      </w:pPr>
      <w:r w:rsidRPr="002606DB">
        <w:rPr>
          <w:i/>
          <w:snapToGrid w:val="0"/>
          <w:lang w:val="pt-PT"/>
        </w:rPr>
        <w:t>AVF2107g</w:t>
      </w:r>
    </w:p>
    <w:p w14:paraId="14BD565A" w14:textId="1A99F3AD" w:rsidR="00162CE2" w:rsidRPr="002606DB" w:rsidRDefault="00162CE2" w:rsidP="00EF54B7">
      <w:pPr>
        <w:pStyle w:val="a3"/>
        <w:adjustRightInd w:val="0"/>
        <w:snapToGrid w:val="0"/>
        <w:rPr>
          <w:snapToGrid w:val="0"/>
          <w:lang w:val="pt-PT"/>
        </w:rPr>
      </w:pPr>
      <w:r w:rsidRPr="002606DB">
        <w:rPr>
          <w:snapToGrid w:val="0"/>
          <w:lang w:val="pt-PT"/>
        </w:rPr>
        <w:t xml:space="preserve">Tratou-se de um ensaio clínico de fase III, aleatorizado, com dupla ocultação, controlado por </w:t>
      </w:r>
      <w:r w:rsidRPr="002606DB">
        <w:rPr>
          <w:snapToGrid w:val="0"/>
          <w:lang w:val="pt-PT"/>
        </w:rPr>
        <w:lastRenderedPageBreak/>
        <w:t xml:space="preserve">substância ativa, para avaliar o </w:t>
      </w:r>
      <w:r w:rsidRPr="007155C0">
        <w:rPr>
          <w:color w:val="000000"/>
          <w:lang w:val="pt-PT"/>
        </w:rPr>
        <w:t xml:space="preserve">bevacizumab </w:t>
      </w:r>
      <w:r w:rsidRPr="002606DB">
        <w:rPr>
          <w:snapToGrid w:val="0"/>
          <w:lang w:val="pt-PT"/>
        </w:rPr>
        <w:t>em associação com IFL como tratamento de primeira linha do carcinoma metastizado do cólon ou do reto. Foram aleatorizados 813 doentes para tratamento com IFL + placebo (</w:t>
      </w:r>
      <w:r w:rsidR="00B72472">
        <w:rPr>
          <w:snapToGrid w:val="0"/>
          <w:lang w:val="pt-PT"/>
        </w:rPr>
        <w:t>grupo</w:t>
      </w:r>
      <w:r w:rsidRPr="002606DB">
        <w:rPr>
          <w:snapToGrid w:val="0"/>
          <w:lang w:val="pt-PT"/>
        </w:rPr>
        <w:t xml:space="preserve"> 1) ou com IFL + </w:t>
      </w:r>
      <w:r w:rsidRPr="007155C0">
        <w:rPr>
          <w:color w:val="000000"/>
          <w:lang w:val="pt-PT"/>
        </w:rPr>
        <w:t xml:space="preserve">bevacizumab </w:t>
      </w:r>
      <w:r w:rsidRPr="002606DB">
        <w:rPr>
          <w:snapToGrid w:val="0"/>
          <w:lang w:val="pt-PT"/>
        </w:rPr>
        <w:t xml:space="preserve">(5 mg/kg de 2 em 2 semanas, </w:t>
      </w:r>
      <w:r w:rsidR="00B72472">
        <w:rPr>
          <w:snapToGrid w:val="0"/>
          <w:lang w:val="pt-PT"/>
        </w:rPr>
        <w:t>grupo</w:t>
      </w:r>
      <w:r w:rsidRPr="002606DB">
        <w:rPr>
          <w:snapToGrid w:val="0"/>
          <w:lang w:val="pt-PT"/>
        </w:rPr>
        <w:t xml:space="preserve"> 2). Um terceiro grupo de 110 doentes recebeu bólus de 5</w:t>
      </w:r>
      <w:r w:rsidR="0021002E" w:rsidRPr="002606DB">
        <w:rPr>
          <w:snapToGrid w:val="0"/>
          <w:lang w:val="pt-PT"/>
        </w:rPr>
        <w:noBreakHyphen/>
      </w:r>
      <w:r w:rsidRPr="002606DB">
        <w:rPr>
          <w:snapToGrid w:val="0"/>
          <w:lang w:val="pt-PT"/>
        </w:rPr>
        <w:t xml:space="preserve">FU/AF + </w:t>
      </w:r>
      <w:r w:rsidRPr="007155C0">
        <w:rPr>
          <w:color w:val="000000"/>
          <w:lang w:val="pt-PT"/>
        </w:rPr>
        <w:t xml:space="preserve">bevacizumab </w:t>
      </w:r>
      <w:r w:rsidRPr="002606DB">
        <w:rPr>
          <w:snapToGrid w:val="0"/>
          <w:lang w:val="pt-PT"/>
        </w:rPr>
        <w:t>(</w:t>
      </w:r>
      <w:r w:rsidR="00B72472">
        <w:rPr>
          <w:snapToGrid w:val="0"/>
          <w:lang w:val="pt-PT"/>
        </w:rPr>
        <w:t>grupo</w:t>
      </w:r>
      <w:r w:rsidRPr="002606DB">
        <w:rPr>
          <w:snapToGrid w:val="0"/>
          <w:lang w:val="pt-PT"/>
        </w:rPr>
        <w:t xml:space="preserve"> 3). A inclusão de doentes no </w:t>
      </w:r>
      <w:r w:rsidR="00B72472">
        <w:rPr>
          <w:snapToGrid w:val="0"/>
          <w:lang w:val="pt-PT"/>
        </w:rPr>
        <w:t>grupo</w:t>
      </w:r>
      <w:r w:rsidRPr="002606DB">
        <w:rPr>
          <w:snapToGrid w:val="0"/>
          <w:lang w:val="pt-PT"/>
        </w:rPr>
        <w:t xml:space="preserve"> 3 foi interrompida, tal como previamente especificado, logo que foi estabelecida e considerada aceitável, a segurança do </w:t>
      </w:r>
      <w:r w:rsidRPr="007155C0">
        <w:rPr>
          <w:color w:val="000000"/>
          <w:lang w:val="pt-PT"/>
        </w:rPr>
        <w:t xml:space="preserve">bevacizumab </w:t>
      </w:r>
      <w:r w:rsidRPr="002606DB">
        <w:rPr>
          <w:snapToGrid w:val="0"/>
          <w:lang w:val="pt-PT"/>
        </w:rPr>
        <w:t xml:space="preserve">em associação com IFL. Todos os tratamentos prosseguiram até se registar progressão da doença. A idade média dos doentes foi de 59,4 anos; 56,6% dos doentes apresentava uma </w:t>
      </w:r>
      <w:r w:rsidRPr="002606DB">
        <w:rPr>
          <w:i/>
          <w:snapToGrid w:val="0"/>
          <w:lang w:val="pt-PT"/>
        </w:rPr>
        <w:t xml:space="preserve">performance status </w:t>
      </w:r>
      <w:r w:rsidRPr="002606DB">
        <w:rPr>
          <w:snapToGrid w:val="0"/>
          <w:lang w:val="pt-PT"/>
        </w:rPr>
        <w:t>ECOG de 0, 43% tinha um valor de 1 e 0,4% um valor de 2.</w:t>
      </w:r>
      <w:r w:rsidR="00EF54B7" w:rsidRPr="002606DB">
        <w:rPr>
          <w:snapToGrid w:val="0"/>
          <w:lang w:val="pt-PT"/>
        </w:rPr>
        <w:t xml:space="preserve"> </w:t>
      </w:r>
      <w:r w:rsidRPr="002606DB">
        <w:rPr>
          <w:snapToGrid w:val="0"/>
          <w:lang w:val="pt-PT"/>
        </w:rPr>
        <w:t>15,5% dos doentes tinham sido previamente submetidos a radioterapia e 28,4% a quimioterapia.</w:t>
      </w:r>
    </w:p>
    <w:p w14:paraId="3EA66960" w14:textId="77777777" w:rsidR="00162CE2" w:rsidRPr="002606DB" w:rsidRDefault="00162CE2" w:rsidP="00056F35">
      <w:pPr>
        <w:pStyle w:val="a3"/>
        <w:adjustRightInd w:val="0"/>
        <w:snapToGrid w:val="0"/>
        <w:rPr>
          <w:snapToGrid w:val="0"/>
          <w:lang w:val="pt-PT"/>
        </w:rPr>
      </w:pPr>
    </w:p>
    <w:p w14:paraId="112567F0" w14:textId="20235611" w:rsidR="00162CE2" w:rsidRPr="002606DB" w:rsidRDefault="00162CE2" w:rsidP="00056F35">
      <w:pPr>
        <w:pStyle w:val="a3"/>
        <w:adjustRightInd w:val="0"/>
        <w:snapToGrid w:val="0"/>
        <w:rPr>
          <w:snapToGrid w:val="0"/>
          <w:lang w:val="pt-PT"/>
        </w:rPr>
      </w:pPr>
      <w:r w:rsidRPr="002606DB">
        <w:rPr>
          <w:snapToGrid w:val="0"/>
          <w:lang w:val="pt-PT"/>
        </w:rPr>
        <w:t>Neste ensaio, a principal variável de eficácia foi a sobrevivência global</w:t>
      </w:r>
      <w:r w:rsidR="001B41C4">
        <w:rPr>
          <w:snapToGrid w:val="0"/>
          <w:lang w:val="pt-PT"/>
        </w:rPr>
        <w:t xml:space="preserve"> (</w:t>
      </w:r>
      <w:r w:rsidR="004C3061">
        <w:rPr>
          <w:snapToGrid w:val="0"/>
          <w:lang w:val="pt-PT"/>
        </w:rPr>
        <w:t>OS</w:t>
      </w:r>
      <w:r w:rsidR="001B41C4">
        <w:rPr>
          <w:snapToGrid w:val="0"/>
          <w:lang w:val="pt-PT"/>
        </w:rPr>
        <w:t>)</w:t>
      </w:r>
      <w:r w:rsidRPr="002606DB">
        <w:rPr>
          <w:snapToGrid w:val="0"/>
          <w:lang w:val="pt-PT"/>
        </w:rPr>
        <w:t xml:space="preserve">. A adição de </w:t>
      </w:r>
      <w:r w:rsidRPr="007155C0">
        <w:rPr>
          <w:color w:val="000000"/>
          <w:lang w:val="fr-CA"/>
        </w:rPr>
        <w:t xml:space="preserve">bevacizumab </w:t>
      </w:r>
      <w:r w:rsidRPr="002606DB">
        <w:rPr>
          <w:snapToGrid w:val="0"/>
          <w:lang w:val="pt-PT"/>
        </w:rPr>
        <w:t xml:space="preserve">a IFL resultou em aumentos estatisticamente significativos da </w:t>
      </w:r>
      <w:r w:rsidR="004C3061">
        <w:rPr>
          <w:snapToGrid w:val="0"/>
          <w:lang w:val="pt-PT"/>
        </w:rPr>
        <w:t>OS</w:t>
      </w:r>
      <w:r w:rsidRPr="002606DB">
        <w:rPr>
          <w:snapToGrid w:val="0"/>
          <w:lang w:val="pt-PT"/>
        </w:rPr>
        <w:t>, sobrevivência livre de progressão</w:t>
      </w:r>
      <w:r w:rsidR="001B41C4">
        <w:rPr>
          <w:snapToGrid w:val="0"/>
          <w:lang w:val="pt-PT"/>
        </w:rPr>
        <w:t xml:space="preserve"> (</w:t>
      </w:r>
      <w:r w:rsidR="004C3061">
        <w:rPr>
          <w:snapToGrid w:val="0"/>
          <w:lang w:val="pt-PT"/>
        </w:rPr>
        <w:t>PFS</w:t>
      </w:r>
      <w:r w:rsidR="001B41C4">
        <w:rPr>
          <w:snapToGrid w:val="0"/>
          <w:lang w:val="pt-PT"/>
        </w:rPr>
        <w:t>)</w:t>
      </w:r>
      <w:r w:rsidRPr="002606DB">
        <w:rPr>
          <w:snapToGrid w:val="0"/>
          <w:lang w:val="pt-PT"/>
        </w:rPr>
        <w:t xml:space="preserve"> e taxa de resposta global (ver a Tabela 4). O benefício clínico do </w:t>
      </w:r>
      <w:r w:rsidR="001B41C4" w:rsidRPr="007155C0">
        <w:rPr>
          <w:color w:val="000000"/>
          <w:lang w:val="pt-PT"/>
        </w:rPr>
        <w:t>bevacizumab</w:t>
      </w:r>
      <w:r w:rsidRPr="002606DB">
        <w:rPr>
          <w:snapToGrid w:val="0"/>
          <w:lang w:val="pt-PT"/>
        </w:rPr>
        <w:t xml:space="preserve">, determinado pela </w:t>
      </w:r>
      <w:r w:rsidR="004C3061">
        <w:rPr>
          <w:snapToGrid w:val="0"/>
          <w:lang w:val="pt-PT"/>
        </w:rPr>
        <w:t>OS</w:t>
      </w:r>
      <w:r w:rsidRPr="002606DB">
        <w:rPr>
          <w:snapToGrid w:val="0"/>
          <w:lang w:val="pt-PT"/>
        </w:rPr>
        <w:t>, foi observado em todos os subgrupos pré</w:t>
      </w:r>
      <w:r w:rsidR="0021002E" w:rsidRPr="002606DB">
        <w:rPr>
          <w:snapToGrid w:val="0"/>
          <w:lang w:val="pt-PT"/>
        </w:rPr>
        <w:noBreakHyphen/>
      </w:r>
      <w:r w:rsidRPr="002606DB">
        <w:rPr>
          <w:snapToGrid w:val="0"/>
          <w:lang w:val="pt-PT"/>
        </w:rPr>
        <w:t xml:space="preserve">especificados de doentes, incluindo os definidos pela idade, sexo, </w:t>
      </w:r>
      <w:r w:rsidRPr="002606DB">
        <w:rPr>
          <w:i/>
          <w:snapToGrid w:val="0"/>
          <w:lang w:val="pt-PT"/>
        </w:rPr>
        <w:t>performance status</w:t>
      </w:r>
      <w:r w:rsidRPr="002606DB">
        <w:rPr>
          <w:snapToGrid w:val="0"/>
          <w:lang w:val="pt-PT"/>
        </w:rPr>
        <w:t>, localização do tumor primário, número de órgãos envolvidos e duração da doença metastizada.</w:t>
      </w:r>
    </w:p>
    <w:p w14:paraId="6311106B" w14:textId="77777777" w:rsidR="00162CE2" w:rsidRPr="002606DB" w:rsidRDefault="00162CE2" w:rsidP="00056F35">
      <w:pPr>
        <w:pStyle w:val="a3"/>
        <w:adjustRightInd w:val="0"/>
        <w:snapToGrid w:val="0"/>
        <w:rPr>
          <w:snapToGrid w:val="0"/>
          <w:lang w:val="pt-PT"/>
        </w:rPr>
      </w:pPr>
    </w:p>
    <w:p w14:paraId="20AFB57C" w14:textId="7DD7A90D" w:rsidR="00162CE2" w:rsidRPr="002606DB" w:rsidRDefault="00162CE2" w:rsidP="00056F35">
      <w:pPr>
        <w:pStyle w:val="a3"/>
        <w:adjustRightInd w:val="0"/>
        <w:snapToGrid w:val="0"/>
        <w:rPr>
          <w:snapToGrid w:val="0"/>
          <w:lang w:val="pt-PT"/>
        </w:rPr>
      </w:pPr>
      <w:r w:rsidRPr="002606DB">
        <w:rPr>
          <w:snapToGrid w:val="0"/>
          <w:lang w:val="pt-PT"/>
        </w:rPr>
        <w:t xml:space="preserve">Os resultados de eficácia do </w:t>
      </w:r>
      <w:r w:rsidRPr="007155C0">
        <w:rPr>
          <w:color w:val="000000"/>
          <w:lang w:val="pt-PT"/>
        </w:rPr>
        <w:t xml:space="preserve">bevacizumab </w:t>
      </w:r>
      <w:r w:rsidRPr="002606DB">
        <w:rPr>
          <w:snapToGrid w:val="0"/>
          <w:lang w:val="pt-PT"/>
        </w:rPr>
        <w:t>em associação com quimioterapia com IFL são apresentados na Tabela 4.</w:t>
      </w:r>
    </w:p>
    <w:p w14:paraId="0FD21D02" w14:textId="77777777" w:rsidR="00162CE2" w:rsidRPr="002606DB" w:rsidRDefault="00162CE2" w:rsidP="00056F35">
      <w:pPr>
        <w:adjustRightInd w:val="0"/>
        <w:snapToGrid w:val="0"/>
        <w:rPr>
          <w:snapToGrid w:val="0"/>
          <w:lang w:val="pt-PT"/>
        </w:rPr>
      </w:pPr>
    </w:p>
    <w:p w14:paraId="0AAF89BB"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4</w:t>
      </w:r>
      <w:r w:rsidRPr="00730741">
        <w:rPr>
          <w:b/>
          <w:bCs/>
          <w:snapToGrid w:val="0"/>
          <w:lang w:val="pt-PT"/>
        </w:rPr>
        <w:tab/>
        <w:t>Resultados de eficácia obtidos no ensaio AVF2107g</w:t>
      </w:r>
    </w:p>
    <w:p w14:paraId="0B4380A9" w14:textId="77777777" w:rsidR="00162CE2" w:rsidRPr="002606DB" w:rsidRDefault="00162CE2" w:rsidP="005C4B2D">
      <w:pPr>
        <w:pStyle w:val="a3"/>
        <w:keepNext/>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8"/>
        <w:gridCol w:w="2572"/>
        <w:gridCol w:w="2436"/>
      </w:tblGrid>
      <w:tr w:rsidR="00162CE2" w:rsidRPr="002606DB" w14:paraId="48BD21BC" w14:textId="77777777" w:rsidTr="00D206FE">
        <w:trPr>
          <w:cantSplit/>
          <w:tblHeader/>
        </w:trPr>
        <w:tc>
          <w:tcPr>
            <w:tcW w:w="4162" w:type="dxa"/>
            <w:vMerge w:val="restart"/>
          </w:tcPr>
          <w:p w14:paraId="37AB8FF0" w14:textId="77777777" w:rsidR="00162CE2" w:rsidRPr="002606DB" w:rsidRDefault="00162CE2" w:rsidP="005C4B2D">
            <w:pPr>
              <w:pStyle w:val="TableParagraph"/>
              <w:keepNext/>
              <w:adjustRightInd w:val="0"/>
              <w:snapToGrid w:val="0"/>
              <w:rPr>
                <w:b/>
                <w:bCs/>
                <w:snapToGrid w:val="0"/>
                <w:sz w:val="20"/>
                <w:lang w:val="pt-PT"/>
              </w:rPr>
            </w:pPr>
          </w:p>
        </w:tc>
        <w:tc>
          <w:tcPr>
            <w:tcW w:w="5130" w:type="dxa"/>
            <w:gridSpan w:val="2"/>
          </w:tcPr>
          <w:p w14:paraId="4BBDBB09" w14:textId="77777777" w:rsidR="00162CE2" w:rsidRPr="002606DB" w:rsidRDefault="00162CE2" w:rsidP="005C4B2D">
            <w:pPr>
              <w:pStyle w:val="TableParagraph"/>
              <w:keepNext/>
              <w:adjustRightInd w:val="0"/>
              <w:snapToGrid w:val="0"/>
              <w:jc w:val="center"/>
              <w:rPr>
                <w:b/>
                <w:bCs/>
                <w:snapToGrid w:val="0"/>
                <w:sz w:val="20"/>
                <w:lang w:val="pt-PT"/>
              </w:rPr>
            </w:pPr>
            <w:r w:rsidRPr="002606DB">
              <w:rPr>
                <w:b/>
                <w:bCs/>
                <w:snapToGrid w:val="0"/>
                <w:sz w:val="20"/>
                <w:lang w:val="pt-PT"/>
              </w:rPr>
              <w:t>AVF2107g</w:t>
            </w:r>
          </w:p>
        </w:tc>
      </w:tr>
      <w:tr w:rsidR="00162CE2" w:rsidRPr="002606DB" w14:paraId="016CC641" w14:textId="77777777" w:rsidTr="00D206FE">
        <w:trPr>
          <w:cantSplit/>
          <w:tblHeader/>
        </w:trPr>
        <w:tc>
          <w:tcPr>
            <w:tcW w:w="4162" w:type="dxa"/>
            <w:vMerge/>
            <w:tcBorders>
              <w:top w:val="nil"/>
            </w:tcBorders>
          </w:tcPr>
          <w:p w14:paraId="1AC3FE7E" w14:textId="77777777" w:rsidR="00162CE2" w:rsidRPr="002606DB" w:rsidRDefault="00162CE2" w:rsidP="005C4B2D">
            <w:pPr>
              <w:keepNext/>
              <w:adjustRightInd w:val="0"/>
              <w:snapToGrid w:val="0"/>
              <w:rPr>
                <w:b/>
                <w:bCs/>
                <w:snapToGrid w:val="0"/>
                <w:sz w:val="20"/>
                <w:szCs w:val="2"/>
                <w:lang w:val="pt-PT"/>
              </w:rPr>
            </w:pPr>
          </w:p>
        </w:tc>
        <w:tc>
          <w:tcPr>
            <w:tcW w:w="2635" w:type="dxa"/>
          </w:tcPr>
          <w:p w14:paraId="6C06EF67" w14:textId="1F25FABB" w:rsidR="00162CE2" w:rsidRPr="002606DB" w:rsidRDefault="00B72472" w:rsidP="005C4B2D">
            <w:pPr>
              <w:pStyle w:val="TableParagraph"/>
              <w:keepNext/>
              <w:adjustRightInd w:val="0"/>
              <w:snapToGrid w:val="0"/>
              <w:jc w:val="center"/>
              <w:rPr>
                <w:b/>
                <w:bCs/>
                <w:snapToGrid w:val="0"/>
                <w:sz w:val="20"/>
                <w:lang w:val="pt-PT"/>
              </w:rPr>
            </w:pPr>
            <w:r>
              <w:rPr>
                <w:b/>
                <w:bCs/>
                <w:snapToGrid w:val="0"/>
                <w:sz w:val="20"/>
                <w:lang w:val="pt-PT"/>
              </w:rPr>
              <w:t>Grupo</w:t>
            </w:r>
            <w:r w:rsidR="00162CE2" w:rsidRPr="002606DB">
              <w:rPr>
                <w:b/>
                <w:bCs/>
                <w:snapToGrid w:val="0"/>
                <w:sz w:val="20"/>
                <w:lang w:val="pt-PT"/>
              </w:rPr>
              <w:t xml:space="preserve"> 1</w:t>
            </w:r>
          </w:p>
          <w:p w14:paraId="611B3522" w14:textId="77777777" w:rsidR="00162CE2" w:rsidRPr="002606DB" w:rsidRDefault="00162CE2" w:rsidP="005C4B2D">
            <w:pPr>
              <w:pStyle w:val="TableParagraph"/>
              <w:keepNext/>
              <w:adjustRightInd w:val="0"/>
              <w:snapToGrid w:val="0"/>
              <w:jc w:val="center"/>
              <w:rPr>
                <w:b/>
                <w:bCs/>
                <w:snapToGrid w:val="0"/>
                <w:sz w:val="20"/>
                <w:lang w:val="pt-PT"/>
              </w:rPr>
            </w:pPr>
            <w:r w:rsidRPr="002606DB">
              <w:rPr>
                <w:b/>
                <w:bCs/>
                <w:snapToGrid w:val="0"/>
                <w:sz w:val="20"/>
                <w:lang w:val="pt-PT"/>
              </w:rPr>
              <w:t>IFL + placebo</w:t>
            </w:r>
          </w:p>
        </w:tc>
        <w:tc>
          <w:tcPr>
            <w:tcW w:w="2495" w:type="dxa"/>
          </w:tcPr>
          <w:p w14:paraId="6BD236C9" w14:textId="0F10AB55" w:rsidR="00162CE2" w:rsidRPr="002606DB" w:rsidRDefault="00B72472" w:rsidP="005C4B2D">
            <w:pPr>
              <w:pStyle w:val="TableParagraph"/>
              <w:keepNext/>
              <w:adjustRightInd w:val="0"/>
              <w:snapToGrid w:val="0"/>
              <w:jc w:val="center"/>
              <w:rPr>
                <w:b/>
                <w:bCs/>
                <w:snapToGrid w:val="0"/>
                <w:sz w:val="20"/>
                <w:lang w:val="pt-PT"/>
              </w:rPr>
            </w:pPr>
            <w:r>
              <w:rPr>
                <w:b/>
                <w:bCs/>
                <w:snapToGrid w:val="0"/>
                <w:sz w:val="20"/>
                <w:lang w:val="pt-PT"/>
              </w:rPr>
              <w:t>Grupo</w:t>
            </w:r>
            <w:r w:rsidR="00162CE2" w:rsidRPr="002606DB">
              <w:rPr>
                <w:b/>
                <w:bCs/>
                <w:snapToGrid w:val="0"/>
                <w:sz w:val="20"/>
                <w:lang w:val="pt-PT"/>
              </w:rPr>
              <w:t xml:space="preserve"> 2</w:t>
            </w:r>
          </w:p>
          <w:p w14:paraId="7A8CAA43" w14:textId="43095350" w:rsidR="00162CE2" w:rsidRPr="002606DB" w:rsidRDefault="00162CE2" w:rsidP="005C4B2D">
            <w:pPr>
              <w:pStyle w:val="TableParagraph"/>
              <w:keepNext/>
              <w:adjustRightInd w:val="0"/>
              <w:snapToGrid w:val="0"/>
              <w:jc w:val="center"/>
              <w:rPr>
                <w:b/>
                <w:bCs/>
                <w:snapToGrid w:val="0"/>
                <w:sz w:val="20"/>
                <w:lang w:val="pt-PT"/>
              </w:rPr>
            </w:pPr>
            <w:r w:rsidRPr="002606DB">
              <w:rPr>
                <w:b/>
                <w:bCs/>
                <w:snapToGrid w:val="0"/>
                <w:sz w:val="20"/>
                <w:lang w:val="pt-PT"/>
              </w:rPr>
              <w:t>IFL + Bevacizumab</w:t>
            </w:r>
            <w:r w:rsidRPr="002606DB">
              <w:rPr>
                <w:b/>
                <w:bCs/>
                <w:snapToGrid w:val="0"/>
                <w:sz w:val="20"/>
                <w:vertAlign w:val="superscript"/>
                <w:lang w:val="pt-PT"/>
              </w:rPr>
              <w:t>a</w:t>
            </w:r>
          </w:p>
        </w:tc>
      </w:tr>
      <w:tr w:rsidR="00162CE2" w:rsidRPr="002606DB" w14:paraId="4790AAC0" w14:textId="77777777" w:rsidTr="00D206FE">
        <w:trPr>
          <w:cantSplit/>
        </w:trPr>
        <w:tc>
          <w:tcPr>
            <w:tcW w:w="4162" w:type="dxa"/>
          </w:tcPr>
          <w:p w14:paraId="44FE4D1B" w14:textId="77777777" w:rsidR="00162CE2" w:rsidRPr="002606DB" w:rsidRDefault="00162CE2" w:rsidP="005C4B2D">
            <w:pPr>
              <w:pStyle w:val="TableParagraph"/>
              <w:keepNext/>
              <w:adjustRightInd w:val="0"/>
              <w:snapToGrid w:val="0"/>
              <w:rPr>
                <w:snapToGrid w:val="0"/>
                <w:sz w:val="20"/>
                <w:lang w:val="pt-PT"/>
              </w:rPr>
            </w:pPr>
            <w:r w:rsidRPr="002606DB">
              <w:rPr>
                <w:snapToGrid w:val="0"/>
                <w:sz w:val="20"/>
                <w:lang w:val="pt-PT"/>
              </w:rPr>
              <w:t>Número de doentes</w:t>
            </w:r>
          </w:p>
        </w:tc>
        <w:tc>
          <w:tcPr>
            <w:tcW w:w="2635" w:type="dxa"/>
          </w:tcPr>
          <w:p w14:paraId="6AE0E610" w14:textId="77777777" w:rsidR="00162CE2" w:rsidRPr="002606DB" w:rsidRDefault="00162CE2" w:rsidP="005C4B2D">
            <w:pPr>
              <w:pStyle w:val="TableParagraph"/>
              <w:keepNext/>
              <w:adjustRightInd w:val="0"/>
              <w:snapToGrid w:val="0"/>
              <w:jc w:val="center"/>
              <w:rPr>
                <w:snapToGrid w:val="0"/>
                <w:sz w:val="20"/>
                <w:lang w:val="pt-PT"/>
              </w:rPr>
            </w:pPr>
            <w:r w:rsidRPr="002606DB">
              <w:rPr>
                <w:snapToGrid w:val="0"/>
                <w:sz w:val="20"/>
                <w:lang w:val="pt-PT"/>
              </w:rPr>
              <w:t>411</w:t>
            </w:r>
          </w:p>
        </w:tc>
        <w:tc>
          <w:tcPr>
            <w:tcW w:w="2495" w:type="dxa"/>
          </w:tcPr>
          <w:p w14:paraId="50E6F6A3" w14:textId="77777777" w:rsidR="00162CE2" w:rsidRPr="002606DB" w:rsidRDefault="00162CE2" w:rsidP="005C4B2D">
            <w:pPr>
              <w:pStyle w:val="TableParagraph"/>
              <w:keepNext/>
              <w:adjustRightInd w:val="0"/>
              <w:snapToGrid w:val="0"/>
              <w:jc w:val="center"/>
              <w:rPr>
                <w:snapToGrid w:val="0"/>
                <w:sz w:val="20"/>
                <w:lang w:val="pt-PT"/>
              </w:rPr>
            </w:pPr>
            <w:r w:rsidRPr="002606DB">
              <w:rPr>
                <w:snapToGrid w:val="0"/>
                <w:sz w:val="20"/>
                <w:lang w:val="pt-PT"/>
              </w:rPr>
              <w:t>402</w:t>
            </w:r>
          </w:p>
        </w:tc>
      </w:tr>
      <w:tr w:rsidR="00162CE2" w:rsidRPr="002606DB" w14:paraId="789AEA8E" w14:textId="77777777" w:rsidTr="00D206FE">
        <w:trPr>
          <w:cantSplit/>
        </w:trPr>
        <w:tc>
          <w:tcPr>
            <w:tcW w:w="9292" w:type="dxa"/>
            <w:gridSpan w:val="3"/>
          </w:tcPr>
          <w:p w14:paraId="13F351EF" w14:textId="77777777" w:rsidR="00162CE2" w:rsidRPr="002606DB" w:rsidRDefault="00162CE2" w:rsidP="005C4B2D">
            <w:pPr>
              <w:pStyle w:val="TableParagraph"/>
              <w:keepNext/>
              <w:adjustRightInd w:val="0"/>
              <w:snapToGrid w:val="0"/>
              <w:rPr>
                <w:snapToGrid w:val="0"/>
                <w:sz w:val="20"/>
                <w:lang w:val="pt-PT"/>
              </w:rPr>
            </w:pPr>
            <w:r w:rsidRPr="002606DB">
              <w:rPr>
                <w:snapToGrid w:val="0"/>
                <w:sz w:val="20"/>
                <w:lang w:val="pt-PT"/>
              </w:rPr>
              <w:t>Sobrevivência global</w:t>
            </w:r>
          </w:p>
        </w:tc>
      </w:tr>
      <w:tr w:rsidR="00162CE2" w:rsidRPr="002606DB" w14:paraId="217D925B" w14:textId="77777777" w:rsidTr="00D206FE">
        <w:trPr>
          <w:cantSplit/>
        </w:trPr>
        <w:tc>
          <w:tcPr>
            <w:tcW w:w="4162" w:type="dxa"/>
          </w:tcPr>
          <w:p w14:paraId="6A253448"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Mediana (meses)</w:t>
            </w:r>
          </w:p>
        </w:tc>
        <w:tc>
          <w:tcPr>
            <w:tcW w:w="2635" w:type="dxa"/>
          </w:tcPr>
          <w:p w14:paraId="3053A12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15,6</w:t>
            </w:r>
          </w:p>
        </w:tc>
        <w:tc>
          <w:tcPr>
            <w:tcW w:w="2495" w:type="dxa"/>
          </w:tcPr>
          <w:p w14:paraId="135AE7D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20,3</w:t>
            </w:r>
          </w:p>
        </w:tc>
      </w:tr>
      <w:tr w:rsidR="00162CE2" w:rsidRPr="002606DB" w14:paraId="2931B40C" w14:textId="77777777" w:rsidTr="00D206FE">
        <w:trPr>
          <w:cantSplit/>
        </w:trPr>
        <w:tc>
          <w:tcPr>
            <w:tcW w:w="4162" w:type="dxa"/>
          </w:tcPr>
          <w:p w14:paraId="69645FB5" w14:textId="77777777" w:rsidR="00162CE2" w:rsidRPr="002606DB" w:rsidRDefault="00162CE2" w:rsidP="00EF54B7">
            <w:pPr>
              <w:pStyle w:val="TableParagraph"/>
              <w:adjustRightInd w:val="0"/>
              <w:snapToGrid w:val="0"/>
              <w:ind w:left="270" w:firstLine="262"/>
              <w:rPr>
                <w:snapToGrid w:val="0"/>
                <w:sz w:val="20"/>
                <w:lang w:val="pt-PT"/>
              </w:rPr>
            </w:pPr>
            <w:r w:rsidRPr="002606DB">
              <w:rPr>
                <w:snapToGrid w:val="0"/>
                <w:sz w:val="20"/>
                <w:lang w:val="pt-PT"/>
              </w:rPr>
              <w:t>IC 95%</w:t>
            </w:r>
          </w:p>
        </w:tc>
        <w:tc>
          <w:tcPr>
            <w:tcW w:w="2635" w:type="dxa"/>
          </w:tcPr>
          <w:p w14:paraId="4AB89AD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14,29 – 16,99</w:t>
            </w:r>
          </w:p>
        </w:tc>
        <w:tc>
          <w:tcPr>
            <w:tcW w:w="2495" w:type="dxa"/>
          </w:tcPr>
          <w:p w14:paraId="2719F0A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18,46 – 24,18</w:t>
            </w:r>
          </w:p>
        </w:tc>
      </w:tr>
      <w:tr w:rsidR="00162CE2" w:rsidRPr="002606DB" w14:paraId="74CCD16F" w14:textId="77777777" w:rsidTr="00D206FE">
        <w:trPr>
          <w:cantSplit/>
        </w:trPr>
        <w:tc>
          <w:tcPr>
            <w:tcW w:w="4162" w:type="dxa"/>
          </w:tcPr>
          <w:p w14:paraId="72D4FC7C" w14:textId="77777777" w:rsidR="00162CE2" w:rsidRPr="002606DB" w:rsidRDefault="00162CE2" w:rsidP="004E23F3">
            <w:pPr>
              <w:pStyle w:val="TableParagraph"/>
              <w:adjustRightInd w:val="0"/>
              <w:snapToGrid w:val="0"/>
              <w:ind w:left="270"/>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r w:rsidRPr="002606DB">
              <w:rPr>
                <w:snapToGrid w:val="0"/>
                <w:sz w:val="20"/>
                <w:vertAlign w:val="superscript"/>
                <w:lang w:val="pt-PT"/>
              </w:rPr>
              <w:t>b</w:t>
            </w:r>
          </w:p>
        </w:tc>
        <w:tc>
          <w:tcPr>
            <w:tcW w:w="5130" w:type="dxa"/>
            <w:gridSpan w:val="2"/>
          </w:tcPr>
          <w:p w14:paraId="6FE70FD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0,660</w:t>
            </w:r>
          </w:p>
          <w:p w14:paraId="0E58840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0,00004)</w:t>
            </w:r>
          </w:p>
        </w:tc>
      </w:tr>
      <w:tr w:rsidR="00162CE2" w:rsidRPr="002606DB" w14:paraId="3236C096" w14:textId="77777777" w:rsidTr="00D206FE">
        <w:trPr>
          <w:cantSplit/>
        </w:trPr>
        <w:tc>
          <w:tcPr>
            <w:tcW w:w="9292" w:type="dxa"/>
            <w:gridSpan w:val="3"/>
          </w:tcPr>
          <w:p w14:paraId="708B7C91"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Sobrevivência livre de progressão</w:t>
            </w:r>
          </w:p>
        </w:tc>
      </w:tr>
      <w:tr w:rsidR="00162CE2" w:rsidRPr="002606DB" w14:paraId="643C9856" w14:textId="77777777" w:rsidTr="00D206FE">
        <w:trPr>
          <w:cantSplit/>
        </w:trPr>
        <w:tc>
          <w:tcPr>
            <w:tcW w:w="4162" w:type="dxa"/>
          </w:tcPr>
          <w:p w14:paraId="79870258"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Mediana (meses)</w:t>
            </w:r>
          </w:p>
        </w:tc>
        <w:tc>
          <w:tcPr>
            <w:tcW w:w="2635" w:type="dxa"/>
          </w:tcPr>
          <w:p w14:paraId="4B71F19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6,2</w:t>
            </w:r>
          </w:p>
        </w:tc>
        <w:tc>
          <w:tcPr>
            <w:tcW w:w="2495" w:type="dxa"/>
          </w:tcPr>
          <w:p w14:paraId="6D4DFF0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10,6</w:t>
            </w:r>
          </w:p>
        </w:tc>
      </w:tr>
      <w:tr w:rsidR="00162CE2" w:rsidRPr="002606DB" w14:paraId="017E1C0E" w14:textId="77777777" w:rsidTr="00D206FE">
        <w:trPr>
          <w:cantSplit/>
        </w:trPr>
        <w:tc>
          <w:tcPr>
            <w:tcW w:w="4162" w:type="dxa"/>
          </w:tcPr>
          <w:p w14:paraId="03AD0678" w14:textId="77777777" w:rsidR="00162CE2" w:rsidRPr="002606DB" w:rsidRDefault="00162CE2" w:rsidP="004E23F3">
            <w:pPr>
              <w:pStyle w:val="TableParagraph"/>
              <w:adjustRightInd w:val="0"/>
              <w:snapToGrid w:val="0"/>
              <w:ind w:left="270"/>
              <w:rPr>
                <w:snapToGrid w:val="0"/>
                <w:sz w:val="20"/>
                <w:lang w:val="pt-PT"/>
              </w:rPr>
            </w:pPr>
            <w:r w:rsidRPr="002606DB">
              <w:rPr>
                <w:i/>
                <w:snapToGrid w:val="0"/>
                <w:sz w:val="20"/>
                <w:lang w:val="pt-PT"/>
              </w:rPr>
              <w:t xml:space="preserve">Hazard Ratio </w:t>
            </w:r>
            <w:r w:rsidRPr="002606DB">
              <w:rPr>
                <w:snapToGrid w:val="0"/>
                <w:sz w:val="20"/>
                <w:lang w:val="pt-PT"/>
              </w:rPr>
              <w:t>(taxa de risco)</w:t>
            </w:r>
          </w:p>
        </w:tc>
        <w:tc>
          <w:tcPr>
            <w:tcW w:w="5130" w:type="dxa"/>
            <w:gridSpan w:val="2"/>
          </w:tcPr>
          <w:p w14:paraId="1FDDDA4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0,54</w:t>
            </w:r>
          </w:p>
          <w:p w14:paraId="1D0C720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0,0001)</w:t>
            </w:r>
          </w:p>
        </w:tc>
      </w:tr>
      <w:tr w:rsidR="00162CE2" w:rsidRPr="002606DB" w14:paraId="4E68E7BE" w14:textId="77777777" w:rsidTr="00D206FE">
        <w:trPr>
          <w:cantSplit/>
        </w:trPr>
        <w:tc>
          <w:tcPr>
            <w:tcW w:w="9292" w:type="dxa"/>
            <w:gridSpan w:val="3"/>
          </w:tcPr>
          <w:p w14:paraId="5E070573"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Taxa de resposta global</w:t>
            </w:r>
          </w:p>
        </w:tc>
      </w:tr>
      <w:tr w:rsidR="00162CE2" w:rsidRPr="002606DB" w14:paraId="278AB540" w14:textId="77777777" w:rsidTr="00D206FE">
        <w:trPr>
          <w:cantSplit/>
        </w:trPr>
        <w:tc>
          <w:tcPr>
            <w:tcW w:w="4162" w:type="dxa"/>
          </w:tcPr>
          <w:p w14:paraId="298F3699"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Taxa (%)</w:t>
            </w:r>
          </w:p>
        </w:tc>
        <w:tc>
          <w:tcPr>
            <w:tcW w:w="2635" w:type="dxa"/>
          </w:tcPr>
          <w:p w14:paraId="762E458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34,8</w:t>
            </w:r>
          </w:p>
        </w:tc>
        <w:tc>
          <w:tcPr>
            <w:tcW w:w="2495" w:type="dxa"/>
          </w:tcPr>
          <w:p w14:paraId="682D28F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44,8</w:t>
            </w:r>
          </w:p>
        </w:tc>
      </w:tr>
      <w:tr w:rsidR="00162CE2" w:rsidRPr="002606DB" w14:paraId="3A07D3D9" w14:textId="77777777" w:rsidTr="00D206FE">
        <w:trPr>
          <w:cantSplit/>
        </w:trPr>
        <w:tc>
          <w:tcPr>
            <w:tcW w:w="4162" w:type="dxa"/>
          </w:tcPr>
          <w:p w14:paraId="0F582056" w14:textId="77777777" w:rsidR="00162CE2" w:rsidRPr="002606DB" w:rsidRDefault="00162CE2" w:rsidP="00056F35">
            <w:pPr>
              <w:pStyle w:val="TableParagraph"/>
              <w:adjustRightInd w:val="0"/>
              <w:snapToGrid w:val="0"/>
              <w:rPr>
                <w:snapToGrid w:val="0"/>
                <w:sz w:val="20"/>
                <w:lang w:val="pt-PT"/>
              </w:rPr>
            </w:pPr>
          </w:p>
        </w:tc>
        <w:tc>
          <w:tcPr>
            <w:tcW w:w="5130" w:type="dxa"/>
            <w:gridSpan w:val="2"/>
          </w:tcPr>
          <w:p w14:paraId="42DD2CAD" w14:textId="77777777" w:rsidR="00162CE2" w:rsidRPr="002606DB" w:rsidRDefault="00162CE2" w:rsidP="00D206FE">
            <w:pPr>
              <w:pStyle w:val="TableParagraph"/>
              <w:adjustRightInd w:val="0"/>
              <w:snapToGrid w:val="0"/>
              <w:jc w:val="center"/>
              <w:rPr>
                <w:snapToGrid w:val="0"/>
                <w:sz w:val="20"/>
                <w:lang w:val="pt-PT"/>
              </w:rPr>
            </w:pPr>
            <w:r w:rsidRPr="002606DB">
              <w:rPr>
                <w:snapToGrid w:val="0"/>
                <w:sz w:val="20"/>
                <w:lang w:val="pt-PT"/>
              </w:rPr>
              <w:t>(valor de p = 0,0036)</w:t>
            </w:r>
          </w:p>
        </w:tc>
      </w:tr>
    </w:tbl>
    <w:p w14:paraId="5956EDFE" w14:textId="77777777" w:rsidR="00162CE2" w:rsidRPr="002606DB" w:rsidRDefault="00162CE2" w:rsidP="00D206FE">
      <w:pPr>
        <w:pStyle w:val="TableParagraph"/>
        <w:adjustRightInd w:val="0"/>
        <w:snapToGrid w:val="0"/>
        <w:rPr>
          <w:snapToGrid w:val="0"/>
          <w:sz w:val="18"/>
          <w:szCs w:val="20"/>
          <w:lang w:val="pt-PT"/>
        </w:rPr>
      </w:pPr>
      <w:r w:rsidRPr="002606DB">
        <w:rPr>
          <w:snapToGrid w:val="0"/>
          <w:sz w:val="18"/>
          <w:szCs w:val="20"/>
          <w:vertAlign w:val="superscript"/>
          <w:lang w:val="pt-PT"/>
        </w:rPr>
        <w:t>a</w:t>
      </w:r>
      <w:r w:rsidRPr="002606DB">
        <w:rPr>
          <w:snapToGrid w:val="0"/>
          <w:sz w:val="18"/>
          <w:szCs w:val="20"/>
          <w:lang w:val="pt-PT"/>
        </w:rPr>
        <w:t xml:space="preserve"> 5 mg/kg de 2 em 2 semanas</w:t>
      </w:r>
    </w:p>
    <w:p w14:paraId="76F51205" w14:textId="0D8995BA" w:rsidR="00162CE2" w:rsidRPr="002606DB" w:rsidRDefault="00162CE2" w:rsidP="00D206FE">
      <w:pPr>
        <w:pStyle w:val="TableParagraph"/>
        <w:adjustRightInd w:val="0"/>
        <w:snapToGrid w:val="0"/>
        <w:rPr>
          <w:snapToGrid w:val="0"/>
          <w:sz w:val="18"/>
          <w:szCs w:val="20"/>
          <w:lang w:val="pt-PT"/>
        </w:rPr>
      </w:pPr>
      <w:r w:rsidRPr="002606DB">
        <w:rPr>
          <w:snapToGrid w:val="0"/>
          <w:sz w:val="18"/>
          <w:szCs w:val="20"/>
          <w:vertAlign w:val="superscript"/>
          <w:lang w:val="pt-PT"/>
        </w:rPr>
        <w:t>b</w:t>
      </w:r>
      <w:r w:rsidRPr="002606DB">
        <w:rPr>
          <w:snapToGrid w:val="0"/>
          <w:sz w:val="18"/>
          <w:szCs w:val="20"/>
          <w:lang w:val="pt-PT"/>
        </w:rPr>
        <w:t xml:space="preserve"> Relativamente ao </w:t>
      </w:r>
      <w:r w:rsidR="00B72472">
        <w:rPr>
          <w:snapToGrid w:val="0"/>
          <w:sz w:val="18"/>
          <w:szCs w:val="20"/>
          <w:lang w:val="pt-PT"/>
        </w:rPr>
        <w:t>grupo</w:t>
      </w:r>
      <w:r w:rsidRPr="002606DB">
        <w:rPr>
          <w:snapToGrid w:val="0"/>
          <w:sz w:val="18"/>
          <w:szCs w:val="20"/>
          <w:lang w:val="pt-PT"/>
        </w:rPr>
        <w:t xml:space="preserve"> de control</w:t>
      </w:r>
      <w:r w:rsidR="00F12D23">
        <w:rPr>
          <w:snapToGrid w:val="0"/>
          <w:sz w:val="18"/>
          <w:szCs w:val="20"/>
          <w:lang w:val="pt-PT"/>
        </w:rPr>
        <w:t>o</w:t>
      </w:r>
    </w:p>
    <w:p w14:paraId="32C14779" w14:textId="77777777" w:rsidR="00162CE2" w:rsidRPr="002606DB" w:rsidRDefault="00162CE2" w:rsidP="00056F35">
      <w:pPr>
        <w:pStyle w:val="a3"/>
        <w:adjustRightInd w:val="0"/>
        <w:snapToGrid w:val="0"/>
        <w:rPr>
          <w:b/>
          <w:snapToGrid w:val="0"/>
          <w:lang w:val="pt-PT"/>
        </w:rPr>
      </w:pPr>
    </w:p>
    <w:p w14:paraId="3BDFB7F6" w14:textId="5EF27307" w:rsidR="00162CE2" w:rsidRPr="002606DB" w:rsidRDefault="00162CE2" w:rsidP="00056F35">
      <w:pPr>
        <w:pStyle w:val="a3"/>
        <w:adjustRightInd w:val="0"/>
        <w:snapToGrid w:val="0"/>
        <w:rPr>
          <w:snapToGrid w:val="0"/>
          <w:lang w:val="pt-PT"/>
        </w:rPr>
      </w:pPr>
      <w:r w:rsidRPr="002606DB">
        <w:rPr>
          <w:snapToGrid w:val="0"/>
          <w:lang w:val="pt-PT"/>
        </w:rPr>
        <w:t xml:space="preserve">Entre os 110 doentes aleatorizados para o </w:t>
      </w:r>
      <w:r w:rsidR="00B72472">
        <w:rPr>
          <w:snapToGrid w:val="0"/>
          <w:lang w:val="pt-PT"/>
        </w:rPr>
        <w:t>Grupo</w:t>
      </w:r>
      <w:r w:rsidRPr="002606DB">
        <w:rPr>
          <w:snapToGrid w:val="0"/>
          <w:lang w:val="pt-PT"/>
        </w:rPr>
        <w:t xml:space="preserve"> 3 (5</w:t>
      </w:r>
      <w:r w:rsidR="009811DB" w:rsidRPr="002606DB">
        <w:rPr>
          <w:snapToGrid w:val="0"/>
          <w:lang w:val="pt-PT"/>
        </w:rPr>
        <w:noBreakHyphen/>
      </w:r>
      <w:r w:rsidRPr="002606DB">
        <w:rPr>
          <w:snapToGrid w:val="0"/>
          <w:lang w:val="pt-PT"/>
        </w:rPr>
        <w:t xml:space="preserve">FU/AF + </w:t>
      </w:r>
      <w:r w:rsidR="00420009" w:rsidRPr="002606DB">
        <w:rPr>
          <w:snapToGrid w:val="0"/>
          <w:lang w:val="pt-PT"/>
        </w:rPr>
        <w:t>B</w:t>
      </w:r>
      <w:r w:rsidRPr="007155C0">
        <w:rPr>
          <w:color w:val="000000"/>
          <w:lang w:val="fr-CA"/>
        </w:rPr>
        <w:t>evacizumab</w:t>
      </w:r>
      <w:r w:rsidRPr="002606DB">
        <w:rPr>
          <w:snapToGrid w:val="0"/>
          <w:lang w:val="pt-PT"/>
        </w:rPr>
        <w:t xml:space="preserve">), antes da descontinuação deste </w:t>
      </w:r>
      <w:r w:rsidR="00B72472">
        <w:rPr>
          <w:snapToGrid w:val="0"/>
          <w:lang w:val="pt-PT"/>
        </w:rPr>
        <w:t>grupo</w:t>
      </w:r>
      <w:r w:rsidRPr="002606DB">
        <w:rPr>
          <w:snapToGrid w:val="0"/>
          <w:lang w:val="pt-PT"/>
        </w:rPr>
        <w:t xml:space="preserve"> de tratamento, a </w:t>
      </w:r>
      <w:r w:rsidR="004C3061">
        <w:rPr>
          <w:snapToGrid w:val="0"/>
          <w:lang w:val="pt-PT"/>
        </w:rPr>
        <w:t>OS</w:t>
      </w:r>
      <w:r w:rsidRPr="002606DB">
        <w:rPr>
          <w:snapToGrid w:val="0"/>
          <w:lang w:val="pt-PT"/>
        </w:rPr>
        <w:t xml:space="preserve"> mediana foi de 18,3 meses e a mediana da </w:t>
      </w:r>
      <w:r w:rsidR="004C3061">
        <w:rPr>
          <w:snapToGrid w:val="0"/>
          <w:lang w:val="pt-PT"/>
        </w:rPr>
        <w:t>PFS</w:t>
      </w:r>
      <w:r w:rsidR="0041155D">
        <w:rPr>
          <w:snapToGrid w:val="0"/>
          <w:lang w:val="pt-PT"/>
        </w:rPr>
        <w:t xml:space="preserve"> </w:t>
      </w:r>
      <w:r w:rsidRPr="002606DB">
        <w:rPr>
          <w:snapToGrid w:val="0"/>
          <w:lang w:val="pt-PT"/>
        </w:rPr>
        <w:t>foi de 8,8 meses.</w:t>
      </w:r>
    </w:p>
    <w:p w14:paraId="10A12B64" w14:textId="77777777" w:rsidR="00162CE2" w:rsidRPr="002606DB" w:rsidRDefault="00162CE2" w:rsidP="00056F35">
      <w:pPr>
        <w:pStyle w:val="a3"/>
        <w:adjustRightInd w:val="0"/>
        <w:snapToGrid w:val="0"/>
        <w:rPr>
          <w:snapToGrid w:val="0"/>
          <w:lang w:val="pt-PT"/>
        </w:rPr>
      </w:pPr>
    </w:p>
    <w:p w14:paraId="120A58B3" w14:textId="77777777" w:rsidR="00162CE2" w:rsidRPr="002606DB" w:rsidRDefault="00162CE2" w:rsidP="00056F35">
      <w:pPr>
        <w:adjustRightInd w:val="0"/>
        <w:snapToGrid w:val="0"/>
        <w:rPr>
          <w:i/>
          <w:snapToGrid w:val="0"/>
          <w:lang w:val="pt-PT"/>
        </w:rPr>
      </w:pPr>
      <w:r w:rsidRPr="002606DB">
        <w:rPr>
          <w:i/>
          <w:snapToGrid w:val="0"/>
          <w:lang w:val="pt-PT"/>
        </w:rPr>
        <w:t>AVF2192g</w:t>
      </w:r>
    </w:p>
    <w:p w14:paraId="4A1B1C2F" w14:textId="5A9D3718" w:rsidR="00162CE2" w:rsidRPr="002606DB" w:rsidRDefault="00162CE2" w:rsidP="00EF54B7">
      <w:pPr>
        <w:pStyle w:val="a3"/>
        <w:adjustRightInd w:val="0"/>
        <w:snapToGrid w:val="0"/>
        <w:rPr>
          <w:snapToGrid w:val="0"/>
          <w:lang w:val="pt-PT"/>
        </w:rPr>
      </w:pPr>
      <w:r w:rsidRPr="002606DB">
        <w:rPr>
          <w:snapToGrid w:val="0"/>
          <w:lang w:val="pt-PT"/>
        </w:rPr>
        <w:t xml:space="preserve">Tratou-se de um ensaio clínico aleatorizado de fase II, com dupla ocultação, controlado por substância ativa, para avaliar a eficácia e segurança do </w:t>
      </w:r>
      <w:r w:rsidRPr="007155C0">
        <w:rPr>
          <w:color w:val="000000"/>
          <w:lang w:val="pt-PT"/>
        </w:rPr>
        <w:t xml:space="preserve">bevacizumab </w:t>
      </w:r>
      <w:r w:rsidRPr="002606DB">
        <w:rPr>
          <w:snapToGrid w:val="0"/>
          <w:lang w:val="pt-PT"/>
        </w:rPr>
        <w:t>em associação com 5</w:t>
      </w:r>
      <w:r w:rsidR="009811DB" w:rsidRPr="002606DB">
        <w:rPr>
          <w:snapToGrid w:val="0"/>
          <w:lang w:val="pt-PT"/>
        </w:rPr>
        <w:noBreakHyphen/>
      </w:r>
      <w:r w:rsidRPr="002606DB">
        <w:rPr>
          <w:snapToGrid w:val="0"/>
          <w:lang w:val="pt-PT"/>
        </w:rPr>
        <w:t xml:space="preserve">FU/AF como tratamento de primeira linha do cancro colo-retal metastizado em doentes que não eram candidatos ideais ao tratamento de primeira linha com irinotecano. Foram aleatorizados 105 doentes para o </w:t>
      </w:r>
      <w:r w:rsidR="00B72472">
        <w:rPr>
          <w:snapToGrid w:val="0"/>
          <w:lang w:val="pt-PT"/>
        </w:rPr>
        <w:t>grupo</w:t>
      </w:r>
      <w:r w:rsidR="00EF54B7" w:rsidRPr="002606DB">
        <w:rPr>
          <w:snapToGrid w:val="0"/>
          <w:lang w:val="pt-PT"/>
        </w:rPr>
        <w:t xml:space="preserve"> </w:t>
      </w:r>
      <w:r w:rsidRPr="002606DB">
        <w:rPr>
          <w:snapToGrid w:val="0"/>
          <w:lang w:val="pt-PT"/>
        </w:rPr>
        <w:t>5</w:t>
      </w:r>
      <w:r w:rsidR="009811DB" w:rsidRPr="002606DB">
        <w:rPr>
          <w:snapToGrid w:val="0"/>
          <w:lang w:val="pt-PT"/>
        </w:rPr>
        <w:noBreakHyphen/>
      </w:r>
      <w:r w:rsidRPr="002606DB">
        <w:rPr>
          <w:snapToGrid w:val="0"/>
          <w:lang w:val="pt-PT"/>
        </w:rPr>
        <w:t xml:space="preserve">FU/AF + placebo e 104 doentes para o </w:t>
      </w:r>
      <w:r w:rsidR="00B72472">
        <w:rPr>
          <w:snapToGrid w:val="0"/>
          <w:lang w:val="pt-PT"/>
        </w:rPr>
        <w:t>grupo</w:t>
      </w:r>
      <w:r w:rsidRPr="002606DB">
        <w:rPr>
          <w:snapToGrid w:val="0"/>
          <w:lang w:val="pt-PT"/>
        </w:rPr>
        <w:t xml:space="preserve"> 5</w:t>
      </w:r>
      <w:r w:rsidR="009811DB" w:rsidRPr="002606DB">
        <w:rPr>
          <w:snapToGrid w:val="0"/>
          <w:lang w:val="pt-PT"/>
        </w:rPr>
        <w:noBreakHyphen/>
      </w:r>
      <w:r w:rsidRPr="002606DB">
        <w:rPr>
          <w:snapToGrid w:val="0"/>
          <w:lang w:val="pt-PT"/>
        </w:rPr>
        <w:t xml:space="preserve">FU/AF + </w:t>
      </w:r>
      <w:r w:rsidRPr="007155C0">
        <w:rPr>
          <w:color w:val="000000"/>
          <w:lang w:val="pt-PT"/>
        </w:rPr>
        <w:t xml:space="preserve">bevacizumab </w:t>
      </w:r>
      <w:r w:rsidRPr="002606DB">
        <w:rPr>
          <w:snapToGrid w:val="0"/>
          <w:lang w:val="pt-PT"/>
        </w:rPr>
        <w:t xml:space="preserve">(5 mg/kg de 2 em 2 semanas). Todos os tratamentos prosseguiram até progressão da doença. A adição de 5 mg/kg de </w:t>
      </w:r>
      <w:r w:rsidRPr="007155C0">
        <w:rPr>
          <w:color w:val="000000"/>
          <w:lang w:val="pt-PT"/>
        </w:rPr>
        <w:t>bevacizumab</w:t>
      </w:r>
      <w:r w:rsidRPr="002606DB">
        <w:rPr>
          <w:snapToGrid w:val="0"/>
          <w:lang w:val="pt-PT"/>
        </w:rPr>
        <w:t>, de 2 em 2 semanas, ao 5</w:t>
      </w:r>
      <w:r w:rsidR="009811DB" w:rsidRPr="002606DB">
        <w:rPr>
          <w:snapToGrid w:val="0"/>
          <w:lang w:val="pt-PT"/>
        </w:rPr>
        <w:noBreakHyphen/>
      </w:r>
      <w:r w:rsidRPr="002606DB">
        <w:rPr>
          <w:snapToGrid w:val="0"/>
          <w:lang w:val="pt-PT"/>
        </w:rPr>
        <w:t xml:space="preserve">FU/AF resultou em taxas de resposta objetiva mais elevadas, uma </w:t>
      </w:r>
      <w:r w:rsidR="004C3061">
        <w:rPr>
          <w:snapToGrid w:val="0"/>
          <w:lang w:val="pt-PT"/>
        </w:rPr>
        <w:t>PFS</w:t>
      </w:r>
      <w:r w:rsidR="0041155D">
        <w:rPr>
          <w:snapToGrid w:val="0"/>
          <w:lang w:val="pt-PT"/>
        </w:rPr>
        <w:t xml:space="preserve"> </w:t>
      </w:r>
      <w:r w:rsidRPr="002606DB">
        <w:rPr>
          <w:snapToGrid w:val="0"/>
          <w:lang w:val="pt-PT"/>
        </w:rPr>
        <w:t>significativamente mais longa e uma tendência para uma sobrevivência global mais longa, comparativamente com as obtidas com a quimioterapia apenas com 5</w:t>
      </w:r>
      <w:r w:rsidR="009811DB" w:rsidRPr="002606DB">
        <w:rPr>
          <w:snapToGrid w:val="0"/>
          <w:lang w:val="pt-PT"/>
        </w:rPr>
        <w:noBreakHyphen/>
      </w:r>
      <w:r w:rsidRPr="002606DB">
        <w:rPr>
          <w:snapToGrid w:val="0"/>
          <w:lang w:val="pt-PT"/>
        </w:rPr>
        <w:t>FU/AF.</w:t>
      </w:r>
    </w:p>
    <w:p w14:paraId="0D151064" w14:textId="77777777" w:rsidR="00162CE2" w:rsidRPr="002606DB" w:rsidRDefault="00162CE2" w:rsidP="00056F35">
      <w:pPr>
        <w:pStyle w:val="a3"/>
        <w:adjustRightInd w:val="0"/>
        <w:snapToGrid w:val="0"/>
        <w:rPr>
          <w:snapToGrid w:val="0"/>
          <w:lang w:val="pt-PT"/>
        </w:rPr>
      </w:pPr>
    </w:p>
    <w:p w14:paraId="7C229395" w14:textId="77777777" w:rsidR="00162CE2" w:rsidRPr="002606DB" w:rsidRDefault="00162CE2" w:rsidP="00056F35">
      <w:pPr>
        <w:adjustRightInd w:val="0"/>
        <w:snapToGrid w:val="0"/>
        <w:rPr>
          <w:i/>
          <w:snapToGrid w:val="0"/>
          <w:lang w:val="pt-PT"/>
        </w:rPr>
      </w:pPr>
      <w:r w:rsidRPr="002606DB">
        <w:rPr>
          <w:i/>
          <w:snapToGrid w:val="0"/>
          <w:lang w:val="pt-PT"/>
        </w:rPr>
        <w:t>AVF0780g</w:t>
      </w:r>
    </w:p>
    <w:p w14:paraId="3FAD761B" w14:textId="4F84FD9E" w:rsidR="00EF54B7" w:rsidRPr="002606DB" w:rsidRDefault="00162CE2" w:rsidP="00056F35">
      <w:pPr>
        <w:pStyle w:val="a3"/>
        <w:adjustRightInd w:val="0"/>
        <w:snapToGrid w:val="0"/>
        <w:rPr>
          <w:snapToGrid w:val="0"/>
          <w:lang w:val="pt-PT"/>
        </w:rPr>
      </w:pPr>
      <w:r w:rsidRPr="002606DB">
        <w:rPr>
          <w:snapToGrid w:val="0"/>
          <w:lang w:val="pt-PT"/>
        </w:rPr>
        <w:lastRenderedPageBreak/>
        <w:t xml:space="preserve">Tratou-se de um ensaio clínico de fase II aleatorizado, controlado por substância ativa, aberto, destinado a investigar o </w:t>
      </w:r>
      <w:r w:rsidRPr="007155C0">
        <w:rPr>
          <w:color w:val="000000"/>
          <w:lang w:val="pt-PT"/>
        </w:rPr>
        <w:t xml:space="preserve">bevacizumab </w:t>
      </w:r>
      <w:r w:rsidRPr="002606DB">
        <w:rPr>
          <w:snapToGrid w:val="0"/>
          <w:lang w:val="pt-PT"/>
        </w:rPr>
        <w:t>em associação com o 5</w:t>
      </w:r>
      <w:r w:rsidR="009811DB" w:rsidRPr="002606DB">
        <w:rPr>
          <w:snapToGrid w:val="0"/>
          <w:lang w:val="pt-PT"/>
        </w:rPr>
        <w:noBreakHyphen/>
      </w:r>
      <w:r w:rsidRPr="002606DB">
        <w:rPr>
          <w:snapToGrid w:val="0"/>
          <w:lang w:val="pt-PT"/>
        </w:rPr>
        <w:t xml:space="preserve">FU/AF como tratamento de primeira linha do cancro colo-retal metastizado. A idade média foi de 64 anos. 19% dos doentes tinham sido tratados previamente com quimioterapia e 14% com radioterapia. </w:t>
      </w:r>
    </w:p>
    <w:p w14:paraId="5584B15D" w14:textId="479E97A6" w:rsidR="00162CE2" w:rsidRPr="002606DB" w:rsidRDefault="00162CE2" w:rsidP="00056F35">
      <w:pPr>
        <w:pStyle w:val="a3"/>
        <w:adjustRightInd w:val="0"/>
        <w:snapToGrid w:val="0"/>
        <w:rPr>
          <w:snapToGrid w:val="0"/>
          <w:lang w:val="pt-PT"/>
        </w:rPr>
      </w:pPr>
      <w:r w:rsidRPr="002606DB">
        <w:rPr>
          <w:snapToGrid w:val="0"/>
          <w:lang w:val="pt-PT"/>
        </w:rPr>
        <w:t>Setenta e um doentes foram aleatorizados para tratamento com 5</w:t>
      </w:r>
      <w:r w:rsidR="009811DB" w:rsidRPr="002606DB">
        <w:rPr>
          <w:snapToGrid w:val="0"/>
          <w:lang w:val="pt-PT"/>
        </w:rPr>
        <w:noBreakHyphen/>
      </w:r>
      <w:r w:rsidRPr="002606DB">
        <w:rPr>
          <w:snapToGrid w:val="0"/>
          <w:lang w:val="pt-PT"/>
        </w:rPr>
        <w:t>FU/AF em bólus ou 5</w:t>
      </w:r>
      <w:r w:rsidR="009811DB" w:rsidRPr="002606DB">
        <w:rPr>
          <w:snapToGrid w:val="0"/>
          <w:lang w:val="pt-PT"/>
        </w:rPr>
        <w:noBreakHyphen/>
      </w:r>
      <w:r w:rsidRPr="002606DB">
        <w:rPr>
          <w:snapToGrid w:val="0"/>
          <w:lang w:val="pt-PT"/>
        </w:rPr>
        <w:t xml:space="preserve">FU/AF + </w:t>
      </w:r>
      <w:r w:rsidR="00420009" w:rsidRPr="002606DB">
        <w:rPr>
          <w:snapToGrid w:val="0"/>
          <w:lang w:val="pt-PT"/>
        </w:rPr>
        <w:t>B</w:t>
      </w:r>
      <w:r w:rsidRPr="007155C0">
        <w:rPr>
          <w:color w:val="000000"/>
          <w:lang w:val="pt-PT"/>
        </w:rPr>
        <w:t xml:space="preserve">evacizumab </w:t>
      </w:r>
      <w:r w:rsidRPr="002606DB">
        <w:rPr>
          <w:snapToGrid w:val="0"/>
          <w:lang w:val="pt-PT"/>
        </w:rPr>
        <w:t>(5 mg/kg de 2 em 2 semanas). Um terceiro grupo de 33 doentes recebeu bólus de 5</w:t>
      </w:r>
      <w:r w:rsidR="009811DB" w:rsidRPr="002606DB">
        <w:rPr>
          <w:snapToGrid w:val="0"/>
          <w:lang w:val="pt-PT"/>
        </w:rPr>
        <w:noBreakHyphen/>
      </w:r>
      <w:r w:rsidRPr="002606DB">
        <w:rPr>
          <w:snapToGrid w:val="0"/>
          <w:lang w:val="pt-PT"/>
        </w:rPr>
        <w:t xml:space="preserve">FU/AF + </w:t>
      </w:r>
      <w:r w:rsidRPr="007155C0">
        <w:rPr>
          <w:color w:val="000000"/>
          <w:lang w:val="fr-CA"/>
        </w:rPr>
        <w:t xml:space="preserve">bevacizumab </w:t>
      </w:r>
      <w:r w:rsidRPr="002606DB">
        <w:rPr>
          <w:snapToGrid w:val="0"/>
          <w:lang w:val="pt-PT"/>
        </w:rPr>
        <w:t>(10 mg/kg de 2 em 2 semanas). Os doentes foram tratados até progressão da doença. Os objetivos primários do ensaio foram a taxa de resposta objetiva e a</w:t>
      </w:r>
      <w:r w:rsidR="0041155D">
        <w:rPr>
          <w:snapToGrid w:val="0"/>
          <w:lang w:val="pt-PT"/>
        </w:rPr>
        <w:t xml:space="preserve"> </w:t>
      </w:r>
      <w:r w:rsidR="004C3061">
        <w:rPr>
          <w:snapToGrid w:val="0"/>
          <w:lang w:val="pt-PT"/>
        </w:rPr>
        <w:t>PFS</w:t>
      </w:r>
      <w:r w:rsidRPr="002606DB">
        <w:rPr>
          <w:snapToGrid w:val="0"/>
          <w:lang w:val="pt-PT"/>
        </w:rPr>
        <w:t xml:space="preserve">. A adição de 5 mg/kg de </w:t>
      </w:r>
      <w:r w:rsidRPr="007155C0">
        <w:rPr>
          <w:color w:val="000000"/>
          <w:lang w:val="pt-PT"/>
        </w:rPr>
        <w:t>bevacizumab</w:t>
      </w:r>
      <w:r w:rsidRPr="002606DB">
        <w:rPr>
          <w:snapToGrid w:val="0"/>
          <w:lang w:val="pt-PT"/>
        </w:rPr>
        <w:t>, de 2 em 2 semanas, a 5</w:t>
      </w:r>
      <w:r w:rsidR="009811DB" w:rsidRPr="002606DB">
        <w:rPr>
          <w:snapToGrid w:val="0"/>
          <w:lang w:val="pt-PT"/>
        </w:rPr>
        <w:noBreakHyphen/>
      </w:r>
      <w:r w:rsidRPr="002606DB">
        <w:rPr>
          <w:snapToGrid w:val="0"/>
          <w:lang w:val="pt-PT"/>
        </w:rPr>
        <w:t xml:space="preserve">FU/AF resultou numa maior taxa de resposta objetiva, numa maior </w:t>
      </w:r>
      <w:r w:rsidR="004C3061">
        <w:rPr>
          <w:snapToGrid w:val="0"/>
          <w:lang w:val="pt-PT"/>
        </w:rPr>
        <w:t>PFS</w:t>
      </w:r>
      <w:r w:rsidR="0041155D">
        <w:rPr>
          <w:snapToGrid w:val="0"/>
          <w:lang w:val="pt-PT"/>
        </w:rPr>
        <w:t xml:space="preserve"> </w:t>
      </w:r>
      <w:r w:rsidRPr="002606DB">
        <w:rPr>
          <w:snapToGrid w:val="0"/>
          <w:lang w:val="pt-PT"/>
        </w:rPr>
        <w:t>e numa tendência para uma sobrevivência mais prolongada, comparativamente com o observado com quimioterapia apenas com 5</w:t>
      </w:r>
      <w:r w:rsidR="009811DB" w:rsidRPr="002606DB">
        <w:rPr>
          <w:snapToGrid w:val="0"/>
          <w:lang w:val="pt-PT"/>
        </w:rPr>
        <w:noBreakHyphen/>
      </w:r>
      <w:r w:rsidRPr="002606DB">
        <w:rPr>
          <w:snapToGrid w:val="0"/>
          <w:lang w:val="pt-PT"/>
        </w:rPr>
        <w:t>FU/AF (ver a Tabela 5). Estes resultados de eficácia são consistentes com os resultados obtidos no ensaio AVF2107g.</w:t>
      </w:r>
    </w:p>
    <w:p w14:paraId="5E952EE6" w14:textId="77777777" w:rsidR="00162CE2" w:rsidRPr="002606DB" w:rsidRDefault="00162CE2" w:rsidP="00056F35">
      <w:pPr>
        <w:pStyle w:val="a3"/>
        <w:adjustRightInd w:val="0"/>
        <w:snapToGrid w:val="0"/>
        <w:rPr>
          <w:snapToGrid w:val="0"/>
          <w:lang w:val="pt-PT"/>
        </w:rPr>
      </w:pPr>
    </w:p>
    <w:p w14:paraId="1C351FE6" w14:textId="64E00469" w:rsidR="00162CE2" w:rsidRPr="002606DB" w:rsidRDefault="00162CE2" w:rsidP="00056F35">
      <w:pPr>
        <w:pStyle w:val="a3"/>
        <w:adjustRightInd w:val="0"/>
        <w:snapToGrid w:val="0"/>
        <w:rPr>
          <w:snapToGrid w:val="0"/>
          <w:lang w:val="pt-PT"/>
        </w:rPr>
      </w:pPr>
      <w:r w:rsidRPr="002606DB">
        <w:rPr>
          <w:snapToGrid w:val="0"/>
          <w:lang w:val="pt-PT"/>
        </w:rPr>
        <w:t xml:space="preserve">Na Tabela 5 indicam-se, em resumo, os resultados de eficácia obtidos nos ensaios AVF0780g e AVF2192g destinados a estudar o </w:t>
      </w:r>
      <w:r w:rsidRPr="007155C0">
        <w:rPr>
          <w:color w:val="000000"/>
          <w:lang w:val="pt-PT"/>
        </w:rPr>
        <w:t xml:space="preserve">bevacizumab </w:t>
      </w:r>
      <w:r w:rsidRPr="002606DB">
        <w:rPr>
          <w:snapToGrid w:val="0"/>
          <w:lang w:val="pt-PT"/>
        </w:rPr>
        <w:t>em associação com a quimioterapia com 5</w:t>
      </w:r>
      <w:r w:rsidR="009811DB" w:rsidRPr="002606DB">
        <w:rPr>
          <w:snapToGrid w:val="0"/>
          <w:lang w:val="pt-PT"/>
        </w:rPr>
        <w:noBreakHyphen/>
      </w:r>
      <w:r w:rsidRPr="002606DB">
        <w:rPr>
          <w:snapToGrid w:val="0"/>
          <w:lang w:val="pt-PT"/>
        </w:rPr>
        <w:t>FU/AF.</w:t>
      </w:r>
    </w:p>
    <w:p w14:paraId="3D157513" w14:textId="77777777" w:rsidR="00162CE2" w:rsidRPr="002606DB" w:rsidRDefault="00162CE2" w:rsidP="00056F35">
      <w:pPr>
        <w:adjustRightInd w:val="0"/>
        <w:snapToGrid w:val="0"/>
        <w:rPr>
          <w:snapToGrid w:val="0"/>
          <w:lang w:val="pt-PT"/>
        </w:rPr>
      </w:pPr>
    </w:p>
    <w:p w14:paraId="7B392E6B" w14:textId="0D57D228"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5</w:t>
      </w:r>
      <w:r w:rsidRPr="00730741">
        <w:rPr>
          <w:b/>
          <w:bCs/>
          <w:snapToGrid w:val="0"/>
          <w:lang w:val="pt-PT"/>
        </w:rPr>
        <w:tab/>
        <w:t>Resultados de eficácia obtidos nos ensaios AVF0780g e AVF2192g</w:t>
      </w:r>
    </w:p>
    <w:p w14:paraId="7D25FF3A" w14:textId="77777777" w:rsidR="00A55B18" w:rsidRPr="002606DB" w:rsidRDefault="00A55B18" w:rsidP="00730741">
      <w:pPr>
        <w:rPr>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761"/>
        <w:gridCol w:w="1064"/>
        <w:gridCol w:w="1340"/>
        <w:gridCol w:w="1339"/>
        <w:gridCol w:w="1205"/>
        <w:gridCol w:w="1357"/>
      </w:tblGrid>
      <w:tr w:rsidR="00162CE2" w:rsidRPr="002606DB" w14:paraId="4B6425C0" w14:textId="77777777" w:rsidTr="00FD4365">
        <w:trPr>
          <w:cantSplit/>
          <w:tblHeader/>
        </w:trPr>
        <w:tc>
          <w:tcPr>
            <w:tcW w:w="2801" w:type="dxa"/>
            <w:vMerge w:val="restart"/>
            <w:vAlign w:val="center"/>
          </w:tcPr>
          <w:p w14:paraId="0C2C14E5" w14:textId="77777777" w:rsidR="00162CE2" w:rsidRPr="002606DB" w:rsidRDefault="00162CE2" w:rsidP="00914003">
            <w:pPr>
              <w:pStyle w:val="TableParagraph"/>
              <w:keepNext/>
              <w:keepLines/>
              <w:adjustRightInd w:val="0"/>
              <w:snapToGrid w:val="0"/>
              <w:ind w:left="284"/>
              <w:rPr>
                <w:b/>
                <w:bCs/>
                <w:snapToGrid w:val="0"/>
                <w:sz w:val="20"/>
                <w:lang w:val="pt-PT"/>
              </w:rPr>
            </w:pPr>
          </w:p>
        </w:tc>
        <w:tc>
          <w:tcPr>
            <w:tcW w:w="3793" w:type="dxa"/>
            <w:gridSpan w:val="3"/>
            <w:vAlign w:val="center"/>
          </w:tcPr>
          <w:p w14:paraId="122A4FCA"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AVF0780g</w:t>
            </w:r>
          </w:p>
        </w:tc>
        <w:tc>
          <w:tcPr>
            <w:tcW w:w="2596" w:type="dxa"/>
            <w:gridSpan w:val="2"/>
            <w:vAlign w:val="center"/>
          </w:tcPr>
          <w:p w14:paraId="7C43AD81"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AVF2192g</w:t>
            </w:r>
          </w:p>
        </w:tc>
      </w:tr>
      <w:tr w:rsidR="00162CE2" w:rsidRPr="002606DB" w14:paraId="6A46C6DD" w14:textId="77777777" w:rsidTr="00FD4365">
        <w:trPr>
          <w:cantSplit/>
          <w:tblHeader/>
        </w:trPr>
        <w:tc>
          <w:tcPr>
            <w:tcW w:w="2801" w:type="dxa"/>
            <w:vMerge/>
            <w:tcBorders>
              <w:top w:val="nil"/>
            </w:tcBorders>
            <w:vAlign w:val="center"/>
          </w:tcPr>
          <w:p w14:paraId="5C090234" w14:textId="77777777" w:rsidR="00162CE2" w:rsidRPr="002606DB" w:rsidRDefault="00162CE2" w:rsidP="00914003">
            <w:pPr>
              <w:keepNext/>
              <w:keepLines/>
              <w:adjustRightInd w:val="0"/>
              <w:snapToGrid w:val="0"/>
              <w:ind w:left="284"/>
              <w:rPr>
                <w:b/>
                <w:bCs/>
                <w:snapToGrid w:val="0"/>
                <w:sz w:val="20"/>
                <w:szCs w:val="2"/>
                <w:lang w:val="pt-PT"/>
              </w:rPr>
            </w:pPr>
          </w:p>
        </w:tc>
        <w:tc>
          <w:tcPr>
            <w:tcW w:w="1078" w:type="dxa"/>
            <w:vAlign w:val="center"/>
          </w:tcPr>
          <w:p w14:paraId="60A65B5B"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5-FU/AF</w:t>
            </w:r>
          </w:p>
        </w:tc>
        <w:tc>
          <w:tcPr>
            <w:tcW w:w="1358" w:type="dxa"/>
            <w:vAlign w:val="center"/>
          </w:tcPr>
          <w:p w14:paraId="690BA36C"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5-FU/AF +</w:t>
            </w:r>
          </w:p>
          <w:p w14:paraId="7E895F9D" w14:textId="5202FA23" w:rsidR="00162CE2" w:rsidRPr="002606DB" w:rsidRDefault="00420009" w:rsidP="00914003">
            <w:pPr>
              <w:pStyle w:val="TableParagraph"/>
              <w:keepNext/>
              <w:keepLines/>
              <w:adjustRightInd w:val="0"/>
              <w:snapToGrid w:val="0"/>
              <w:jc w:val="center"/>
              <w:rPr>
                <w:b/>
                <w:bCs/>
                <w:snapToGrid w:val="0"/>
                <w:sz w:val="20"/>
                <w:lang w:val="pt-PT"/>
              </w:rPr>
            </w:pPr>
            <w:r w:rsidRPr="002606DB">
              <w:rPr>
                <w:b/>
                <w:bCs/>
                <w:snapToGrid w:val="0"/>
                <w:sz w:val="20"/>
                <w:lang w:val="pt-PT"/>
              </w:rPr>
              <w:t>B</w:t>
            </w:r>
            <w:r w:rsidR="00162CE2" w:rsidRPr="002606DB">
              <w:rPr>
                <w:b/>
                <w:bCs/>
                <w:snapToGrid w:val="0"/>
                <w:sz w:val="20"/>
                <w:lang w:val="pt-PT"/>
              </w:rPr>
              <w:t>evacizumab</w:t>
            </w:r>
            <w:r w:rsidR="00162CE2" w:rsidRPr="002606DB">
              <w:rPr>
                <w:b/>
                <w:bCs/>
                <w:snapToGrid w:val="0"/>
                <w:sz w:val="20"/>
                <w:vertAlign w:val="superscript"/>
                <w:lang w:val="pt-PT"/>
              </w:rPr>
              <w:t>a</w:t>
            </w:r>
          </w:p>
        </w:tc>
        <w:tc>
          <w:tcPr>
            <w:tcW w:w="1357" w:type="dxa"/>
            <w:vAlign w:val="center"/>
          </w:tcPr>
          <w:p w14:paraId="77261420"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5-FU/AF +</w:t>
            </w:r>
          </w:p>
          <w:p w14:paraId="0ADF06D7" w14:textId="3C21C749" w:rsidR="00162CE2" w:rsidRPr="002606DB" w:rsidRDefault="00420009" w:rsidP="00914003">
            <w:pPr>
              <w:pStyle w:val="TableParagraph"/>
              <w:keepNext/>
              <w:keepLines/>
              <w:adjustRightInd w:val="0"/>
              <w:snapToGrid w:val="0"/>
              <w:jc w:val="center"/>
              <w:rPr>
                <w:b/>
                <w:bCs/>
                <w:snapToGrid w:val="0"/>
                <w:sz w:val="20"/>
                <w:lang w:val="pt-PT"/>
              </w:rPr>
            </w:pPr>
            <w:r w:rsidRPr="002606DB">
              <w:rPr>
                <w:b/>
                <w:bCs/>
                <w:snapToGrid w:val="0"/>
                <w:sz w:val="20"/>
                <w:lang w:val="pt-PT"/>
              </w:rPr>
              <w:t>B</w:t>
            </w:r>
            <w:r w:rsidR="00162CE2" w:rsidRPr="002606DB">
              <w:rPr>
                <w:b/>
                <w:bCs/>
                <w:snapToGrid w:val="0"/>
                <w:sz w:val="20"/>
                <w:lang w:val="pt-PT"/>
              </w:rPr>
              <w:t>evacizumab</w:t>
            </w:r>
            <w:r w:rsidR="00162CE2" w:rsidRPr="002606DB">
              <w:rPr>
                <w:b/>
                <w:bCs/>
                <w:snapToGrid w:val="0"/>
                <w:sz w:val="20"/>
                <w:vertAlign w:val="superscript"/>
                <w:lang w:val="pt-PT"/>
              </w:rPr>
              <w:t>b</w:t>
            </w:r>
          </w:p>
        </w:tc>
        <w:tc>
          <w:tcPr>
            <w:tcW w:w="1221" w:type="dxa"/>
            <w:vAlign w:val="center"/>
          </w:tcPr>
          <w:p w14:paraId="29161949"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5-FU/AF +</w:t>
            </w:r>
          </w:p>
          <w:p w14:paraId="4FD4BB51"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placebo</w:t>
            </w:r>
          </w:p>
        </w:tc>
        <w:tc>
          <w:tcPr>
            <w:tcW w:w="1375" w:type="dxa"/>
            <w:vAlign w:val="center"/>
          </w:tcPr>
          <w:p w14:paraId="2F22FC4D" w14:textId="77777777" w:rsidR="00162CE2" w:rsidRPr="002606DB" w:rsidRDefault="00162CE2" w:rsidP="00914003">
            <w:pPr>
              <w:pStyle w:val="TableParagraph"/>
              <w:keepNext/>
              <w:keepLines/>
              <w:adjustRightInd w:val="0"/>
              <w:snapToGrid w:val="0"/>
              <w:jc w:val="center"/>
              <w:rPr>
                <w:b/>
                <w:bCs/>
                <w:snapToGrid w:val="0"/>
                <w:sz w:val="20"/>
                <w:lang w:val="pt-PT"/>
              </w:rPr>
            </w:pPr>
            <w:r w:rsidRPr="002606DB">
              <w:rPr>
                <w:b/>
                <w:bCs/>
                <w:snapToGrid w:val="0"/>
                <w:sz w:val="20"/>
                <w:lang w:val="pt-PT"/>
              </w:rPr>
              <w:t>5-FU/AF +</w:t>
            </w:r>
          </w:p>
          <w:p w14:paraId="6C35E2B2" w14:textId="1A0B9D85" w:rsidR="00162CE2" w:rsidRPr="002606DB" w:rsidRDefault="00420009" w:rsidP="00914003">
            <w:pPr>
              <w:pStyle w:val="TableParagraph"/>
              <w:keepNext/>
              <w:keepLines/>
              <w:adjustRightInd w:val="0"/>
              <w:snapToGrid w:val="0"/>
              <w:jc w:val="center"/>
              <w:rPr>
                <w:b/>
                <w:bCs/>
                <w:snapToGrid w:val="0"/>
                <w:sz w:val="20"/>
                <w:lang w:val="pt-PT"/>
              </w:rPr>
            </w:pPr>
            <w:r w:rsidRPr="002606DB">
              <w:rPr>
                <w:b/>
                <w:bCs/>
                <w:snapToGrid w:val="0"/>
                <w:sz w:val="20"/>
                <w:lang w:val="pt-PT"/>
              </w:rPr>
              <w:t>B</w:t>
            </w:r>
            <w:r w:rsidR="00162CE2" w:rsidRPr="002606DB">
              <w:rPr>
                <w:b/>
                <w:bCs/>
                <w:snapToGrid w:val="0"/>
                <w:sz w:val="20"/>
                <w:lang w:val="pt-PT"/>
              </w:rPr>
              <w:t>evacizumab</w:t>
            </w:r>
          </w:p>
        </w:tc>
      </w:tr>
      <w:tr w:rsidR="00162CE2" w:rsidRPr="002606DB" w14:paraId="61349FA4" w14:textId="77777777" w:rsidTr="00FD4365">
        <w:trPr>
          <w:cantSplit/>
        </w:trPr>
        <w:tc>
          <w:tcPr>
            <w:tcW w:w="2801" w:type="dxa"/>
            <w:vAlign w:val="center"/>
          </w:tcPr>
          <w:p w14:paraId="38480465"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Número de doentes</w:t>
            </w:r>
          </w:p>
        </w:tc>
        <w:tc>
          <w:tcPr>
            <w:tcW w:w="1078" w:type="dxa"/>
            <w:vAlign w:val="center"/>
          </w:tcPr>
          <w:p w14:paraId="3DDD770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36</w:t>
            </w:r>
          </w:p>
        </w:tc>
        <w:tc>
          <w:tcPr>
            <w:tcW w:w="1358" w:type="dxa"/>
            <w:vAlign w:val="center"/>
          </w:tcPr>
          <w:p w14:paraId="742CF7D3"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35</w:t>
            </w:r>
          </w:p>
        </w:tc>
        <w:tc>
          <w:tcPr>
            <w:tcW w:w="1357" w:type="dxa"/>
            <w:vAlign w:val="center"/>
          </w:tcPr>
          <w:p w14:paraId="7C2C4C2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33</w:t>
            </w:r>
          </w:p>
        </w:tc>
        <w:tc>
          <w:tcPr>
            <w:tcW w:w="1221" w:type="dxa"/>
            <w:vAlign w:val="center"/>
          </w:tcPr>
          <w:p w14:paraId="4A71EFE6"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105</w:t>
            </w:r>
          </w:p>
        </w:tc>
        <w:tc>
          <w:tcPr>
            <w:tcW w:w="1375" w:type="dxa"/>
            <w:vAlign w:val="center"/>
          </w:tcPr>
          <w:p w14:paraId="100D16E9"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104</w:t>
            </w:r>
          </w:p>
        </w:tc>
      </w:tr>
      <w:tr w:rsidR="00162CE2" w:rsidRPr="002606DB" w14:paraId="54747513" w14:textId="77777777" w:rsidTr="00C62812">
        <w:trPr>
          <w:cantSplit/>
        </w:trPr>
        <w:tc>
          <w:tcPr>
            <w:tcW w:w="9190" w:type="dxa"/>
            <w:gridSpan w:val="6"/>
            <w:vAlign w:val="center"/>
          </w:tcPr>
          <w:p w14:paraId="3ADD3CDB"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Sobrevivência global</w:t>
            </w:r>
          </w:p>
        </w:tc>
      </w:tr>
      <w:tr w:rsidR="00162CE2" w:rsidRPr="002606DB" w14:paraId="2A708229" w14:textId="77777777" w:rsidTr="00FD4365">
        <w:trPr>
          <w:cantSplit/>
        </w:trPr>
        <w:tc>
          <w:tcPr>
            <w:tcW w:w="2801" w:type="dxa"/>
            <w:vAlign w:val="center"/>
          </w:tcPr>
          <w:p w14:paraId="12BC39BD"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Mediana (meses)</w:t>
            </w:r>
          </w:p>
        </w:tc>
        <w:tc>
          <w:tcPr>
            <w:tcW w:w="1078" w:type="dxa"/>
            <w:vAlign w:val="center"/>
          </w:tcPr>
          <w:p w14:paraId="59FFC759"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13,6</w:t>
            </w:r>
          </w:p>
        </w:tc>
        <w:tc>
          <w:tcPr>
            <w:tcW w:w="1358" w:type="dxa"/>
            <w:vAlign w:val="center"/>
          </w:tcPr>
          <w:p w14:paraId="448F8A4E"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17,7</w:t>
            </w:r>
          </w:p>
        </w:tc>
        <w:tc>
          <w:tcPr>
            <w:tcW w:w="1357" w:type="dxa"/>
            <w:vAlign w:val="center"/>
          </w:tcPr>
          <w:p w14:paraId="51B9BE88"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15,2</w:t>
            </w:r>
          </w:p>
        </w:tc>
        <w:tc>
          <w:tcPr>
            <w:tcW w:w="1221" w:type="dxa"/>
            <w:vAlign w:val="center"/>
          </w:tcPr>
          <w:p w14:paraId="5DCF4C55"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12,9</w:t>
            </w:r>
          </w:p>
        </w:tc>
        <w:tc>
          <w:tcPr>
            <w:tcW w:w="1375" w:type="dxa"/>
            <w:vAlign w:val="center"/>
          </w:tcPr>
          <w:p w14:paraId="74B04C6A"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16,6</w:t>
            </w:r>
          </w:p>
        </w:tc>
      </w:tr>
      <w:tr w:rsidR="00162CE2" w:rsidRPr="002606DB" w14:paraId="052D6ED4" w14:textId="77777777" w:rsidTr="00FD4365">
        <w:trPr>
          <w:cantSplit/>
        </w:trPr>
        <w:tc>
          <w:tcPr>
            <w:tcW w:w="2801" w:type="dxa"/>
            <w:vAlign w:val="center"/>
          </w:tcPr>
          <w:p w14:paraId="393E17EA"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IC 95%</w:t>
            </w:r>
          </w:p>
        </w:tc>
        <w:tc>
          <w:tcPr>
            <w:tcW w:w="1078" w:type="dxa"/>
            <w:vAlign w:val="center"/>
          </w:tcPr>
          <w:p w14:paraId="1E284E9E"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58" w:type="dxa"/>
            <w:vAlign w:val="center"/>
          </w:tcPr>
          <w:p w14:paraId="0B5CB860"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57" w:type="dxa"/>
            <w:vAlign w:val="center"/>
          </w:tcPr>
          <w:p w14:paraId="7F19FE75"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221" w:type="dxa"/>
            <w:vAlign w:val="center"/>
          </w:tcPr>
          <w:p w14:paraId="2343C890"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10,35 - 16,95</w:t>
            </w:r>
          </w:p>
        </w:tc>
        <w:tc>
          <w:tcPr>
            <w:tcW w:w="1375" w:type="dxa"/>
            <w:vAlign w:val="center"/>
          </w:tcPr>
          <w:p w14:paraId="7A72121A"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13,63 - 19,32</w:t>
            </w:r>
          </w:p>
        </w:tc>
      </w:tr>
      <w:tr w:rsidR="00162CE2" w:rsidRPr="002606DB" w14:paraId="7B722204" w14:textId="77777777" w:rsidTr="00FD4365">
        <w:trPr>
          <w:cantSplit/>
        </w:trPr>
        <w:tc>
          <w:tcPr>
            <w:tcW w:w="2801" w:type="dxa"/>
            <w:vAlign w:val="center"/>
          </w:tcPr>
          <w:p w14:paraId="3B016666" w14:textId="2A2C9AC4" w:rsidR="00162CE2" w:rsidRPr="002606DB" w:rsidRDefault="00162CE2" w:rsidP="00914003">
            <w:pPr>
              <w:pStyle w:val="TableParagraph"/>
              <w:keepNext/>
              <w:keepLines/>
              <w:adjustRightInd w:val="0"/>
              <w:snapToGrid w:val="0"/>
              <w:ind w:left="284"/>
              <w:rPr>
                <w:snapToGrid w:val="0"/>
                <w:sz w:val="20"/>
                <w:lang w:val="pt-PT"/>
              </w:rPr>
            </w:pPr>
            <w:r w:rsidRPr="002606DB">
              <w:rPr>
                <w:i/>
                <w:snapToGrid w:val="0"/>
                <w:sz w:val="20"/>
                <w:lang w:val="pt-PT"/>
              </w:rPr>
              <w:t xml:space="preserve">Hazard </w:t>
            </w:r>
            <w:r w:rsidR="00FD2A37">
              <w:rPr>
                <w:i/>
                <w:snapToGrid w:val="0"/>
                <w:sz w:val="20"/>
                <w:lang w:val="pt-PT"/>
              </w:rPr>
              <w:t>r</w:t>
            </w:r>
            <w:r w:rsidRPr="002606DB">
              <w:rPr>
                <w:i/>
                <w:snapToGrid w:val="0"/>
                <w:sz w:val="20"/>
                <w:lang w:val="pt-PT"/>
              </w:rPr>
              <w:t xml:space="preserve">atio </w:t>
            </w:r>
            <w:r w:rsidRPr="002606DB">
              <w:rPr>
                <w:snapToGrid w:val="0"/>
                <w:sz w:val="20"/>
                <w:lang w:val="pt-PT"/>
              </w:rPr>
              <w:t xml:space="preserve">(taxa de risco) </w:t>
            </w:r>
            <w:r w:rsidRPr="002606DB">
              <w:rPr>
                <w:snapToGrid w:val="0"/>
                <w:sz w:val="20"/>
                <w:vertAlign w:val="superscript"/>
                <w:lang w:val="pt-PT"/>
              </w:rPr>
              <w:t>c</w:t>
            </w:r>
          </w:p>
        </w:tc>
        <w:tc>
          <w:tcPr>
            <w:tcW w:w="1078" w:type="dxa"/>
            <w:vAlign w:val="center"/>
          </w:tcPr>
          <w:p w14:paraId="3FC2376A"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w:t>
            </w:r>
          </w:p>
        </w:tc>
        <w:tc>
          <w:tcPr>
            <w:tcW w:w="1358" w:type="dxa"/>
            <w:vAlign w:val="center"/>
          </w:tcPr>
          <w:p w14:paraId="18D4A79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0,52</w:t>
            </w:r>
          </w:p>
        </w:tc>
        <w:tc>
          <w:tcPr>
            <w:tcW w:w="1357" w:type="dxa"/>
            <w:vAlign w:val="center"/>
          </w:tcPr>
          <w:p w14:paraId="312EFE2A"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1,01</w:t>
            </w:r>
          </w:p>
        </w:tc>
        <w:tc>
          <w:tcPr>
            <w:tcW w:w="1221" w:type="dxa"/>
            <w:vAlign w:val="center"/>
          </w:tcPr>
          <w:p w14:paraId="72D959B6"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75" w:type="dxa"/>
            <w:vAlign w:val="center"/>
          </w:tcPr>
          <w:p w14:paraId="17538DC3"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0,79</w:t>
            </w:r>
          </w:p>
        </w:tc>
      </w:tr>
      <w:tr w:rsidR="00162CE2" w:rsidRPr="002606DB" w14:paraId="343B7454" w14:textId="77777777" w:rsidTr="00FD4365">
        <w:trPr>
          <w:cantSplit/>
        </w:trPr>
        <w:tc>
          <w:tcPr>
            <w:tcW w:w="2801" w:type="dxa"/>
            <w:vAlign w:val="center"/>
          </w:tcPr>
          <w:p w14:paraId="648FEBC9"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Valor de p</w:t>
            </w:r>
          </w:p>
        </w:tc>
        <w:tc>
          <w:tcPr>
            <w:tcW w:w="1078" w:type="dxa"/>
            <w:vAlign w:val="center"/>
          </w:tcPr>
          <w:p w14:paraId="00557370"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58" w:type="dxa"/>
            <w:vAlign w:val="center"/>
          </w:tcPr>
          <w:p w14:paraId="693A3500"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0,073</w:t>
            </w:r>
          </w:p>
        </w:tc>
        <w:tc>
          <w:tcPr>
            <w:tcW w:w="1357" w:type="dxa"/>
            <w:vAlign w:val="center"/>
          </w:tcPr>
          <w:p w14:paraId="79102C5F"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0,978</w:t>
            </w:r>
          </w:p>
        </w:tc>
        <w:tc>
          <w:tcPr>
            <w:tcW w:w="1221" w:type="dxa"/>
            <w:vAlign w:val="center"/>
          </w:tcPr>
          <w:p w14:paraId="7C832BE6"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75" w:type="dxa"/>
            <w:vAlign w:val="center"/>
          </w:tcPr>
          <w:p w14:paraId="4F380C4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0,16</w:t>
            </w:r>
          </w:p>
        </w:tc>
      </w:tr>
      <w:tr w:rsidR="00162CE2" w:rsidRPr="002606DB" w14:paraId="2E7DCAE5" w14:textId="77777777" w:rsidTr="00C62812">
        <w:trPr>
          <w:cantSplit/>
        </w:trPr>
        <w:tc>
          <w:tcPr>
            <w:tcW w:w="9190" w:type="dxa"/>
            <w:gridSpan w:val="6"/>
            <w:vAlign w:val="center"/>
          </w:tcPr>
          <w:p w14:paraId="67EA9C5F"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Sobrevivência livre de progressão</w:t>
            </w:r>
          </w:p>
        </w:tc>
      </w:tr>
      <w:tr w:rsidR="00162CE2" w:rsidRPr="002606DB" w14:paraId="7D35E618" w14:textId="77777777" w:rsidTr="00FD4365">
        <w:trPr>
          <w:cantSplit/>
        </w:trPr>
        <w:tc>
          <w:tcPr>
            <w:tcW w:w="2801" w:type="dxa"/>
            <w:vAlign w:val="center"/>
          </w:tcPr>
          <w:p w14:paraId="2ADD79A0"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Mediana (meses)</w:t>
            </w:r>
          </w:p>
        </w:tc>
        <w:tc>
          <w:tcPr>
            <w:tcW w:w="1078" w:type="dxa"/>
            <w:vAlign w:val="center"/>
          </w:tcPr>
          <w:p w14:paraId="0D8FBF1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5,2</w:t>
            </w:r>
          </w:p>
        </w:tc>
        <w:tc>
          <w:tcPr>
            <w:tcW w:w="1358" w:type="dxa"/>
            <w:vAlign w:val="center"/>
          </w:tcPr>
          <w:p w14:paraId="5EA20E79"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9,0</w:t>
            </w:r>
          </w:p>
        </w:tc>
        <w:tc>
          <w:tcPr>
            <w:tcW w:w="1357" w:type="dxa"/>
            <w:vAlign w:val="center"/>
          </w:tcPr>
          <w:p w14:paraId="0A12183E"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7,2</w:t>
            </w:r>
          </w:p>
        </w:tc>
        <w:tc>
          <w:tcPr>
            <w:tcW w:w="1221" w:type="dxa"/>
            <w:vAlign w:val="center"/>
          </w:tcPr>
          <w:p w14:paraId="7338C5A8"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5,5</w:t>
            </w:r>
          </w:p>
        </w:tc>
        <w:tc>
          <w:tcPr>
            <w:tcW w:w="1375" w:type="dxa"/>
            <w:vAlign w:val="center"/>
          </w:tcPr>
          <w:p w14:paraId="6403B4A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9,2</w:t>
            </w:r>
          </w:p>
        </w:tc>
      </w:tr>
      <w:tr w:rsidR="00162CE2" w:rsidRPr="002606DB" w14:paraId="12E800DC" w14:textId="77777777" w:rsidTr="00FD4365">
        <w:trPr>
          <w:cantSplit/>
        </w:trPr>
        <w:tc>
          <w:tcPr>
            <w:tcW w:w="2801" w:type="dxa"/>
            <w:vAlign w:val="center"/>
          </w:tcPr>
          <w:p w14:paraId="17C923DA" w14:textId="0C3A146B" w:rsidR="00162CE2" w:rsidRPr="002606DB" w:rsidRDefault="00162CE2" w:rsidP="00914003">
            <w:pPr>
              <w:pStyle w:val="TableParagraph"/>
              <w:keepNext/>
              <w:keepLines/>
              <w:adjustRightInd w:val="0"/>
              <w:snapToGrid w:val="0"/>
              <w:ind w:left="284"/>
              <w:rPr>
                <w:snapToGrid w:val="0"/>
                <w:sz w:val="20"/>
                <w:lang w:val="pt-PT"/>
              </w:rPr>
            </w:pPr>
            <w:r w:rsidRPr="002606DB">
              <w:rPr>
                <w:i/>
                <w:snapToGrid w:val="0"/>
                <w:sz w:val="20"/>
                <w:lang w:val="pt-PT"/>
              </w:rPr>
              <w:t xml:space="preserve">Hazard </w:t>
            </w:r>
            <w:r w:rsidR="00FD2A37">
              <w:rPr>
                <w:i/>
                <w:snapToGrid w:val="0"/>
                <w:sz w:val="20"/>
                <w:lang w:val="pt-PT"/>
              </w:rPr>
              <w:t>r</w:t>
            </w:r>
            <w:r w:rsidRPr="002606DB">
              <w:rPr>
                <w:i/>
                <w:snapToGrid w:val="0"/>
                <w:sz w:val="20"/>
                <w:lang w:val="pt-PT"/>
              </w:rPr>
              <w:t xml:space="preserve">atio </w:t>
            </w:r>
            <w:r w:rsidRPr="002606DB">
              <w:rPr>
                <w:snapToGrid w:val="0"/>
                <w:sz w:val="20"/>
                <w:lang w:val="pt-PT"/>
              </w:rPr>
              <w:t>(taxa de risco)</w:t>
            </w:r>
          </w:p>
        </w:tc>
        <w:tc>
          <w:tcPr>
            <w:tcW w:w="1078" w:type="dxa"/>
            <w:vAlign w:val="center"/>
          </w:tcPr>
          <w:p w14:paraId="1A7122DC"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58" w:type="dxa"/>
            <w:vAlign w:val="center"/>
          </w:tcPr>
          <w:p w14:paraId="01532266"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0,44</w:t>
            </w:r>
          </w:p>
        </w:tc>
        <w:tc>
          <w:tcPr>
            <w:tcW w:w="1357" w:type="dxa"/>
            <w:vAlign w:val="center"/>
          </w:tcPr>
          <w:p w14:paraId="6D5B59A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0,69</w:t>
            </w:r>
          </w:p>
        </w:tc>
        <w:tc>
          <w:tcPr>
            <w:tcW w:w="1221" w:type="dxa"/>
            <w:vAlign w:val="center"/>
          </w:tcPr>
          <w:p w14:paraId="648C2BA5"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75" w:type="dxa"/>
            <w:vAlign w:val="center"/>
          </w:tcPr>
          <w:p w14:paraId="70735099"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0,5</w:t>
            </w:r>
          </w:p>
        </w:tc>
      </w:tr>
      <w:tr w:rsidR="00162CE2" w:rsidRPr="002606DB" w14:paraId="194E979D" w14:textId="77777777" w:rsidTr="00FD4365">
        <w:trPr>
          <w:cantSplit/>
        </w:trPr>
        <w:tc>
          <w:tcPr>
            <w:tcW w:w="2801" w:type="dxa"/>
            <w:vAlign w:val="center"/>
          </w:tcPr>
          <w:p w14:paraId="6975B463"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Valor de p</w:t>
            </w:r>
          </w:p>
        </w:tc>
        <w:tc>
          <w:tcPr>
            <w:tcW w:w="1078" w:type="dxa"/>
            <w:vAlign w:val="center"/>
          </w:tcPr>
          <w:p w14:paraId="63962A35"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w:t>
            </w:r>
          </w:p>
        </w:tc>
        <w:tc>
          <w:tcPr>
            <w:tcW w:w="1358" w:type="dxa"/>
            <w:vAlign w:val="center"/>
          </w:tcPr>
          <w:p w14:paraId="12DE10D8"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0,0049</w:t>
            </w:r>
          </w:p>
        </w:tc>
        <w:tc>
          <w:tcPr>
            <w:tcW w:w="1357" w:type="dxa"/>
            <w:vAlign w:val="center"/>
          </w:tcPr>
          <w:p w14:paraId="6C38DCEC"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0,217</w:t>
            </w:r>
          </w:p>
        </w:tc>
        <w:tc>
          <w:tcPr>
            <w:tcW w:w="1221" w:type="dxa"/>
            <w:vAlign w:val="center"/>
          </w:tcPr>
          <w:p w14:paraId="5C803B40"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75" w:type="dxa"/>
            <w:vAlign w:val="center"/>
          </w:tcPr>
          <w:p w14:paraId="3E6DE748"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0,0002</w:t>
            </w:r>
          </w:p>
        </w:tc>
      </w:tr>
      <w:tr w:rsidR="00162CE2" w:rsidRPr="002606DB" w14:paraId="68F7A783" w14:textId="77777777" w:rsidTr="00C62812">
        <w:trPr>
          <w:cantSplit/>
        </w:trPr>
        <w:tc>
          <w:tcPr>
            <w:tcW w:w="9190" w:type="dxa"/>
            <w:gridSpan w:val="6"/>
            <w:vAlign w:val="center"/>
          </w:tcPr>
          <w:p w14:paraId="771B2F6F"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Taxa de resposta global</w:t>
            </w:r>
          </w:p>
        </w:tc>
      </w:tr>
      <w:tr w:rsidR="00162CE2" w:rsidRPr="002606DB" w14:paraId="5F21EC61" w14:textId="77777777" w:rsidTr="00FD4365">
        <w:trPr>
          <w:cantSplit/>
        </w:trPr>
        <w:tc>
          <w:tcPr>
            <w:tcW w:w="2801" w:type="dxa"/>
            <w:vAlign w:val="center"/>
          </w:tcPr>
          <w:p w14:paraId="7FE245E5"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Taxa (percentagem)</w:t>
            </w:r>
          </w:p>
        </w:tc>
        <w:tc>
          <w:tcPr>
            <w:tcW w:w="1078" w:type="dxa"/>
            <w:vAlign w:val="center"/>
          </w:tcPr>
          <w:p w14:paraId="26A06551"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16,7</w:t>
            </w:r>
          </w:p>
        </w:tc>
        <w:tc>
          <w:tcPr>
            <w:tcW w:w="1358" w:type="dxa"/>
            <w:vAlign w:val="center"/>
          </w:tcPr>
          <w:p w14:paraId="725BA977"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40,0</w:t>
            </w:r>
          </w:p>
        </w:tc>
        <w:tc>
          <w:tcPr>
            <w:tcW w:w="1357" w:type="dxa"/>
            <w:vAlign w:val="center"/>
          </w:tcPr>
          <w:p w14:paraId="418140A7"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24,2</w:t>
            </w:r>
          </w:p>
        </w:tc>
        <w:tc>
          <w:tcPr>
            <w:tcW w:w="1221" w:type="dxa"/>
            <w:vAlign w:val="center"/>
          </w:tcPr>
          <w:p w14:paraId="169A1B6A"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15,2</w:t>
            </w:r>
          </w:p>
        </w:tc>
        <w:tc>
          <w:tcPr>
            <w:tcW w:w="1375" w:type="dxa"/>
            <w:vAlign w:val="center"/>
          </w:tcPr>
          <w:p w14:paraId="311A75B2"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26</w:t>
            </w:r>
          </w:p>
        </w:tc>
      </w:tr>
      <w:tr w:rsidR="00162CE2" w:rsidRPr="002606DB" w14:paraId="6D6113D2" w14:textId="77777777" w:rsidTr="00FD4365">
        <w:trPr>
          <w:cantSplit/>
        </w:trPr>
        <w:tc>
          <w:tcPr>
            <w:tcW w:w="2801" w:type="dxa"/>
            <w:vAlign w:val="center"/>
          </w:tcPr>
          <w:p w14:paraId="3376205A"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IC 95%</w:t>
            </w:r>
          </w:p>
        </w:tc>
        <w:tc>
          <w:tcPr>
            <w:tcW w:w="1078" w:type="dxa"/>
            <w:vAlign w:val="center"/>
          </w:tcPr>
          <w:p w14:paraId="55C3F1B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7,0 - 33,5</w:t>
            </w:r>
          </w:p>
        </w:tc>
        <w:tc>
          <w:tcPr>
            <w:tcW w:w="1358" w:type="dxa"/>
            <w:vAlign w:val="center"/>
          </w:tcPr>
          <w:p w14:paraId="591DBFB8"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24,4 - 57,8</w:t>
            </w:r>
          </w:p>
        </w:tc>
        <w:tc>
          <w:tcPr>
            <w:tcW w:w="1357" w:type="dxa"/>
            <w:vAlign w:val="center"/>
          </w:tcPr>
          <w:p w14:paraId="6550CA70"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11,7 - 42,6</w:t>
            </w:r>
          </w:p>
        </w:tc>
        <w:tc>
          <w:tcPr>
            <w:tcW w:w="1221" w:type="dxa"/>
            <w:vAlign w:val="center"/>
          </w:tcPr>
          <w:p w14:paraId="6773074C"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9,2 - 23,9</w:t>
            </w:r>
          </w:p>
        </w:tc>
        <w:tc>
          <w:tcPr>
            <w:tcW w:w="1375" w:type="dxa"/>
            <w:vAlign w:val="center"/>
          </w:tcPr>
          <w:p w14:paraId="42EBDBEE"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18,1 - 35,6</w:t>
            </w:r>
          </w:p>
        </w:tc>
      </w:tr>
      <w:tr w:rsidR="00162CE2" w:rsidRPr="002606DB" w14:paraId="0775ECFC" w14:textId="77777777" w:rsidTr="00FD4365">
        <w:trPr>
          <w:cantSplit/>
        </w:trPr>
        <w:tc>
          <w:tcPr>
            <w:tcW w:w="2801" w:type="dxa"/>
            <w:vAlign w:val="center"/>
          </w:tcPr>
          <w:p w14:paraId="404261BD"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Valor de p</w:t>
            </w:r>
          </w:p>
        </w:tc>
        <w:tc>
          <w:tcPr>
            <w:tcW w:w="1078" w:type="dxa"/>
            <w:vAlign w:val="center"/>
          </w:tcPr>
          <w:p w14:paraId="4DAC72A4"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58" w:type="dxa"/>
            <w:vAlign w:val="center"/>
          </w:tcPr>
          <w:p w14:paraId="6BB6D56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0,029</w:t>
            </w:r>
          </w:p>
        </w:tc>
        <w:tc>
          <w:tcPr>
            <w:tcW w:w="1357" w:type="dxa"/>
            <w:vAlign w:val="center"/>
          </w:tcPr>
          <w:p w14:paraId="60255908"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0,43</w:t>
            </w:r>
          </w:p>
        </w:tc>
        <w:tc>
          <w:tcPr>
            <w:tcW w:w="1221" w:type="dxa"/>
            <w:vAlign w:val="center"/>
          </w:tcPr>
          <w:p w14:paraId="13D583EA"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375" w:type="dxa"/>
            <w:vAlign w:val="center"/>
          </w:tcPr>
          <w:p w14:paraId="01327317"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0,055</w:t>
            </w:r>
          </w:p>
        </w:tc>
      </w:tr>
      <w:tr w:rsidR="00162CE2" w:rsidRPr="002606DB" w14:paraId="79BCA064" w14:textId="77777777" w:rsidTr="00C62812">
        <w:trPr>
          <w:cantSplit/>
        </w:trPr>
        <w:tc>
          <w:tcPr>
            <w:tcW w:w="9190" w:type="dxa"/>
            <w:gridSpan w:val="6"/>
            <w:vAlign w:val="center"/>
          </w:tcPr>
          <w:p w14:paraId="521138CB"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Duração da resposta</w:t>
            </w:r>
          </w:p>
        </w:tc>
      </w:tr>
      <w:tr w:rsidR="00162CE2" w:rsidRPr="002606DB" w14:paraId="5773891B" w14:textId="77777777" w:rsidTr="00FD4365">
        <w:trPr>
          <w:cantSplit/>
        </w:trPr>
        <w:tc>
          <w:tcPr>
            <w:tcW w:w="2801" w:type="dxa"/>
            <w:vAlign w:val="center"/>
          </w:tcPr>
          <w:p w14:paraId="5462205A"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Mediana (meses)</w:t>
            </w:r>
          </w:p>
        </w:tc>
        <w:tc>
          <w:tcPr>
            <w:tcW w:w="1078" w:type="dxa"/>
            <w:vAlign w:val="center"/>
          </w:tcPr>
          <w:p w14:paraId="537FF8A2"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NR</w:t>
            </w:r>
          </w:p>
        </w:tc>
        <w:tc>
          <w:tcPr>
            <w:tcW w:w="1358" w:type="dxa"/>
            <w:vAlign w:val="center"/>
          </w:tcPr>
          <w:p w14:paraId="6F7233D1"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9,3</w:t>
            </w:r>
          </w:p>
        </w:tc>
        <w:tc>
          <w:tcPr>
            <w:tcW w:w="1357" w:type="dxa"/>
            <w:vAlign w:val="center"/>
          </w:tcPr>
          <w:p w14:paraId="0B3AD862"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5,0</w:t>
            </w:r>
          </w:p>
        </w:tc>
        <w:tc>
          <w:tcPr>
            <w:tcW w:w="1221" w:type="dxa"/>
            <w:vAlign w:val="center"/>
          </w:tcPr>
          <w:p w14:paraId="6B8BDA07"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6,8</w:t>
            </w:r>
          </w:p>
        </w:tc>
        <w:tc>
          <w:tcPr>
            <w:tcW w:w="1375" w:type="dxa"/>
            <w:vAlign w:val="center"/>
          </w:tcPr>
          <w:p w14:paraId="6F3821BF"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9,2</w:t>
            </w:r>
          </w:p>
        </w:tc>
      </w:tr>
      <w:tr w:rsidR="00162CE2" w:rsidRPr="002606DB" w14:paraId="6D67BF16" w14:textId="77777777" w:rsidTr="00FD4365">
        <w:trPr>
          <w:cantSplit/>
        </w:trPr>
        <w:tc>
          <w:tcPr>
            <w:tcW w:w="2801" w:type="dxa"/>
            <w:vAlign w:val="center"/>
          </w:tcPr>
          <w:p w14:paraId="065FC03B" w14:textId="77777777" w:rsidR="00162CE2" w:rsidRPr="002606DB" w:rsidRDefault="00162CE2" w:rsidP="00914003">
            <w:pPr>
              <w:pStyle w:val="TableParagraph"/>
              <w:keepNext/>
              <w:keepLines/>
              <w:adjustRightInd w:val="0"/>
              <w:snapToGrid w:val="0"/>
              <w:ind w:left="284"/>
              <w:rPr>
                <w:snapToGrid w:val="0"/>
                <w:sz w:val="20"/>
                <w:lang w:val="pt-PT"/>
              </w:rPr>
            </w:pPr>
            <w:r w:rsidRPr="002606DB">
              <w:rPr>
                <w:snapToGrid w:val="0"/>
                <w:sz w:val="20"/>
                <w:lang w:val="pt-PT"/>
              </w:rPr>
              <w:t>Percentil 25–75 (meses)</w:t>
            </w:r>
          </w:p>
        </w:tc>
        <w:tc>
          <w:tcPr>
            <w:tcW w:w="1078" w:type="dxa"/>
            <w:vAlign w:val="center"/>
          </w:tcPr>
          <w:p w14:paraId="225E4EBC"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5,5 - NR</w:t>
            </w:r>
          </w:p>
        </w:tc>
        <w:tc>
          <w:tcPr>
            <w:tcW w:w="1358" w:type="dxa"/>
            <w:vAlign w:val="center"/>
          </w:tcPr>
          <w:p w14:paraId="16FF37B9"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6,1 - NR</w:t>
            </w:r>
          </w:p>
        </w:tc>
        <w:tc>
          <w:tcPr>
            <w:tcW w:w="1357" w:type="dxa"/>
            <w:vAlign w:val="center"/>
          </w:tcPr>
          <w:p w14:paraId="58097B3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3,8 - 7,8</w:t>
            </w:r>
          </w:p>
        </w:tc>
        <w:tc>
          <w:tcPr>
            <w:tcW w:w="1221" w:type="dxa"/>
            <w:vAlign w:val="center"/>
          </w:tcPr>
          <w:p w14:paraId="7EC9B47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5,59 - 9,17</w:t>
            </w:r>
          </w:p>
        </w:tc>
        <w:tc>
          <w:tcPr>
            <w:tcW w:w="1375" w:type="dxa"/>
            <w:vAlign w:val="center"/>
          </w:tcPr>
          <w:p w14:paraId="1B1E1DBE"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5,88 - 13,01</w:t>
            </w:r>
          </w:p>
        </w:tc>
      </w:tr>
    </w:tbl>
    <w:p w14:paraId="401AB09E"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5 mg/kg de 2 em 2 semanas</w:t>
      </w:r>
    </w:p>
    <w:p w14:paraId="5AF68087"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b</w:t>
      </w:r>
      <w:r w:rsidRPr="002606DB">
        <w:rPr>
          <w:snapToGrid w:val="0"/>
          <w:sz w:val="18"/>
          <w:szCs w:val="18"/>
          <w:lang w:val="pt-PT"/>
        </w:rPr>
        <w:t xml:space="preserve"> 10 mg/kg de 2 em 2 semanas</w:t>
      </w:r>
    </w:p>
    <w:p w14:paraId="3DADA0CC" w14:textId="5C578B14"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c</w:t>
      </w:r>
      <w:r w:rsidRPr="002606DB">
        <w:rPr>
          <w:snapToGrid w:val="0"/>
          <w:sz w:val="18"/>
          <w:szCs w:val="18"/>
          <w:lang w:val="pt-PT"/>
        </w:rPr>
        <w:t xml:space="preserve"> Relativamente ao </w:t>
      </w:r>
      <w:r w:rsidR="00B72472">
        <w:rPr>
          <w:snapToGrid w:val="0"/>
          <w:sz w:val="18"/>
          <w:szCs w:val="18"/>
          <w:lang w:val="pt-PT"/>
        </w:rPr>
        <w:t>grupo</w:t>
      </w:r>
      <w:r w:rsidRPr="002606DB">
        <w:rPr>
          <w:snapToGrid w:val="0"/>
          <w:sz w:val="18"/>
          <w:szCs w:val="18"/>
          <w:lang w:val="pt-PT"/>
        </w:rPr>
        <w:t xml:space="preserve"> de controlo NR = não atingida</w:t>
      </w:r>
    </w:p>
    <w:p w14:paraId="48FE7F36" w14:textId="77777777" w:rsidR="00162CE2" w:rsidRPr="002606DB" w:rsidRDefault="00162CE2" w:rsidP="00056F35">
      <w:pPr>
        <w:pStyle w:val="a3"/>
        <w:adjustRightInd w:val="0"/>
        <w:snapToGrid w:val="0"/>
        <w:rPr>
          <w:snapToGrid w:val="0"/>
          <w:lang w:val="pt-PT"/>
        </w:rPr>
      </w:pPr>
    </w:p>
    <w:p w14:paraId="666310EF" w14:textId="77777777" w:rsidR="00162CE2" w:rsidRPr="002606DB" w:rsidRDefault="00162CE2" w:rsidP="00056F35">
      <w:pPr>
        <w:adjustRightInd w:val="0"/>
        <w:snapToGrid w:val="0"/>
        <w:rPr>
          <w:i/>
          <w:snapToGrid w:val="0"/>
          <w:lang w:val="pt-PT"/>
        </w:rPr>
      </w:pPr>
      <w:r w:rsidRPr="002606DB">
        <w:rPr>
          <w:i/>
          <w:snapToGrid w:val="0"/>
          <w:lang w:val="pt-PT"/>
        </w:rPr>
        <w:t>NO16966</w:t>
      </w:r>
    </w:p>
    <w:p w14:paraId="018D8442" w14:textId="236C1E13" w:rsidR="00162CE2" w:rsidRPr="002606DB" w:rsidRDefault="00162CE2" w:rsidP="00056F35">
      <w:pPr>
        <w:pStyle w:val="a3"/>
        <w:adjustRightInd w:val="0"/>
        <w:snapToGrid w:val="0"/>
        <w:rPr>
          <w:snapToGrid w:val="0"/>
          <w:lang w:val="pt-PT"/>
        </w:rPr>
      </w:pPr>
      <w:r w:rsidRPr="002606DB">
        <w:rPr>
          <w:snapToGrid w:val="0"/>
          <w:lang w:val="pt-PT"/>
        </w:rPr>
        <w:t xml:space="preserve">Este foi um ensaio clínico de fase III, aleatorizado, em dupla ocultação (para bevacizumab), para investigação de </w:t>
      </w:r>
      <w:r w:rsidRPr="007155C0">
        <w:rPr>
          <w:color w:val="000000"/>
          <w:lang w:val="pt-PT"/>
        </w:rPr>
        <w:t xml:space="preserve">bevacizumab </w:t>
      </w:r>
      <w:r w:rsidRPr="002606DB">
        <w:rPr>
          <w:snapToGrid w:val="0"/>
          <w:lang w:val="pt-PT"/>
        </w:rPr>
        <w:t xml:space="preserve">7,5 mg/kg em associação com capecitabina por via oral e oxaliplatina por via intravenosa (XELOX), administrado de 3 em 3 semanas; ou </w:t>
      </w:r>
      <w:r w:rsidRPr="007155C0">
        <w:rPr>
          <w:color w:val="000000"/>
          <w:lang w:val="pt-PT"/>
        </w:rPr>
        <w:t xml:space="preserve">bevacizumab </w:t>
      </w:r>
      <w:r w:rsidRPr="002606DB">
        <w:rPr>
          <w:snapToGrid w:val="0"/>
          <w:lang w:val="pt-PT"/>
        </w:rPr>
        <w:t>5 mg/kg em associação com folinato de cálcio e 5</w:t>
      </w:r>
      <w:r w:rsidR="009811DB" w:rsidRPr="002606DB">
        <w:rPr>
          <w:snapToGrid w:val="0"/>
          <w:lang w:val="pt-PT"/>
        </w:rPr>
        <w:noBreakHyphen/>
      </w:r>
      <w:r w:rsidRPr="002606DB">
        <w:rPr>
          <w:snapToGrid w:val="0"/>
          <w:lang w:val="pt-PT"/>
        </w:rPr>
        <w:t>fluorouracilo em bólus, seguido de perfusão de 5-fluorouracilo com oxaliplatina por via intravenosa (FOLFOX</w:t>
      </w:r>
      <w:r w:rsidR="009811DB" w:rsidRPr="002606DB">
        <w:rPr>
          <w:snapToGrid w:val="0"/>
          <w:lang w:val="pt-PT"/>
        </w:rPr>
        <w:noBreakHyphen/>
      </w:r>
      <w:r w:rsidRPr="002606DB">
        <w:rPr>
          <w:snapToGrid w:val="0"/>
          <w:lang w:val="pt-PT"/>
        </w:rPr>
        <w:t xml:space="preserve">4) administrado de 2 em 2 semanas. O ensaio conteve duas partes: uma parte inicial, sem ocultação, com 2 </w:t>
      </w:r>
      <w:r w:rsidR="00B72472">
        <w:rPr>
          <w:snapToGrid w:val="0"/>
          <w:lang w:val="pt-PT"/>
        </w:rPr>
        <w:t>grupo</w:t>
      </w:r>
      <w:r w:rsidRPr="002606DB">
        <w:rPr>
          <w:snapToGrid w:val="0"/>
          <w:lang w:val="pt-PT"/>
        </w:rPr>
        <w:t>s (Parte I), em que os doentes foram aleatorizados para dois grupos de tratamento diferentes (XELOX e FOLFOX</w:t>
      </w:r>
      <w:r w:rsidR="009811DB" w:rsidRPr="002606DB">
        <w:rPr>
          <w:snapToGrid w:val="0"/>
          <w:lang w:val="pt-PT"/>
        </w:rPr>
        <w:noBreakHyphen/>
      </w:r>
      <w:r w:rsidRPr="002606DB">
        <w:rPr>
          <w:snapToGrid w:val="0"/>
          <w:lang w:val="pt-PT"/>
        </w:rPr>
        <w:t xml:space="preserve">4) e uma parte subsequente com 4 </w:t>
      </w:r>
      <w:r w:rsidR="00B72472">
        <w:rPr>
          <w:snapToGrid w:val="0"/>
          <w:lang w:val="pt-PT"/>
        </w:rPr>
        <w:t>grupo</w:t>
      </w:r>
      <w:r w:rsidRPr="002606DB">
        <w:rPr>
          <w:snapToGrid w:val="0"/>
          <w:lang w:val="pt-PT"/>
        </w:rPr>
        <w:t>s (Parte II) fatorial 2 x 2, em que os doentes foram aleatorizados para quatro grupos de tratamento (XELOX + placebo, FOLFOX</w:t>
      </w:r>
      <w:r w:rsidR="009811DB" w:rsidRPr="002606DB">
        <w:rPr>
          <w:snapToGrid w:val="0"/>
          <w:lang w:val="pt-PT"/>
        </w:rPr>
        <w:noBreakHyphen/>
      </w:r>
      <w:r w:rsidRPr="002606DB">
        <w:rPr>
          <w:snapToGrid w:val="0"/>
          <w:lang w:val="pt-PT"/>
        </w:rPr>
        <w:t xml:space="preserve">4 + placebo, XELOX + </w:t>
      </w:r>
      <w:r w:rsidRPr="007155C0">
        <w:rPr>
          <w:color w:val="000000"/>
          <w:lang w:val="pt-PT"/>
        </w:rPr>
        <w:t>bevacizumab</w:t>
      </w:r>
      <w:r w:rsidRPr="002606DB">
        <w:rPr>
          <w:snapToGrid w:val="0"/>
          <w:lang w:val="pt-PT"/>
        </w:rPr>
        <w:t>, FOLFOX</w:t>
      </w:r>
      <w:r w:rsidR="009811DB" w:rsidRPr="002606DB">
        <w:rPr>
          <w:snapToGrid w:val="0"/>
          <w:lang w:val="pt-PT"/>
        </w:rPr>
        <w:noBreakHyphen/>
      </w:r>
      <w:r w:rsidRPr="002606DB">
        <w:rPr>
          <w:snapToGrid w:val="0"/>
          <w:lang w:val="pt-PT"/>
        </w:rPr>
        <w:t xml:space="preserve">4 + </w:t>
      </w:r>
      <w:r w:rsidR="009811DB" w:rsidRPr="002606DB">
        <w:rPr>
          <w:snapToGrid w:val="0"/>
          <w:lang w:val="pt-PT"/>
        </w:rPr>
        <w:t>b</w:t>
      </w:r>
      <w:r w:rsidRPr="007155C0">
        <w:rPr>
          <w:color w:val="000000"/>
          <w:lang w:val="pt-PT"/>
        </w:rPr>
        <w:t>evacizumab</w:t>
      </w:r>
      <w:r w:rsidRPr="002606DB">
        <w:rPr>
          <w:snapToGrid w:val="0"/>
          <w:lang w:val="pt-PT"/>
        </w:rPr>
        <w:t xml:space="preserve">). Na parte II, a determinação do tratamento foi em dupla ocultação relativamente a </w:t>
      </w:r>
      <w:r w:rsidRPr="002606DB">
        <w:rPr>
          <w:color w:val="000000"/>
          <w:lang w:val="en-GB"/>
        </w:rPr>
        <w:t>bevacizumab</w:t>
      </w:r>
      <w:r w:rsidRPr="002606DB">
        <w:rPr>
          <w:snapToGrid w:val="0"/>
          <w:lang w:val="pt-PT"/>
        </w:rPr>
        <w:t>.</w:t>
      </w:r>
    </w:p>
    <w:p w14:paraId="2D178CE1" w14:textId="77777777" w:rsidR="00162CE2" w:rsidRPr="002606DB" w:rsidRDefault="00162CE2" w:rsidP="00056F35">
      <w:pPr>
        <w:pStyle w:val="a3"/>
        <w:adjustRightInd w:val="0"/>
        <w:snapToGrid w:val="0"/>
        <w:rPr>
          <w:snapToGrid w:val="0"/>
          <w:lang w:val="pt-PT"/>
        </w:rPr>
      </w:pPr>
    </w:p>
    <w:p w14:paraId="7B84505A" w14:textId="05CA8749" w:rsidR="00162CE2" w:rsidRPr="002606DB" w:rsidRDefault="00162CE2" w:rsidP="00056F35">
      <w:pPr>
        <w:pStyle w:val="a3"/>
        <w:adjustRightInd w:val="0"/>
        <w:snapToGrid w:val="0"/>
        <w:rPr>
          <w:snapToGrid w:val="0"/>
          <w:lang w:val="pt-PT"/>
        </w:rPr>
      </w:pPr>
      <w:r w:rsidRPr="002606DB">
        <w:rPr>
          <w:snapToGrid w:val="0"/>
          <w:lang w:val="pt-PT"/>
        </w:rPr>
        <w:t xml:space="preserve">Foram aleatorizados aproximadamente 350 doentes para cada um dos 4 </w:t>
      </w:r>
      <w:r w:rsidR="00B72472">
        <w:rPr>
          <w:snapToGrid w:val="0"/>
          <w:lang w:val="pt-PT"/>
        </w:rPr>
        <w:t>grupo</w:t>
      </w:r>
      <w:r w:rsidRPr="002606DB">
        <w:rPr>
          <w:snapToGrid w:val="0"/>
          <w:lang w:val="pt-PT"/>
        </w:rPr>
        <w:t>s do ensaio na Parte II do ensaio.</w:t>
      </w:r>
    </w:p>
    <w:p w14:paraId="1E0B9661" w14:textId="77777777" w:rsidR="00162CE2" w:rsidRPr="002606DB" w:rsidRDefault="00162CE2" w:rsidP="00056F35">
      <w:pPr>
        <w:adjustRightInd w:val="0"/>
        <w:snapToGrid w:val="0"/>
        <w:rPr>
          <w:snapToGrid w:val="0"/>
          <w:lang w:val="pt-PT"/>
        </w:rPr>
      </w:pPr>
    </w:p>
    <w:p w14:paraId="3D94C4E8"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lastRenderedPageBreak/>
        <w:t>Tabela 6</w:t>
      </w:r>
      <w:r w:rsidRPr="00730741">
        <w:rPr>
          <w:b/>
          <w:bCs/>
          <w:snapToGrid w:val="0"/>
          <w:lang w:val="pt-PT"/>
        </w:rPr>
        <w:tab/>
        <w:t>Regimes de tratamento no ensaio N016966 (Carcinoma metastizado do cólon ou do reto)</w:t>
      </w:r>
    </w:p>
    <w:p w14:paraId="0F52BE91" w14:textId="77777777" w:rsidR="00162CE2" w:rsidRPr="002606DB" w:rsidRDefault="00162CE2" w:rsidP="00417EC0">
      <w:pPr>
        <w:pStyle w:val="a3"/>
        <w:keepNext/>
        <w:keepLines/>
        <w:adjustRightInd w:val="0"/>
        <w:snapToGrid w:val="0"/>
        <w:rPr>
          <w:b/>
          <w:snapToGrid w:val="0"/>
          <w:lang w:val="pt-PT"/>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3"/>
        <w:gridCol w:w="1930"/>
        <w:gridCol w:w="2376"/>
        <w:gridCol w:w="3151"/>
      </w:tblGrid>
      <w:tr w:rsidR="00162CE2" w:rsidRPr="002606DB" w14:paraId="3F29E8FE" w14:textId="77777777" w:rsidTr="00A03389">
        <w:trPr>
          <w:cantSplit/>
          <w:tblHeader/>
        </w:trPr>
        <w:tc>
          <w:tcPr>
            <w:tcW w:w="885" w:type="pct"/>
            <w:vAlign w:val="center"/>
          </w:tcPr>
          <w:p w14:paraId="746582AF" w14:textId="77777777" w:rsidR="00162CE2" w:rsidRPr="002606DB" w:rsidRDefault="00162CE2" w:rsidP="00417EC0">
            <w:pPr>
              <w:pStyle w:val="TableParagraph"/>
              <w:keepNext/>
              <w:keepLines/>
              <w:adjustRightInd w:val="0"/>
              <w:snapToGrid w:val="0"/>
              <w:jc w:val="center"/>
              <w:rPr>
                <w:b/>
                <w:bCs/>
                <w:snapToGrid w:val="0"/>
                <w:sz w:val="20"/>
                <w:lang w:val="pt-PT"/>
              </w:rPr>
            </w:pPr>
          </w:p>
        </w:tc>
        <w:tc>
          <w:tcPr>
            <w:tcW w:w="1065" w:type="pct"/>
          </w:tcPr>
          <w:p w14:paraId="755374BF" w14:textId="77777777" w:rsidR="00162CE2" w:rsidRPr="002606DB" w:rsidRDefault="00162CE2" w:rsidP="00417EC0">
            <w:pPr>
              <w:pStyle w:val="TableParagraph"/>
              <w:keepNext/>
              <w:keepLines/>
              <w:adjustRightInd w:val="0"/>
              <w:snapToGrid w:val="0"/>
              <w:jc w:val="center"/>
              <w:rPr>
                <w:b/>
                <w:bCs/>
                <w:snapToGrid w:val="0"/>
                <w:sz w:val="20"/>
                <w:lang w:val="pt-PT"/>
              </w:rPr>
            </w:pPr>
            <w:r w:rsidRPr="002606DB">
              <w:rPr>
                <w:b/>
                <w:bCs/>
                <w:snapToGrid w:val="0"/>
                <w:sz w:val="20"/>
                <w:lang w:val="pt-PT"/>
              </w:rPr>
              <w:t>Tratamento</w:t>
            </w:r>
          </w:p>
        </w:tc>
        <w:tc>
          <w:tcPr>
            <w:tcW w:w="1311" w:type="pct"/>
          </w:tcPr>
          <w:p w14:paraId="1DB2C949" w14:textId="77777777" w:rsidR="00162CE2" w:rsidRPr="002606DB" w:rsidRDefault="00162CE2" w:rsidP="00417EC0">
            <w:pPr>
              <w:pStyle w:val="TableParagraph"/>
              <w:keepNext/>
              <w:keepLines/>
              <w:adjustRightInd w:val="0"/>
              <w:snapToGrid w:val="0"/>
              <w:jc w:val="center"/>
              <w:rPr>
                <w:b/>
                <w:bCs/>
                <w:snapToGrid w:val="0"/>
                <w:sz w:val="20"/>
                <w:lang w:val="pt-PT"/>
              </w:rPr>
            </w:pPr>
            <w:r w:rsidRPr="002606DB">
              <w:rPr>
                <w:b/>
                <w:bCs/>
                <w:snapToGrid w:val="0"/>
                <w:sz w:val="20"/>
                <w:lang w:val="pt-PT"/>
              </w:rPr>
              <w:t>Dose inicial</w:t>
            </w:r>
          </w:p>
        </w:tc>
        <w:tc>
          <w:tcPr>
            <w:tcW w:w="1738" w:type="pct"/>
          </w:tcPr>
          <w:p w14:paraId="6EE0BFC5" w14:textId="77777777" w:rsidR="00162CE2" w:rsidRPr="002606DB" w:rsidRDefault="00162CE2" w:rsidP="00417EC0">
            <w:pPr>
              <w:pStyle w:val="TableParagraph"/>
              <w:keepNext/>
              <w:keepLines/>
              <w:adjustRightInd w:val="0"/>
              <w:snapToGrid w:val="0"/>
              <w:jc w:val="center"/>
              <w:rPr>
                <w:b/>
                <w:bCs/>
                <w:snapToGrid w:val="0"/>
                <w:sz w:val="20"/>
                <w:lang w:val="pt-PT"/>
              </w:rPr>
            </w:pPr>
            <w:r w:rsidRPr="002606DB">
              <w:rPr>
                <w:b/>
                <w:bCs/>
                <w:snapToGrid w:val="0"/>
                <w:sz w:val="20"/>
                <w:lang w:val="pt-PT"/>
              </w:rPr>
              <w:t>Regime posológico</w:t>
            </w:r>
          </w:p>
        </w:tc>
      </w:tr>
      <w:tr w:rsidR="00162CE2" w:rsidRPr="002606DB" w14:paraId="5210669B" w14:textId="77777777" w:rsidTr="00A03389">
        <w:trPr>
          <w:cantSplit/>
        </w:trPr>
        <w:tc>
          <w:tcPr>
            <w:tcW w:w="885" w:type="pct"/>
            <w:vMerge w:val="restart"/>
            <w:vAlign w:val="center"/>
          </w:tcPr>
          <w:p w14:paraId="45DC3F00" w14:textId="1F3CC002" w:rsidR="00162CE2" w:rsidRPr="002606DB" w:rsidRDefault="00162CE2" w:rsidP="00417EC0">
            <w:pPr>
              <w:pStyle w:val="TableParagraph"/>
              <w:keepNext/>
              <w:keepLines/>
              <w:adjustRightInd w:val="0"/>
              <w:snapToGrid w:val="0"/>
              <w:jc w:val="center"/>
              <w:rPr>
                <w:snapToGrid w:val="0"/>
                <w:sz w:val="20"/>
                <w:lang w:val="pt-PT"/>
              </w:rPr>
            </w:pPr>
            <w:r w:rsidRPr="002606DB">
              <w:rPr>
                <w:snapToGrid w:val="0"/>
                <w:sz w:val="20"/>
                <w:lang w:val="pt-PT"/>
              </w:rPr>
              <w:t>FOLFOX</w:t>
            </w:r>
            <w:r w:rsidR="009811DB" w:rsidRPr="002606DB">
              <w:rPr>
                <w:snapToGrid w:val="0"/>
                <w:sz w:val="20"/>
                <w:lang w:val="pt-PT"/>
              </w:rPr>
              <w:noBreakHyphen/>
            </w:r>
            <w:r w:rsidRPr="002606DB">
              <w:rPr>
                <w:snapToGrid w:val="0"/>
                <w:sz w:val="20"/>
                <w:lang w:val="pt-PT"/>
              </w:rPr>
              <w:t>4</w:t>
            </w:r>
          </w:p>
          <w:p w14:paraId="2D69BDF7" w14:textId="789EBC88" w:rsidR="00162CE2" w:rsidRPr="002606DB" w:rsidRDefault="00162CE2" w:rsidP="00417EC0">
            <w:pPr>
              <w:pStyle w:val="TableParagraph"/>
              <w:keepNext/>
              <w:keepLines/>
              <w:adjustRightInd w:val="0"/>
              <w:snapToGrid w:val="0"/>
              <w:jc w:val="center"/>
              <w:rPr>
                <w:snapToGrid w:val="0"/>
                <w:sz w:val="20"/>
                <w:lang w:val="pt-PT"/>
              </w:rPr>
            </w:pPr>
            <w:r w:rsidRPr="002606DB">
              <w:rPr>
                <w:snapToGrid w:val="0"/>
                <w:sz w:val="20"/>
                <w:lang w:val="pt-PT"/>
              </w:rPr>
              <w:t>ou FOLFOX</w:t>
            </w:r>
            <w:r w:rsidR="009811DB" w:rsidRPr="002606DB">
              <w:rPr>
                <w:snapToGrid w:val="0"/>
                <w:sz w:val="20"/>
                <w:lang w:val="pt-PT"/>
              </w:rPr>
              <w:noBreakHyphen/>
            </w:r>
            <w:r w:rsidRPr="002606DB">
              <w:rPr>
                <w:snapToGrid w:val="0"/>
                <w:sz w:val="20"/>
                <w:lang w:val="pt-PT"/>
              </w:rPr>
              <w:t>4 +</w:t>
            </w:r>
          </w:p>
          <w:p w14:paraId="4CA973D6" w14:textId="7CB399E6" w:rsidR="00162CE2" w:rsidRPr="002606DB" w:rsidRDefault="009811DB" w:rsidP="00417EC0">
            <w:pPr>
              <w:pStyle w:val="TableParagraph"/>
              <w:keepNext/>
              <w:keepLines/>
              <w:adjustRightInd w:val="0"/>
              <w:snapToGrid w:val="0"/>
              <w:jc w:val="center"/>
              <w:rPr>
                <w:snapToGrid w:val="0"/>
                <w:sz w:val="20"/>
                <w:lang w:val="pt-PT"/>
              </w:rPr>
            </w:pPr>
            <w:r w:rsidRPr="002606DB">
              <w:rPr>
                <w:snapToGrid w:val="0"/>
                <w:sz w:val="20"/>
                <w:lang w:val="pt-PT"/>
              </w:rPr>
              <w:t>bevacizumab</w:t>
            </w:r>
          </w:p>
        </w:tc>
        <w:tc>
          <w:tcPr>
            <w:tcW w:w="1065" w:type="pct"/>
            <w:tcBorders>
              <w:bottom w:val="nil"/>
            </w:tcBorders>
          </w:tcPr>
          <w:p w14:paraId="1BCDC10B" w14:textId="77777777" w:rsidR="00162CE2" w:rsidRPr="002606DB" w:rsidRDefault="00162CE2" w:rsidP="00417EC0">
            <w:pPr>
              <w:pStyle w:val="TableParagraph"/>
              <w:keepNext/>
              <w:keepLines/>
              <w:adjustRightInd w:val="0"/>
              <w:snapToGrid w:val="0"/>
              <w:rPr>
                <w:snapToGrid w:val="0"/>
                <w:sz w:val="20"/>
                <w:lang w:val="pt-PT"/>
              </w:rPr>
            </w:pPr>
            <w:r w:rsidRPr="002606DB">
              <w:rPr>
                <w:snapToGrid w:val="0"/>
                <w:sz w:val="20"/>
                <w:lang w:val="pt-PT"/>
              </w:rPr>
              <w:t>Oxaliplatina</w:t>
            </w:r>
          </w:p>
          <w:p w14:paraId="3F7396D7" w14:textId="77777777" w:rsidR="00162CE2" w:rsidRPr="002606DB" w:rsidRDefault="00162CE2" w:rsidP="00417EC0">
            <w:pPr>
              <w:pStyle w:val="TableParagraph"/>
              <w:keepNext/>
              <w:keepLines/>
              <w:adjustRightInd w:val="0"/>
              <w:snapToGrid w:val="0"/>
              <w:rPr>
                <w:snapToGrid w:val="0"/>
                <w:sz w:val="20"/>
                <w:lang w:val="pt-PT"/>
              </w:rPr>
            </w:pPr>
          </w:p>
        </w:tc>
        <w:tc>
          <w:tcPr>
            <w:tcW w:w="1311" w:type="pct"/>
            <w:tcBorders>
              <w:bottom w:val="nil"/>
            </w:tcBorders>
          </w:tcPr>
          <w:p w14:paraId="506E99C2" w14:textId="2F213F31" w:rsidR="00162CE2" w:rsidRPr="002606DB" w:rsidRDefault="00162CE2" w:rsidP="00417EC0">
            <w:pPr>
              <w:pStyle w:val="TableParagraph"/>
              <w:keepNext/>
              <w:keepLines/>
              <w:adjustRightInd w:val="0"/>
              <w:snapToGrid w:val="0"/>
              <w:rPr>
                <w:snapToGrid w:val="0"/>
                <w:sz w:val="20"/>
                <w:lang w:val="pt-PT"/>
              </w:rPr>
            </w:pPr>
            <w:r w:rsidRPr="002606DB">
              <w:rPr>
                <w:snapToGrid w:val="0"/>
                <w:sz w:val="20"/>
                <w:lang w:val="pt-PT"/>
              </w:rPr>
              <w:t>85 mg/m</w:t>
            </w:r>
            <w:r w:rsidRPr="002606DB">
              <w:rPr>
                <w:snapToGrid w:val="0"/>
                <w:sz w:val="20"/>
                <w:vertAlign w:val="superscript"/>
                <w:lang w:val="pt-PT"/>
              </w:rPr>
              <w:t>2</w:t>
            </w:r>
            <w:r w:rsidRPr="002606DB">
              <w:rPr>
                <w:snapToGrid w:val="0"/>
                <w:sz w:val="20"/>
                <w:lang w:val="pt-PT"/>
              </w:rPr>
              <w:t xml:space="preserve"> intravenosa 2 h</w:t>
            </w:r>
          </w:p>
          <w:p w14:paraId="3E0D97A5" w14:textId="77777777" w:rsidR="00162CE2" w:rsidRPr="002606DB" w:rsidRDefault="00162CE2" w:rsidP="00417EC0">
            <w:pPr>
              <w:pStyle w:val="TableParagraph"/>
              <w:keepNext/>
              <w:keepLines/>
              <w:adjustRightInd w:val="0"/>
              <w:snapToGrid w:val="0"/>
              <w:rPr>
                <w:snapToGrid w:val="0"/>
                <w:sz w:val="20"/>
                <w:lang w:val="pt-PT"/>
              </w:rPr>
            </w:pPr>
          </w:p>
        </w:tc>
        <w:tc>
          <w:tcPr>
            <w:tcW w:w="1738" w:type="pct"/>
            <w:tcBorders>
              <w:bottom w:val="nil"/>
            </w:tcBorders>
          </w:tcPr>
          <w:p w14:paraId="2A7F6B8F" w14:textId="77777777" w:rsidR="00162CE2" w:rsidRPr="002606DB" w:rsidRDefault="00162CE2" w:rsidP="00417EC0">
            <w:pPr>
              <w:pStyle w:val="TableParagraph"/>
              <w:keepNext/>
              <w:keepLines/>
              <w:adjustRightInd w:val="0"/>
              <w:snapToGrid w:val="0"/>
              <w:rPr>
                <w:snapToGrid w:val="0"/>
                <w:sz w:val="20"/>
                <w:lang w:val="pt-PT"/>
              </w:rPr>
            </w:pPr>
            <w:r w:rsidRPr="002606DB">
              <w:rPr>
                <w:snapToGrid w:val="0"/>
                <w:sz w:val="20"/>
                <w:lang w:val="pt-PT"/>
              </w:rPr>
              <w:t>Oxaliplatina no dia 1</w:t>
            </w:r>
          </w:p>
          <w:p w14:paraId="754E25E3" w14:textId="77777777" w:rsidR="00162CE2" w:rsidRPr="002606DB" w:rsidRDefault="00162CE2" w:rsidP="00417EC0">
            <w:pPr>
              <w:pStyle w:val="TableParagraph"/>
              <w:keepNext/>
              <w:keepLines/>
              <w:adjustRightInd w:val="0"/>
              <w:snapToGrid w:val="0"/>
              <w:rPr>
                <w:snapToGrid w:val="0"/>
                <w:sz w:val="20"/>
                <w:lang w:val="pt-PT"/>
              </w:rPr>
            </w:pPr>
          </w:p>
        </w:tc>
      </w:tr>
      <w:tr w:rsidR="00162CE2" w:rsidRPr="00730741" w14:paraId="392AD431" w14:textId="77777777" w:rsidTr="00A03389">
        <w:trPr>
          <w:cantSplit/>
        </w:trPr>
        <w:tc>
          <w:tcPr>
            <w:tcW w:w="885" w:type="pct"/>
            <w:vMerge/>
            <w:vAlign w:val="center"/>
          </w:tcPr>
          <w:p w14:paraId="5A3D2CF0" w14:textId="77777777" w:rsidR="00162CE2" w:rsidRPr="002606DB" w:rsidRDefault="00162CE2" w:rsidP="00215B57">
            <w:pPr>
              <w:pStyle w:val="TableParagraph"/>
              <w:adjustRightInd w:val="0"/>
              <w:snapToGrid w:val="0"/>
              <w:jc w:val="center"/>
              <w:rPr>
                <w:snapToGrid w:val="0"/>
                <w:sz w:val="20"/>
                <w:lang w:val="pt-PT"/>
              </w:rPr>
            </w:pPr>
          </w:p>
        </w:tc>
        <w:tc>
          <w:tcPr>
            <w:tcW w:w="1065" w:type="pct"/>
            <w:tcBorders>
              <w:top w:val="nil"/>
              <w:bottom w:val="nil"/>
            </w:tcBorders>
          </w:tcPr>
          <w:p w14:paraId="77F1CADA" w14:textId="77777777" w:rsidR="00162CE2" w:rsidRPr="002606DB" w:rsidRDefault="00162CE2" w:rsidP="00215B57">
            <w:pPr>
              <w:pStyle w:val="TableParagraph"/>
              <w:adjustRightInd w:val="0"/>
              <w:snapToGrid w:val="0"/>
              <w:rPr>
                <w:snapToGrid w:val="0"/>
                <w:sz w:val="20"/>
                <w:lang w:val="pt-PT"/>
              </w:rPr>
            </w:pPr>
            <w:r w:rsidRPr="002606DB">
              <w:rPr>
                <w:snapToGrid w:val="0"/>
                <w:sz w:val="20"/>
                <w:lang w:val="pt-PT"/>
              </w:rPr>
              <w:t>Folinato de cálcio</w:t>
            </w:r>
          </w:p>
          <w:p w14:paraId="11FFFAF8" w14:textId="77777777" w:rsidR="00162CE2" w:rsidRPr="002606DB" w:rsidRDefault="00162CE2" w:rsidP="00215B57">
            <w:pPr>
              <w:pStyle w:val="TableParagraph"/>
              <w:adjustRightInd w:val="0"/>
              <w:snapToGrid w:val="0"/>
              <w:rPr>
                <w:snapToGrid w:val="0"/>
                <w:sz w:val="20"/>
                <w:lang w:val="pt-PT"/>
              </w:rPr>
            </w:pPr>
          </w:p>
        </w:tc>
        <w:tc>
          <w:tcPr>
            <w:tcW w:w="1311" w:type="pct"/>
            <w:tcBorders>
              <w:top w:val="nil"/>
              <w:bottom w:val="nil"/>
            </w:tcBorders>
          </w:tcPr>
          <w:p w14:paraId="244BB39E" w14:textId="7A67F6E6" w:rsidR="00162CE2" w:rsidRPr="002606DB" w:rsidRDefault="00162CE2" w:rsidP="00215B57">
            <w:pPr>
              <w:pStyle w:val="TableParagraph"/>
              <w:adjustRightInd w:val="0"/>
              <w:snapToGrid w:val="0"/>
              <w:rPr>
                <w:snapToGrid w:val="0"/>
                <w:sz w:val="20"/>
                <w:lang w:val="pt-PT"/>
              </w:rPr>
            </w:pPr>
            <w:r w:rsidRPr="002606DB">
              <w:rPr>
                <w:snapToGrid w:val="0"/>
                <w:sz w:val="20"/>
                <w:lang w:val="pt-PT"/>
              </w:rPr>
              <w:t>200 mg/m</w:t>
            </w:r>
            <w:r w:rsidRPr="002606DB">
              <w:rPr>
                <w:snapToGrid w:val="0"/>
                <w:sz w:val="20"/>
                <w:vertAlign w:val="superscript"/>
                <w:lang w:val="pt-PT"/>
              </w:rPr>
              <w:t>2</w:t>
            </w:r>
            <w:r w:rsidRPr="002606DB">
              <w:rPr>
                <w:snapToGrid w:val="0"/>
                <w:sz w:val="20"/>
                <w:lang w:val="pt-PT"/>
              </w:rPr>
              <w:t xml:space="preserve"> intravenosa 2 h</w:t>
            </w:r>
          </w:p>
          <w:p w14:paraId="07367EBB" w14:textId="77777777" w:rsidR="00162CE2" w:rsidRPr="002606DB" w:rsidRDefault="00162CE2" w:rsidP="00215B57">
            <w:pPr>
              <w:pStyle w:val="TableParagraph"/>
              <w:adjustRightInd w:val="0"/>
              <w:snapToGrid w:val="0"/>
              <w:rPr>
                <w:snapToGrid w:val="0"/>
                <w:sz w:val="20"/>
                <w:lang w:val="pt-PT"/>
              </w:rPr>
            </w:pPr>
          </w:p>
        </w:tc>
        <w:tc>
          <w:tcPr>
            <w:tcW w:w="1738" w:type="pct"/>
            <w:vMerge w:val="restart"/>
            <w:tcBorders>
              <w:top w:val="nil"/>
            </w:tcBorders>
          </w:tcPr>
          <w:p w14:paraId="50A8869A" w14:textId="77777777" w:rsidR="00162CE2" w:rsidRPr="002606DB" w:rsidRDefault="00162CE2" w:rsidP="00215B57">
            <w:pPr>
              <w:pStyle w:val="TableParagraph"/>
              <w:adjustRightInd w:val="0"/>
              <w:snapToGrid w:val="0"/>
              <w:rPr>
                <w:snapToGrid w:val="0"/>
                <w:sz w:val="20"/>
                <w:lang w:val="pt-PT"/>
              </w:rPr>
            </w:pPr>
            <w:r w:rsidRPr="002606DB">
              <w:rPr>
                <w:snapToGrid w:val="0"/>
                <w:sz w:val="20"/>
                <w:lang w:val="pt-PT"/>
              </w:rPr>
              <w:t>Folinato de cálcio no dia 1 e 2</w:t>
            </w:r>
          </w:p>
          <w:p w14:paraId="6C40A466" w14:textId="77777777" w:rsidR="00162CE2" w:rsidRPr="002606DB" w:rsidRDefault="00162CE2" w:rsidP="00215B57">
            <w:pPr>
              <w:pStyle w:val="TableParagraph"/>
              <w:adjustRightInd w:val="0"/>
              <w:snapToGrid w:val="0"/>
              <w:rPr>
                <w:snapToGrid w:val="0"/>
                <w:sz w:val="20"/>
                <w:lang w:val="pt-PT"/>
              </w:rPr>
            </w:pPr>
          </w:p>
          <w:p w14:paraId="06EFD0D3" w14:textId="6CC92B39" w:rsidR="00162CE2" w:rsidRPr="002606DB" w:rsidRDefault="00162CE2" w:rsidP="00215B57">
            <w:pPr>
              <w:pStyle w:val="TableParagraph"/>
              <w:adjustRightInd w:val="0"/>
              <w:snapToGrid w:val="0"/>
              <w:rPr>
                <w:snapToGrid w:val="0"/>
                <w:sz w:val="20"/>
                <w:lang w:val="pt-PT"/>
              </w:rPr>
            </w:pPr>
            <w:r w:rsidRPr="002606DB">
              <w:rPr>
                <w:snapToGrid w:val="0"/>
                <w:sz w:val="20"/>
                <w:lang w:val="pt-PT"/>
              </w:rPr>
              <w:t>5</w:t>
            </w:r>
            <w:r w:rsidR="009811DB" w:rsidRPr="002606DB">
              <w:rPr>
                <w:snapToGrid w:val="0"/>
                <w:sz w:val="20"/>
                <w:lang w:val="pt-PT"/>
              </w:rPr>
              <w:noBreakHyphen/>
            </w:r>
            <w:r w:rsidRPr="002606DB">
              <w:rPr>
                <w:snapToGrid w:val="0"/>
                <w:sz w:val="20"/>
                <w:lang w:val="pt-PT"/>
              </w:rPr>
              <w:t>fluorouracilo intravenoso bólus/perfusão, cada nos dias 1 e 2</w:t>
            </w:r>
          </w:p>
        </w:tc>
      </w:tr>
      <w:tr w:rsidR="00162CE2" w:rsidRPr="002606DB" w14:paraId="72D2309B" w14:textId="77777777" w:rsidTr="00A03389">
        <w:trPr>
          <w:cantSplit/>
        </w:trPr>
        <w:tc>
          <w:tcPr>
            <w:tcW w:w="885" w:type="pct"/>
            <w:vMerge/>
            <w:vAlign w:val="center"/>
          </w:tcPr>
          <w:p w14:paraId="3B1B35B7" w14:textId="77777777" w:rsidR="00162CE2" w:rsidRPr="002606DB" w:rsidRDefault="00162CE2" w:rsidP="00215B57">
            <w:pPr>
              <w:adjustRightInd w:val="0"/>
              <w:snapToGrid w:val="0"/>
              <w:jc w:val="center"/>
              <w:rPr>
                <w:snapToGrid w:val="0"/>
                <w:sz w:val="20"/>
                <w:szCs w:val="2"/>
                <w:lang w:val="pt-PT"/>
              </w:rPr>
            </w:pPr>
          </w:p>
        </w:tc>
        <w:tc>
          <w:tcPr>
            <w:tcW w:w="1065" w:type="pct"/>
            <w:tcBorders>
              <w:top w:val="nil"/>
            </w:tcBorders>
          </w:tcPr>
          <w:p w14:paraId="1DE8861F" w14:textId="28674A66" w:rsidR="00162CE2" w:rsidRPr="002606DB" w:rsidRDefault="00162CE2" w:rsidP="00215B57">
            <w:pPr>
              <w:pStyle w:val="TableParagraph"/>
              <w:adjustRightInd w:val="0"/>
              <w:snapToGrid w:val="0"/>
              <w:rPr>
                <w:snapToGrid w:val="0"/>
                <w:sz w:val="20"/>
                <w:lang w:val="pt-PT"/>
              </w:rPr>
            </w:pPr>
            <w:r w:rsidRPr="002606DB">
              <w:rPr>
                <w:snapToGrid w:val="0"/>
                <w:sz w:val="20"/>
                <w:lang w:val="pt-PT"/>
              </w:rPr>
              <w:t>5</w:t>
            </w:r>
            <w:r w:rsidR="009811DB" w:rsidRPr="002606DB">
              <w:rPr>
                <w:snapToGrid w:val="0"/>
                <w:sz w:val="20"/>
                <w:lang w:val="pt-PT"/>
              </w:rPr>
              <w:noBreakHyphen/>
            </w:r>
            <w:r w:rsidRPr="002606DB">
              <w:rPr>
                <w:snapToGrid w:val="0"/>
                <w:sz w:val="20"/>
                <w:lang w:val="pt-PT"/>
              </w:rPr>
              <w:t>Fluorouracilo</w:t>
            </w:r>
          </w:p>
        </w:tc>
        <w:tc>
          <w:tcPr>
            <w:tcW w:w="1311" w:type="pct"/>
            <w:tcBorders>
              <w:top w:val="nil"/>
            </w:tcBorders>
          </w:tcPr>
          <w:p w14:paraId="2915B802" w14:textId="604CC9E5" w:rsidR="00162CE2" w:rsidRPr="002606DB" w:rsidRDefault="00162CE2" w:rsidP="00FD4365">
            <w:pPr>
              <w:pStyle w:val="TableParagraph"/>
              <w:adjustRightInd w:val="0"/>
              <w:snapToGrid w:val="0"/>
              <w:rPr>
                <w:snapToGrid w:val="0"/>
                <w:sz w:val="20"/>
                <w:lang w:val="pt-PT"/>
              </w:rPr>
            </w:pPr>
            <w:r w:rsidRPr="002606DB">
              <w:rPr>
                <w:snapToGrid w:val="0"/>
                <w:sz w:val="20"/>
                <w:lang w:val="pt-PT"/>
              </w:rPr>
              <w:t>400 mg/m</w:t>
            </w:r>
            <w:r w:rsidRPr="002606DB">
              <w:rPr>
                <w:snapToGrid w:val="0"/>
                <w:sz w:val="20"/>
                <w:vertAlign w:val="superscript"/>
                <w:lang w:val="pt-PT"/>
              </w:rPr>
              <w:t>2</w:t>
            </w:r>
            <w:r w:rsidRPr="002606DB">
              <w:rPr>
                <w:snapToGrid w:val="0"/>
                <w:sz w:val="20"/>
                <w:lang w:val="pt-PT"/>
              </w:rPr>
              <w:t xml:space="preserve"> intravenosa bólus, 600 mg/m</w:t>
            </w:r>
            <w:r w:rsidRPr="002606DB">
              <w:rPr>
                <w:snapToGrid w:val="0"/>
                <w:sz w:val="20"/>
                <w:vertAlign w:val="superscript"/>
                <w:lang w:val="pt-PT"/>
              </w:rPr>
              <w:t xml:space="preserve">2 </w:t>
            </w:r>
            <w:r w:rsidRPr="002606DB">
              <w:rPr>
                <w:snapToGrid w:val="0"/>
                <w:sz w:val="20"/>
                <w:lang w:val="pt-PT"/>
              </w:rPr>
              <w:t>intravenosa 22 h</w:t>
            </w:r>
          </w:p>
        </w:tc>
        <w:tc>
          <w:tcPr>
            <w:tcW w:w="1738" w:type="pct"/>
            <w:vMerge/>
            <w:tcBorders>
              <w:top w:val="nil"/>
            </w:tcBorders>
          </w:tcPr>
          <w:p w14:paraId="4140ED08" w14:textId="77777777" w:rsidR="00162CE2" w:rsidRPr="002606DB" w:rsidRDefault="00162CE2" w:rsidP="00215B57">
            <w:pPr>
              <w:adjustRightInd w:val="0"/>
              <w:snapToGrid w:val="0"/>
              <w:rPr>
                <w:snapToGrid w:val="0"/>
                <w:sz w:val="20"/>
                <w:szCs w:val="2"/>
                <w:lang w:val="pt-PT"/>
              </w:rPr>
            </w:pPr>
          </w:p>
        </w:tc>
      </w:tr>
      <w:tr w:rsidR="00162CE2" w:rsidRPr="00730741" w14:paraId="29B12035" w14:textId="77777777" w:rsidTr="00A03389">
        <w:trPr>
          <w:cantSplit/>
        </w:trPr>
        <w:tc>
          <w:tcPr>
            <w:tcW w:w="885" w:type="pct"/>
            <w:vMerge/>
            <w:vAlign w:val="center"/>
          </w:tcPr>
          <w:p w14:paraId="049FAF4F" w14:textId="77777777" w:rsidR="00162CE2" w:rsidRPr="002606DB" w:rsidRDefault="00162CE2" w:rsidP="00215B57">
            <w:pPr>
              <w:pStyle w:val="TableParagraph"/>
              <w:adjustRightInd w:val="0"/>
              <w:snapToGrid w:val="0"/>
              <w:jc w:val="center"/>
              <w:rPr>
                <w:snapToGrid w:val="0"/>
                <w:sz w:val="20"/>
                <w:lang w:val="pt-PT"/>
              </w:rPr>
            </w:pPr>
          </w:p>
        </w:tc>
        <w:tc>
          <w:tcPr>
            <w:tcW w:w="1065" w:type="pct"/>
          </w:tcPr>
          <w:p w14:paraId="7D152D0E" w14:textId="3FF68C6E" w:rsidR="00162CE2" w:rsidRPr="002606DB" w:rsidRDefault="00162CE2" w:rsidP="00215B57">
            <w:pPr>
              <w:pStyle w:val="TableParagraph"/>
              <w:adjustRightInd w:val="0"/>
              <w:snapToGrid w:val="0"/>
              <w:rPr>
                <w:snapToGrid w:val="0"/>
                <w:sz w:val="20"/>
                <w:lang w:val="pt-PT"/>
              </w:rPr>
            </w:pPr>
            <w:r w:rsidRPr="002606DB">
              <w:rPr>
                <w:snapToGrid w:val="0"/>
                <w:sz w:val="20"/>
                <w:lang w:val="pt-PT"/>
              </w:rPr>
              <w:t xml:space="preserve">Placebo ou </w:t>
            </w:r>
            <w:r w:rsidR="009811DB" w:rsidRPr="002606DB">
              <w:rPr>
                <w:snapToGrid w:val="0"/>
                <w:sz w:val="20"/>
                <w:lang w:val="pt-PT"/>
              </w:rPr>
              <w:t>b</w:t>
            </w:r>
            <w:proofErr w:type="spellStart"/>
            <w:r w:rsidR="004B0AC3" w:rsidRPr="002606DB">
              <w:rPr>
                <w:color w:val="000000"/>
                <w:sz w:val="20"/>
                <w:szCs w:val="20"/>
                <w:lang w:val="en-GB"/>
              </w:rPr>
              <w:t>evacizumab</w:t>
            </w:r>
            <w:proofErr w:type="spellEnd"/>
          </w:p>
        </w:tc>
        <w:tc>
          <w:tcPr>
            <w:tcW w:w="1311" w:type="pct"/>
          </w:tcPr>
          <w:p w14:paraId="306E7D9B" w14:textId="70763A57" w:rsidR="00162CE2" w:rsidRPr="002606DB" w:rsidRDefault="00162CE2" w:rsidP="00215B57">
            <w:pPr>
              <w:pStyle w:val="TableParagraph"/>
              <w:adjustRightInd w:val="0"/>
              <w:snapToGrid w:val="0"/>
              <w:rPr>
                <w:snapToGrid w:val="0"/>
                <w:sz w:val="20"/>
                <w:lang w:val="pt-PT"/>
              </w:rPr>
            </w:pPr>
            <w:r w:rsidRPr="002606DB">
              <w:rPr>
                <w:snapToGrid w:val="0"/>
                <w:sz w:val="20"/>
                <w:lang w:val="pt-PT"/>
              </w:rPr>
              <w:t>5 mg/kg intravenosa 30-90</w:t>
            </w:r>
            <w:r w:rsidR="00FD4365" w:rsidRPr="002606DB">
              <w:rPr>
                <w:snapToGrid w:val="0"/>
                <w:sz w:val="20"/>
                <w:lang w:val="pt-PT"/>
              </w:rPr>
              <w:t> </w:t>
            </w:r>
            <w:r w:rsidRPr="002606DB">
              <w:rPr>
                <w:snapToGrid w:val="0"/>
                <w:sz w:val="20"/>
                <w:lang w:val="pt-PT"/>
              </w:rPr>
              <w:t>min</w:t>
            </w:r>
          </w:p>
        </w:tc>
        <w:tc>
          <w:tcPr>
            <w:tcW w:w="1738" w:type="pct"/>
          </w:tcPr>
          <w:p w14:paraId="19D55F2E" w14:textId="02A90868" w:rsidR="00162CE2" w:rsidRPr="002606DB" w:rsidRDefault="00162CE2" w:rsidP="00215B57">
            <w:pPr>
              <w:pStyle w:val="TableParagraph"/>
              <w:adjustRightInd w:val="0"/>
              <w:snapToGrid w:val="0"/>
              <w:rPr>
                <w:snapToGrid w:val="0"/>
                <w:sz w:val="20"/>
                <w:lang w:val="pt-PT"/>
              </w:rPr>
            </w:pPr>
            <w:r w:rsidRPr="002606DB">
              <w:rPr>
                <w:snapToGrid w:val="0"/>
                <w:sz w:val="20"/>
                <w:lang w:val="pt-PT"/>
              </w:rPr>
              <w:t>Dia 1, antes de FOLFOX</w:t>
            </w:r>
            <w:r w:rsidR="009811DB" w:rsidRPr="002606DB">
              <w:rPr>
                <w:snapToGrid w:val="0"/>
                <w:sz w:val="20"/>
                <w:lang w:val="pt-PT"/>
              </w:rPr>
              <w:noBreakHyphen/>
            </w:r>
            <w:r w:rsidRPr="002606DB">
              <w:rPr>
                <w:snapToGrid w:val="0"/>
                <w:sz w:val="20"/>
                <w:lang w:val="pt-PT"/>
              </w:rPr>
              <w:t>4, de 2 em 2 semanas</w:t>
            </w:r>
          </w:p>
        </w:tc>
      </w:tr>
      <w:tr w:rsidR="00162CE2" w:rsidRPr="002606DB" w14:paraId="4A064CEF" w14:textId="77777777" w:rsidTr="00A03389">
        <w:trPr>
          <w:cantSplit/>
        </w:trPr>
        <w:tc>
          <w:tcPr>
            <w:tcW w:w="885" w:type="pct"/>
            <w:vMerge w:val="restart"/>
            <w:vAlign w:val="center"/>
          </w:tcPr>
          <w:p w14:paraId="0B2D6973"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XELOX</w:t>
            </w:r>
          </w:p>
          <w:p w14:paraId="68330C3C"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ou XELOX +</w:t>
            </w:r>
          </w:p>
          <w:p w14:paraId="09694120" w14:textId="7F5713B8" w:rsidR="00162CE2" w:rsidRPr="002606DB" w:rsidRDefault="009811DB" w:rsidP="00914003">
            <w:pPr>
              <w:pStyle w:val="TableParagraph"/>
              <w:keepNext/>
              <w:keepLines/>
              <w:adjustRightInd w:val="0"/>
              <w:snapToGrid w:val="0"/>
              <w:jc w:val="center"/>
              <w:rPr>
                <w:snapToGrid w:val="0"/>
                <w:sz w:val="20"/>
                <w:lang w:val="pt-PT"/>
              </w:rPr>
            </w:pPr>
            <w:r w:rsidRPr="002606DB">
              <w:rPr>
                <w:color w:val="000000"/>
                <w:sz w:val="20"/>
                <w:szCs w:val="20"/>
                <w:lang w:val="en-GB"/>
              </w:rPr>
              <w:t>b</w:t>
            </w:r>
            <w:r w:rsidR="004B0AC3" w:rsidRPr="002606DB">
              <w:rPr>
                <w:color w:val="000000"/>
                <w:sz w:val="20"/>
                <w:szCs w:val="20"/>
                <w:lang w:val="en-GB"/>
              </w:rPr>
              <w:t>evacizumab</w:t>
            </w:r>
          </w:p>
        </w:tc>
        <w:tc>
          <w:tcPr>
            <w:tcW w:w="1065" w:type="pct"/>
            <w:tcBorders>
              <w:bottom w:val="nil"/>
            </w:tcBorders>
          </w:tcPr>
          <w:p w14:paraId="25F42E9C"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Oxaliplatina</w:t>
            </w:r>
          </w:p>
          <w:p w14:paraId="23ACE32D" w14:textId="77777777" w:rsidR="00162CE2" w:rsidRPr="002606DB" w:rsidRDefault="00162CE2" w:rsidP="00914003">
            <w:pPr>
              <w:pStyle w:val="TableParagraph"/>
              <w:keepNext/>
              <w:keepLines/>
              <w:adjustRightInd w:val="0"/>
              <w:snapToGrid w:val="0"/>
              <w:rPr>
                <w:snapToGrid w:val="0"/>
                <w:sz w:val="20"/>
                <w:lang w:val="pt-PT"/>
              </w:rPr>
            </w:pPr>
          </w:p>
        </w:tc>
        <w:tc>
          <w:tcPr>
            <w:tcW w:w="1311" w:type="pct"/>
            <w:tcBorders>
              <w:bottom w:val="nil"/>
            </w:tcBorders>
          </w:tcPr>
          <w:p w14:paraId="3A93FA48" w14:textId="6EACDF6B"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130 mg/m</w:t>
            </w:r>
            <w:r w:rsidRPr="002606DB">
              <w:rPr>
                <w:snapToGrid w:val="0"/>
                <w:sz w:val="20"/>
                <w:vertAlign w:val="superscript"/>
                <w:lang w:val="pt-PT"/>
              </w:rPr>
              <w:t>2</w:t>
            </w:r>
            <w:r w:rsidRPr="002606DB">
              <w:rPr>
                <w:snapToGrid w:val="0"/>
                <w:sz w:val="20"/>
                <w:lang w:val="pt-PT"/>
              </w:rPr>
              <w:t xml:space="preserve"> intravenosa 2 h</w:t>
            </w:r>
          </w:p>
          <w:p w14:paraId="59F57A31" w14:textId="77777777" w:rsidR="00162CE2" w:rsidRPr="002606DB" w:rsidRDefault="00162CE2" w:rsidP="00914003">
            <w:pPr>
              <w:pStyle w:val="TableParagraph"/>
              <w:keepNext/>
              <w:keepLines/>
              <w:adjustRightInd w:val="0"/>
              <w:snapToGrid w:val="0"/>
              <w:rPr>
                <w:snapToGrid w:val="0"/>
                <w:sz w:val="20"/>
                <w:lang w:val="pt-PT"/>
              </w:rPr>
            </w:pPr>
          </w:p>
        </w:tc>
        <w:tc>
          <w:tcPr>
            <w:tcW w:w="1738" w:type="pct"/>
            <w:tcBorders>
              <w:bottom w:val="nil"/>
            </w:tcBorders>
          </w:tcPr>
          <w:p w14:paraId="395D8211"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Oxaliplatina no Dia 1</w:t>
            </w:r>
          </w:p>
          <w:p w14:paraId="53539EF7" w14:textId="77777777" w:rsidR="00162CE2" w:rsidRPr="002606DB" w:rsidRDefault="00162CE2" w:rsidP="00914003">
            <w:pPr>
              <w:pStyle w:val="TableParagraph"/>
              <w:keepNext/>
              <w:keepLines/>
              <w:adjustRightInd w:val="0"/>
              <w:snapToGrid w:val="0"/>
              <w:rPr>
                <w:snapToGrid w:val="0"/>
                <w:sz w:val="20"/>
                <w:lang w:val="pt-PT"/>
              </w:rPr>
            </w:pPr>
          </w:p>
        </w:tc>
      </w:tr>
      <w:tr w:rsidR="00162CE2" w:rsidRPr="00730741" w14:paraId="347F3A42" w14:textId="77777777" w:rsidTr="00A03389">
        <w:trPr>
          <w:cantSplit/>
        </w:trPr>
        <w:tc>
          <w:tcPr>
            <w:tcW w:w="885" w:type="pct"/>
            <w:vMerge/>
            <w:vAlign w:val="center"/>
          </w:tcPr>
          <w:p w14:paraId="6EC2598B"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065" w:type="pct"/>
            <w:tcBorders>
              <w:top w:val="nil"/>
            </w:tcBorders>
          </w:tcPr>
          <w:p w14:paraId="30F218D7"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Capecitabina</w:t>
            </w:r>
          </w:p>
        </w:tc>
        <w:tc>
          <w:tcPr>
            <w:tcW w:w="1311" w:type="pct"/>
            <w:tcBorders>
              <w:top w:val="nil"/>
            </w:tcBorders>
          </w:tcPr>
          <w:p w14:paraId="52AFC6F2" w14:textId="7904034E"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1000 mg/m</w:t>
            </w:r>
            <w:r w:rsidRPr="002606DB">
              <w:rPr>
                <w:snapToGrid w:val="0"/>
                <w:sz w:val="20"/>
                <w:vertAlign w:val="superscript"/>
                <w:lang w:val="pt-PT"/>
              </w:rPr>
              <w:t>2</w:t>
            </w:r>
            <w:r w:rsidRPr="002606DB">
              <w:rPr>
                <w:snapToGrid w:val="0"/>
                <w:sz w:val="20"/>
                <w:lang w:val="pt-PT"/>
              </w:rPr>
              <w:t xml:space="preserve"> oral duas vezes/dia</w:t>
            </w:r>
          </w:p>
        </w:tc>
        <w:tc>
          <w:tcPr>
            <w:tcW w:w="1738" w:type="pct"/>
            <w:tcBorders>
              <w:top w:val="nil"/>
            </w:tcBorders>
          </w:tcPr>
          <w:p w14:paraId="3C701FC2"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Capecitabina oral duas vezes/dia durante 2 semanas (seguido de 1 semana sem tratamento)</w:t>
            </w:r>
          </w:p>
        </w:tc>
      </w:tr>
      <w:tr w:rsidR="00162CE2" w:rsidRPr="00730741" w14:paraId="623A6755" w14:textId="77777777" w:rsidTr="00A03389">
        <w:trPr>
          <w:cantSplit/>
        </w:trPr>
        <w:tc>
          <w:tcPr>
            <w:tcW w:w="885" w:type="pct"/>
            <w:vMerge/>
            <w:vAlign w:val="center"/>
          </w:tcPr>
          <w:p w14:paraId="0FEAB538" w14:textId="77777777" w:rsidR="00162CE2" w:rsidRPr="002606DB" w:rsidRDefault="00162CE2" w:rsidP="00914003">
            <w:pPr>
              <w:pStyle w:val="TableParagraph"/>
              <w:keepNext/>
              <w:keepLines/>
              <w:adjustRightInd w:val="0"/>
              <w:snapToGrid w:val="0"/>
              <w:jc w:val="center"/>
              <w:rPr>
                <w:snapToGrid w:val="0"/>
                <w:sz w:val="20"/>
                <w:lang w:val="pt-PT"/>
              </w:rPr>
            </w:pPr>
          </w:p>
        </w:tc>
        <w:tc>
          <w:tcPr>
            <w:tcW w:w="1065" w:type="pct"/>
          </w:tcPr>
          <w:p w14:paraId="3A36E482" w14:textId="51F06966"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 xml:space="preserve">Placebo ou </w:t>
            </w:r>
            <w:r w:rsidR="009811DB" w:rsidRPr="002606DB">
              <w:rPr>
                <w:color w:val="000000"/>
                <w:sz w:val="20"/>
                <w:szCs w:val="20"/>
                <w:lang w:val="en-GB"/>
              </w:rPr>
              <w:t>b</w:t>
            </w:r>
            <w:r w:rsidR="004B0AC3" w:rsidRPr="002606DB">
              <w:rPr>
                <w:color w:val="000000"/>
                <w:sz w:val="20"/>
                <w:szCs w:val="20"/>
                <w:lang w:val="en-GB"/>
              </w:rPr>
              <w:t>evacizumab</w:t>
            </w:r>
          </w:p>
        </w:tc>
        <w:tc>
          <w:tcPr>
            <w:tcW w:w="1311" w:type="pct"/>
          </w:tcPr>
          <w:p w14:paraId="66E92DC9" w14:textId="4EBA6B55"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 xml:space="preserve">7,5 mg/kg </w:t>
            </w:r>
            <w:r w:rsidR="009811DB" w:rsidRPr="002606DB">
              <w:rPr>
                <w:snapToGrid w:val="0"/>
                <w:sz w:val="20"/>
                <w:lang w:val="pt-PT"/>
              </w:rPr>
              <w:t>intravenosa</w:t>
            </w:r>
            <w:r w:rsidRPr="002606DB">
              <w:rPr>
                <w:snapToGrid w:val="0"/>
                <w:sz w:val="20"/>
                <w:lang w:val="pt-PT"/>
              </w:rPr>
              <w:t xml:space="preserve"> 30-90 min</w:t>
            </w:r>
          </w:p>
        </w:tc>
        <w:tc>
          <w:tcPr>
            <w:tcW w:w="1738" w:type="pct"/>
          </w:tcPr>
          <w:p w14:paraId="1A8E5AB4"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Dia 1, antes de XELOX, de 3 em 3 semanas</w:t>
            </w:r>
          </w:p>
        </w:tc>
      </w:tr>
      <w:tr w:rsidR="00162CE2" w:rsidRPr="002606DB" w14:paraId="5869ACD3" w14:textId="77777777" w:rsidTr="00A03389">
        <w:trPr>
          <w:cantSplit/>
        </w:trPr>
        <w:tc>
          <w:tcPr>
            <w:tcW w:w="5000" w:type="pct"/>
            <w:gridSpan w:val="4"/>
            <w:vAlign w:val="center"/>
          </w:tcPr>
          <w:p w14:paraId="759B0DB4" w14:textId="60B4817B" w:rsidR="00162CE2" w:rsidRPr="002606DB" w:rsidRDefault="00162CE2" w:rsidP="00215B57">
            <w:pPr>
              <w:pStyle w:val="TableParagraph"/>
              <w:adjustRightInd w:val="0"/>
              <w:snapToGrid w:val="0"/>
              <w:rPr>
                <w:snapToGrid w:val="0"/>
                <w:sz w:val="20"/>
                <w:lang w:val="pt-PT"/>
              </w:rPr>
            </w:pPr>
            <w:r w:rsidRPr="002606DB">
              <w:rPr>
                <w:snapToGrid w:val="0"/>
                <w:sz w:val="20"/>
                <w:lang w:val="pt-PT"/>
              </w:rPr>
              <w:t>5</w:t>
            </w:r>
            <w:r w:rsidR="009811DB" w:rsidRPr="002606DB">
              <w:rPr>
                <w:snapToGrid w:val="0"/>
                <w:sz w:val="20"/>
                <w:lang w:val="pt-PT"/>
              </w:rPr>
              <w:noBreakHyphen/>
            </w:r>
            <w:r w:rsidRPr="002606DB">
              <w:rPr>
                <w:snapToGrid w:val="0"/>
                <w:sz w:val="20"/>
                <w:lang w:val="pt-PT"/>
              </w:rPr>
              <w:t>Fluorouracilo:</w:t>
            </w:r>
            <w:r w:rsidRPr="002606DB">
              <w:rPr>
                <w:snapToGrid w:val="0"/>
                <w:sz w:val="20"/>
                <w:lang w:val="pt-PT"/>
              </w:rPr>
              <w:tab/>
              <w:t>Injeção em bólus intravenoso imediatamente após o folinato de cálcio</w:t>
            </w:r>
          </w:p>
        </w:tc>
      </w:tr>
    </w:tbl>
    <w:p w14:paraId="6917ECFF" w14:textId="77777777" w:rsidR="00162CE2" w:rsidRPr="002606DB" w:rsidRDefault="00162CE2" w:rsidP="00056F35">
      <w:pPr>
        <w:pStyle w:val="a3"/>
        <w:adjustRightInd w:val="0"/>
        <w:snapToGrid w:val="0"/>
        <w:rPr>
          <w:b/>
          <w:snapToGrid w:val="0"/>
          <w:lang w:val="pt-PT"/>
        </w:rPr>
      </w:pPr>
    </w:p>
    <w:p w14:paraId="55EBE460" w14:textId="2B2DFDBA" w:rsidR="00162CE2" w:rsidRPr="002606DB" w:rsidRDefault="00162CE2" w:rsidP="00056F35">
      <w:pPr>
        <w:pStyle w:val="a3"/>
        <w:adjustRightInd w:val="0"/>
        <w:snapToGrid w:val="0"/>
        <w:rPr>
          <w:snapToGrid w:val="0"/>
          <w:lang w:val="pt-PT"/>
        </w:rPr>
      </w:pPr>
      <w:r w:rsidRPr="002606DB">
        <w:rPr>
          <w:snapToGrid w:val="0"/>
          <w:lang w:val="pt-PT"/>
        </w:rPr>
        <w:t xml:space="preserve">O parâmetro primário de eficácia do ensaio foi a duração da </w:t>
      </w:r>
      <w:r w:rsidR="004C3061">
        <w:rPr>
          <w:snapToGrid w:val="0"/>
          <w:lang w:val="pt-PT"/>
        </w:rPr>
        <w:t>PFS</w:t>
      </w:r>
      <w:r w:rsidRPr="002606DB">
        <w:rPr>
          <w:snapToGrid w:val="0"/>
          <w:lang w:val="pt-PT"/>
        </w:rPr>
        <w:t>. Neste ensaio houve dois objetivos primários: demonstrar que XELOX não era inferior a FOLFOX</w:t>
      </w:r>
      <w:r w:rsidR="009811DB" w:rsidRPr="002606DB">
        <w:rPr>
          <w:snapToGrid w:val="0"/>
          <w:lang w:val="pt-PT"/>
        </w:rPr>
        <w:noBreakHyphen/>
      </w:r>
      <w:r w:rsidRPr="002606DB">
        <w:rPr>
          <w:snapToGrid w:val="0"/>
          <w:lang w:val="pt-PT"/>
        </w:rPr>
        <w:t xml:space="preserve">4 e demonstrar também que </w:t>
      </w:r>
      <w:r w:rsidRPr="007155C0">
        <w:rPr>
          <w:color w:val="000000"/>
          <w:lang w:val="pt-PT"/>
        </w:rPr>
        <w:t xml:space="preserve">bevacizumab </w:t>
      </w:r>
      <w:r w:rsidRPr="002606DB">
        <w:rPr>
          <w:snapToGrid w:val="0"/>
          <w:lang w:val="pt-PT"/>
        </w:rPr>
        <w:t>em associação com quimioterapia, FOLFOX</w:t>
      </w:r>
      <w:r w:rsidR="009811DB" w:rsidRPr="002606DB">
        <w:rPr>
          <w:snapToGrid w:val="0"/>
          <w:lang w:val="pt-PT"/>
        </w:rPr>
        <w:noBreakHyphen/>
      </w:r>
      <w:r w:rsidRPr="002606DB">
        <w:rPr>
          <w:snapToGrid w:val="0"/>
          <w:lang w:val="pt-PT"/>
        </w:rPr>
        <w:t>4 ou XELOX, era superior à quimioterapia isolada. Ambos os objetivos primários foram atingidos:</w:t>
      </w:r>
    </w:p>
    <w:p w14:paraId="55A52CBC" w14:textId="77777777" w:rsidR="00162CE2" w:rsidRPr="002606DB" w:rsidRDefault="00162CE2" w:rsidP="00056F35">
      <w:pPr>
        <w:pStyle w:val="a3"/>
        <w:adjustRightInd w:val="0"/>
        <w:snapToGrid w:val="0"/>
        <w:rPr>
          <w:snapToGrid w:val="0"/>
          <w:lang w:val="pt-PT"/>
        </w:rPr>
      </w:pPr>
    </w:p>
    <w:p w14:paraId="3CB21DC9" w14:textId="42565F87" w:rsidR="00162CE2" w:rsidRPr="002606DB" w:rsidRDefault="00162CE2" w:rsidP="00FD4365">
      <w:pPr>
        <w:pStyle w:val="a4"/>
        <w:numPr>
          <w:ilvl w:val="0"/>
          <w:numId w:val="13"/>
        </w:numPr>
        <w:adjustRightInd w:val="0"/>
        <w:snapToGrid w:val="0"/>
        <w:ind w:left="567" w:hanging="567"/>
        <w:rPr>
          <w:snapToGrid w:val="0"/>
          <w:lang w:val="pt-PT"/>
        </w:rPr>
      </w:pPr>
      <w:r w:rsidRPr="002606DB">
        <w:rPr>
          <w:snapToGrid w:val="0"/>
          <w:lang w:val="pt-PT"/>
        </w:rPr>
        <w:t xml:space="preserve">Globalmente foi demonstrada não inferioridade nos </w:t>
      </w:r>
      <w:r w:rsidR="00B72472">
        <w:rPr>
          <w:snapToGrid w:val="0"/>
          <w:lang w:val="pt-PT"/>
        </w:rPr>
        <w:t>grupo</w:t>
      </w:r>
      <w:r w:rsidRPr="002606DB">
        <w:rPr>
          <w:snapToGrid w:val="0"/>
          <w:lang w:val="pt-PT"/>
        </w:rPr>
        <w:t xml:space="preserve">s com XELOX comparativamente aos </w:t>
      </w:r>
      <w:r w:rsidR="00B72472">
        <w:rPr>
          <w:snapToGrid w:val="0"/>
          <w:lang w:val="pt-PT"/>
        </w:rPr>
        <w:t>grupo</w:t>
      </w:r>
      <w:r w:rsidRPr="002606DB">
        <w:rPr>
          <w:snapToGrid w:val="0"/>
          <w:lang w:val="pt-PT"/>
        </w:rPr>
        <w:t>s com FOLFOX</w:t>
      </w:r>
      <w:r w:rsidR="009811DB" w:rsidRPr="002606DB">
        <w:rPr>
          <w:snapToGrid w:val="0"/>
          <w:lang w:val="pt-PT"/>
        </w:rPr>
        <w:noBreakHyphen/>
      </w:r>
      <w:r w:rsidRPr="002606DB">
        <w:rPr>
          <w:snapToGrid w:val="0"/>
          <w:lang w:val="pt-PT"/>
        </w:rPr>
        <w:t xml:space="preserve">4, em termos de </w:t>
      </w:r>
      <w:r w:rsidR="004C3061">
        <w:rPr>
          <w:snapToGrid w:val="0"/>
          <w:lang w:val="pt-PT"/>
        </w:rPr>
        <w:t>PFS</w:t>
      </w:r>
      <w:r w:rsidRPr="002606DB">
        <w:rPr>
          <w:snapToGrid w:val="0"/>
          <w:lang w:val="pt-PT"/>
        </w:rPr>
        <w:t xml:space="preserve"> e </w:t>
      </w:r>
      <w:r w:rsidR="004C3061">
        <w:rPr>
          <w:snapToGrid w:val="0"/>
          <w:lang w:val="pt-PT"/>
        </w:rPr>
        <w:t>OS</w:t>
      </w:r>
      <w:r w:rsidRPr="002606DB">
        <w:rPr>
          <w:snapToGrid w:val="0"/>
          <w:lang w:val="pt-PT"/>
        </w:rPr>
        <w:t xml:space="preserve"> na população el</w:t>
      </w:r>
      <w:r w:rsidR="004B0AC3" w:rsidRPr="002606DB">
        <w:rPr>
          <w:snapToGrid w:val="0"/>
          <w:lang w:val="pt-PT"/>
        </w:rPr>
        <w:t>e</w:t>
      </w:r>
      <w:r w:rsidRPr="002606DB">
        <w:rPr>
          <w:snapToGrid w:val="0"/>
          <w:lang w:val="pt-PT"/>
        </w:rPr>
        <w:t>gível de acordo com o protocolo.</w:t>
      </w:r>
    </w:p>
    <w:p w14:paraId="182D7AAB" w14:textId="77777777" w:rsidR="00162CE2" w:rsidRPr="002606DB" w:rsidRDefault="00162CE2" w:rsidP="009A275E">
      <w:pPr>
        <w:pStyle w:val="a3"/>
        <w:adjustRightInd w:val="0"/>
        <w:snapToGrid w:val="0"/>
        <w:ind w:left="567" w:hanging="567"/>
        <w:rPr>
          <w:snapToGrid w:val="0"/>
          <w:lang w:val="pt-PT"/>
        </w:rPr>
      </w:pPr>
    </w:p>
    <w:p w14:paraId="23C7B303" w14:textId="1C8B6ED7" w:rsidR="00162CE2" w:rsidRPr="002606DB" w:rsidRDefault="00162CE2" w:rsidP="00FD4365">
      <w:pPr>
        <w:pStyle w:val="a4"/>
        <w:numPr>
          <w:ilvl w:val="0"/>
          <w:numId w:val="13"/>
        </w:numPr>
        <w:adjustRightInd w:val="0"/>
        <w:snapToGrid w:val="0"/>
        <w:ind w:left="567" w:hanging="567"/>
        <w:rPr>
          <w:snapToGrid w:val="0"/>
          <w:lang w:val="pt-PT"/>
        </w:rPr>
      </w:pPr>
      <w:r w:rsidRPr="002606DB">
        <w:rPr>
          <w:snapToGrid w:val="0"/>
          <w:lang w:val="pt-PT"/>
        </w:rPr>
        <w:t xml:space="preserve">A superioridade nos </w:t>
      </w:r>
      <w:r w:rsidR="00B72472">
        <w:rPr>
          <w:snapToGrid w:val="0"/>
          <w:lang w:val="pt-PT"/>
        </w:rPr>
        <w:t>grupo</w:t>
      </w:r>
      <w:r w:rsidRPr="002606DB">
        <w:rPr>
          <w:snapToGrid w:val="0"/>
          <w:lang w:val="pt-PT"/>
        </w:rPr>
        <w:t xml:space="preserve">s contendo </w:t>
      </w:r>
      <w:r w:rsidRPr="007155C0">
        <w:rPr>
          <w:color w:val="000000"/>
          <w:lang w:val="fr-CA"/>
        </w:rPr>
        <w:t xml:space="preserve">bevacizumab </w:t>
      </w:r>
      <w:r w:rsidRPr="002606DB">
        <w:rPr>
          <w:i/>
          <w:snapToGrid w:val="0"/>
          <w:lang w:val="pt-PT"/>
        </w:rPr>
        <w:t xml:space="preserve">versus </w:t>
      </w:r>
      <w:r w:rsidRPr="002606DB">
        <w:rPr>
          <w:snapToGrid w:val="0"/>
          <w:lang w:val="pt-PT"/>
        </w:rPr>
        <w:t xml:space="preserve">os </w:t>
      </w:r>
      <w:r w:rsidR="00B72472">
        <w:rPr>
          <w:snapToGrid w:val="0"/>
          <w:lang w:val="pt-PT"/>
        </w:rPr>
        <w:t>grupo</w:t>
      </w:r>
      <w:r w:rsidRPr="002606DB">
        <w:rPr>
          <w:snapToGrid w:val="0"/>
          <w:lang w:val="pt-PT"/>
        </w:rPr>
        <w:t xml:space="preserve">s apenas com quimioterapia foi demonstrada na comparação global em termos de </w:t>
      </w:r>
      <w:r w:rsidR="004C3061">
        <w:rPr>
          <w:snapToGrid w:val="0"/>
          <w:lang w:val="pt-PT"/>
        </w:rPr>
        <w:t>PFS</w:t>
      </w:r>
      <w:r w:rsidR="008C729E">
        <w:rPr>
          <w:snapToGrid w:val="0"/>
          <w:lang w:val="pt-PT"/>
        </w:rPr>
        <w:t xml:space="preserve"> </w:t>
      </w:r>
      <w:r w:rsidRPr="002606DB">
        <w:rPr>
          <w:snapToGrid w:val="0"/>
          <w:lang w:val="pt-PT"/>
        </w:rPr>
        <w:t>na população ITT (Tabela 7).</w:t>
      </w:r>
    </w:p>
    <w:p w14:paraId="3F2B391B" w14:textId="77777777" w:rsidR="00162CE2" w:rsidRPr="002606DB" w:rsidRDefault="00162CE2" w:rsidP="00056F35">
      <w:pPr>
        <w:pStyle w:val="a3"/>
        <w:adjustRightInd w:val="0"/>
        <w:snapToGrid w:val="0"/>
        <w:rPr>
          <w:snapToGrid w:val="0"/>
          <w:lang w:val="pt-PT"/>
        </w:rPr>
      </w:pPr>
    </w:p>
    <w:p w14:paraId="783A916E" w14:textId="55AEAA6D" w:rsidR="00162CE2" w:rsidRPr="002606DB" w:rsidRDefault="00162CE2" w:rsidP="00056F35">
      <w:pPr>
        <w:pStyle w:val="a3"/>
        <w:adjustRightInd w:val="0"/>
        <w:snapToGrid w:val="0"/>
        <w:rPr>
          <w:snapToGrid w:val="0"/>
          <w:lang w:val="pt-PT"/>
        </w:rPr>
      </w:pPr>
      <w:r w:rsidRPr="002606DB">
        <w:rPr>
          <w:snapToGrid w:val="0"/>
          <w:lang w:val="pt-PT"/>
        </w:rPr>
        <w:t xml:space="preserve">A análise secundária da sobrevivência livre de progressão (PFS), baseadas nas avaliações de resposta durante o tratamento, confirmou o benefício clínico significativamente superior nos doentes tratados com </w:t>
      </w:r>
      <w:r w:rsidRPr="007155C0">
        <w:rPr>
          <w:color w:val="000000"/>
          <w:lang w:val="pt-PT"/>
        </w:rPr>
        <w:t xml:space="preserve">bevacizumab </w:t>
      </w:r>
      <w:r w:rsidRPr="002606DB">
        <w:rPr>
          <w:snapToGrid w:val="0"/>
          <w:lang w:val="pt-PT"/>
        </w:rPr>
        <w:t>(análise demonstrada na Tabela 7), consistente com o benefício estatisticamente significativo observado no grupo de análises efetuadas.</w:t>
      </w:r>
    </w:p>
    <w:p w14:paraId="79EA13E1" w14:textId="77777777" w:rsidR="00162CE2" w:rsidRPr="002606DB" w:rsidRDefault="00162CE2" w:rsidP="00056F35">
      <w:pPr>
        <w:adjustRightInd w:val="0"/>
        <w:snapToGrid w:val="0"/>
        <w:rPr>
          <w:snapToGrid w:val="0"/>
          <w:lang w:val="pt-PT"/>
        </w:rPr>
      </w:pPr>
    </w:p>
    <w:p w14:paraId="2409A6BC"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7</w:t>
      </w:r>
      <w:r w:rsidRPr="00730741">
        <w:rPr>
          <w:b/>
          <w:bCs/>
          <w:snapToGrid w:val="0"/>
          <w:lang w:val="pt-PT"/>
        </w:rPr>
        <w:tab/>
        <w:t>Principais resultados de eficácia na análise de superioridade (população ITT, ensaio NO16966)</w:t>
      </w:r>
    </w:p>
    <w:p w14:paraId="214E47DA"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2226"/>
        <w:gridCol w:w="2198"/>
        <w:gridCol w:w="1113"/>
      </w:tblGrid>
      <w:tr w:rsidR="00162CE2" w:rsidRPr="002606DB" w14:paraId="57CED9A1" w14:textId="77777777" w:rsidTr="00FD4365">
        <w:trPr>
          <w:cantSplit/>
          <w:tblHeader/>
        </w:trPr>
        <w:tc>
          <w:tcPr>
            <w:tcW w:w="3622" w:type="dxa"/>
          </w:tcPr>
          <w:p w14:paraId="53272998" w14:textId="77777777" w:rsidR="00162CE2" w:rsidRPr="002606DB" w:rsidRDefault="00162CE2" w:rsidP="00056F35">
            <w:pPr>
              <w:pStyle w:val="TableParagraph"/>
              <w:adjustRightInd w:val="0"/>
              <w:snapToGrid w:val="0"/>
              <w:rPr>
                <w:b/>
                <w:bCs/>
                <w:snapToGrid w:val="0"/>
                <w:sz w:val="20"/>
                <w:lang w:val="pt-PT"/>
              </w:rPr>
            </w:pPr>
            <w:r w:rsidRPr="002606DB">
              <w:rPr>
                <w:b/>
                <w:bCs/>
                <w:snapToGrid w:val="0"/>
                <w:sz w:val="20"/>
                <w:lang w:val="pt-PT"/>
              </w:rPr>
              <w:t>Objetivo (meses)</w:t>
            </w:r>
          </w:p>
        </w:tc>
        <w:tc>
          <w:tcPr>
            <w:tcW w:w="2283" w:type="dxa"/>
          </w:tcPr>
          <w:p w14:paraId="20739D4A" w14:textId="28CCFB68" w:rsidR="00162CE2" w:rsidRPr="002606DB" w:rsidRDefault="00162CE2" w:rsidP="009A275E">
            <w:pPr>
              <w:pStyle w:val="TableParagraph"/>
              <w:adjustRightInd w:val="0"/>
              <w:snapToGrid w:val="0"/>
              <w:jc w:val="center"/>
              <w:rPr>
                <w:b/>
                <w:bCs/>
                <w:snapToGrid w:val="0"/>
                <w:sz w:val="20"/>
                <w:lang w:val="pt-PT"/>
              </w:rPr>
            </w:pPr>
            <w:r w:rsidRPr="002606DB">
              <w:rPr>
                <w:b/>
                <w:bCs/>
                <w:snapToGrid w:val="0"/>
                <w:sz w:val="20"/>
                <w:lang w:val="pt-PT"/>
              </w:rPr>
              <w:t>FOLFOX</w:t>
            </w:r>
            <w:r w:rsidR="009811DB" w:rsidRPr="002606DB">
              <w:rPr>
                <w:b/>
                <w:bCs/>
                <w:snapToGrid w:val="0"/>
                <w:sz w:val="20"/>
                <w:lang w:val="pt-PT"/>
              </w:rPr>
              <w:noBreakHyphen/>
            </w:r>
            <w:r w:rsidRPr="002606DB">
              <w:rPr>
                <w:b/>
                <w:bCs/>
                <w:snapToGrid w:val="0"/>
                <w:sz w:val="20"/>
                <w:lang w:val="pt-PT"/>
              </w:rPr>
              <w:t>4 ou XELOX</w:t>
            </w:r>
          </w:p>
          <w:p w14:paraId="0E65D709" w14:textId="77777777" w:rsidR="00162CE2" w:rsidRPr="002606DB" w:rsidRDefault="00162CE2" w:rsidP="009A275E">
            <w:pPr>
              <w:pStyle w:val="TableParagraph"/>
              <w:adjustRightInd w:val="0"/>
              <w:snapToGrid w:val="0"/>
              <w:jc w:val="center"/>
              <w:rPr>
                <w:b/>
                <w:bCs/>
                <w:snapToGrid w:val="0"/>
                <w:sz w:val="20"/>
                <w:lang w:val="pt-PT"/>
              </w:rPr>
            </w:pPr>
            <w:r w:rsidRPr="002606DB">
              <w:rPr>
                <w:b/>
                <w:bCs/>
                <w:snapToGrid w:val="0"/>
                <w:sz w:val="20"/>
                <w:lang w:val="pt-PT"/>
              </w:rPr>
              <w:t>+ placebo (n = 701)</w:t>
            </w:r>
          </w:p>
        </w:tc>
        <w:tc>
          <w:tcPr>
            <w:tcW w:w="2254" w:type="dxa"/>
          </w:tcPr>
          <w:p w14:paraId="73F71BC1" w14:textId="5AD5819F" w:rsidR="00162CE2" w:rsidRPr="002606DB" w:rsidRDefault="00162CE2" w:rsidP="009A275E">
            <w:pPr>
              <w:pStyle w:val="TableParagraph"/>
              <w:adjustRightInd w:val="0"/>
              <w:snapToGrid w:val="0"/>
              <w:jc w:val="center"/>
              <w:rPr>
                <w:b/>
                <w:bCs/>
                <w:snapToGrid w:val="0"/>
                <w:sz w:val="20"/>
                <w:lang w:val="pt-PT"/>
              </w:rPr>
            </w:pPr>
            <w:r w:rsidRPr="002606DB">
              <w:rPr>
                <w:b/>
                <w:bCs/>
                <w:snapToGrid w:val="0"/>
                <w:sz w:val="20"/>
                <w:lang w:val="pt-PT"/>
              </w:rPr>
              <w:t>FOLFOX</w:t>
            </w:r>
            <w:r w:rsidR="009811DB" w:rsidRPr="002606DB">
              <w:rPr>
                <w:b/>
                <w:bCs/>
                <w:snapToGrid w:val="0"/>
                <w:sz w:val="20"/>
                <w:lang w:val="pt-PT"/>
              </w:rPr>
              <w:noBreakHyphen/>
            </w:r>
            <w:r w:rsidRPr="002606DB">
              <w:rPr>
                <w:b/>
                <w:bCs/>
                <w:snapToGrid w:val="0"/>
                <w:sz w:val="20"/>
                <w:lang w:val="pt-PT"/>
              </w:rPr>
              <w:t>4 ou XELOX</w:t>
            </w:r>
          </w:p>
          <w:p w14:paraId="69F0B0C0" w14:textId="3B791477" w:rsidR="00162CE2" w:rsidRPr="002606DB" w:rsidRDefault="00162CE2" w:rsidP="009A275E">
            <w:pPr>
              <w:pStyle w:val="TableParagraph"/>
              <w:adjustRightInd w:val="0"/>
              <w:snapToGrid w:val="0"/>
              <w:jc w:val="center"/>
              <w:rPr>
                <w:b/>
                <w:bCs/>
                <w:snapToGrid w:val="0"/>
                <w:sz w:val="20"/>
                <w:lang w:val="pt-PT"/>
              </w:rPr>
            </w:pPr>
            <w:r w:rsidRPr="002606DB">
              <w:rPr>
                <w:b/>
                <w:bCs/>
                <w:snapToGrid w:val="0"/>
                <w:sz w:val="20"/>
                <w:lang w:val="pt-PT"/>
              </w:rPr>
              <w:t xml:space="preserve">+ bevacizumab </w:t>
            </w:r>
            <w:r w:rsidR="009228C4" w:rsidRPr="002606DB">
              <w:rPr>
                <w:b/>
                <w:bCs/>
                <w:snapToGrid w:val="0"/>
                <w:sz w:val="20"/>
                <w:lang w:val="pt-PT"/>
              </w:rPr>
              <w:br/>
            </w:r>
            <w:r w:rsidRPr="002606DB">
              <w:rPr>
                <w:b/>
                <w:bCs/>
                <w:snapToGrid w:val="0"/>
                <w:sz w:val="20"/>
                <w:lang w:val="pt-PT"/>
              </w:rPr>
              <w:t>(n = 699)</w:t>
            </w:r>
          </w:p>
        </w:tc>
        <w:tc>
          <w:tcPr>
            <w:tcW w:w="1133" w:type="dxa"/>
          </w:tcPr>
          <w:p w14:paraId="51B9967B" w14:textId="77777777" w:rsidR="00162CE2" w:rsidRPr="002606DB" w:rsidRDefault="00162CE2" w:rsidP="009A275E">
            <w:pPr>
              <w:pStyle w:val="TableParagraph"/>
              <w:adjustRightInd w:val="0"/>
              <w:snapToGrid w:val="0"/>
              <w:jc w:val="center"/>
              <w:rPr>
                <w:b/>
                <w:bCs/>
                <w:snapToGrid w:val="0"/>
                <w:sz w:val="20"/>
                <w:lang w:val="pt-PT"/>
              </w:rPr>
            </w:pPr>
            <w:r w:rsidRPr="002606DB">
              <w:rPr>
                <w:b/>
                <w:bCs/>
                <w:snapToGrid w:val="0"/>
                <w:sz w:val="20"/>
                <w:lang w:val="pt-PT"/>
              </w:rPr>
              <w:t>Valor de p</w:t>
            </w:r>
          </w:p>
        </w:tc>
      </w:tr>
      <w:tr w:rsidR="00162CE2" w:rsidRPr="002606DB" w14:paraId="03DCD435" w14:textId="77777777" w:rsidTr="009A275E">
        <w:trPr>
          <w:cantSplit/>
        </w:trPr>
        <w:tc>
          <w:tcPr>
            <w:tcW w:w="9297" w:type="dxa"/>
            <w:gridSpan w:val="4"/>
            <w:vAlign w:val="center"/>
          </w:tcPr>
          <w:p w14:paraId="357FD360" w14:textId="77777777" w:rsidR="00162CE2" w:rsidRPr="002606DB" w:rsidRDefault="00162CE2" w:rsidP="009A275E">
            <w:pPr>
              <w:pStyle w:val="TableParagraph"/>
              <w:adjustRightInd w:val="0"/>
              <w:snapToGrid w:val="0"/>
              <w:rPr>
                <w:snapToGrid w:val="0"/>
                <w:sz w:val="20"/>
                <w:lang w:val="pt-PT"/>
              </w:rPr>
            </w:pPr>
            <w:r w:rsidRPr="002606DB">
              <w:rPr>
                <w:snapToGrid w:val="0"/>
                <w:sz w:val="20"/>
                <w:lang w:val="pt-PT"/>
              </w:rPr>
              <w:t>Objetivo primário</w:t>
            </w:r>
          </w:p>
        </w:tc>
      </w:tr>
      <w:tr w:rsidR="00162CE2" w:rsidRPr="002606DB" w14:paraId="5AC70FCA" w14:textId="77777777" w:rsidTr="009A275E">
        <w:trPr>
          <w:cantSplit/>
        </w:trPr>
        <w:tc>
          <w:tcPr>
            <w:tcW w:w="3622" w:type="dxa"/>
          </w:tcPr>
          <w:p w14:paraId="49C5AFEC" w14:textId="77777777" w:rsidR="00162CE2" w:rsidRPr="002606DB" w:rsidRDefault="00162CE2" w:rsidP="00FD4365">
            <w:pPr>
              <w:pStyle w:val="TableParagraph"/>
              <w:adjustRightInd w:val="0"/>
              <w:snapToGrid w:val="0"/>
              <w:rPr>
                <w:snapToGrid w:val="0"/>
                <w:sz w:val="20"/>
                <w:lang w:val="pt-PT"/>
              </w:rPr>
            </w:pPr>
            <w:r w:rsidRPr="002606DB">
              <w:rPr>
                <w:snapToGrid w:val="0"/>
                <w:sz w:val="20"/>
                <w:lang w:val="pt-PT"/>
              </w:rPr>
              <w:t>PFS mediana**</w:t>
            </w:r>
          </w:p>
        </w:tc>
        <w:tc>
          <w:tcPr>
            <w:tcW w:w="2283" w:type="dxa"/>
            <w:vAlign w:val="center"/>
          </w:tcPr>
          <w:p w14:paraId="3FFAD331"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8,0</w:t>
            </w:r>
          </w:p>
        </w:tc>
        <w:tc>
          <w:tcPr>
            <w:tcW w:w="2254" w:type="dxa"/>
            <w:vAlign w:val="center"/>
          </w:tcPr>
          <w:p w14:paraId="1484CC34"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9,4</w:t>
            </w:r>
          </w:p>
        </w:tc>
        <w:tc>
          <w:tcPr>
            <w:tcW w:w="1133" w:type="dxa"/>
            <w:vAlign w:val="center"/>
          </w:tcPr>
          <w:p w14:paraId="459AB2B8"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0,0023</w:t>
            </w:r>
          </w:p>
        </w:tc>
      </w:tr>
      <w:tr w:rsidR="00162CE2" w:rsidRPr="002606DB" w14:paraId="0A90D6A0" w14:textId="77777777" w:rsidTr="009A275E">
        <w:trPr>
          <w:cantSplit/>
        </w:trPr>
        <w:tc>
          <w:tcPr>
            <w:tcW w:w="3622" w:type="dxa"/>
          </w:tcPr>
          <w:p w14:paraId="21B59525" w14:textId="4BDA9D7B" w:rsidR="00162CE2" w:rsidRPr="002606DB" w:rsidRDefault="00162CE2" w:rsidP="00FD436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97,5%)</w:t>
            </w:r>
            <w:r w:rsidRPr="002606DB">
              <w:rPr>
                <w:snapToGrid w:val="0"/>
                <w:sz w:val="20"/>
                <w:vertAlign w:val="superscript"/>
                <w:lang w:val="pt-PT"/>
              </w:rPr>
              <w:t>a</w:t>
            </w:r>
          </w:p>
        </w:tc>
        <w:tc>
          <w:tcPr>
            <w:tcW w:w="4537" w:type="dxa"/>
            <w:gridSpan w:val="2"/>
            <w:vAlign w:val="center"/>
          </w:tcPr>
          <w:p w14:paraId="4E278156"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0,83 (0,72 - 0,95)</w:t>
            </w:r>
          </w:p>
        </w:tc>
        <w:tc>
          <w:tcPr>
            <w:tcW w:w="1133" w:type="dxa"/>
            <w:vAlign w:val="center"/>
          </w:tcPr>
          <w:p w14:paraId="5C99925D" w14:textId="77777777" w:rsidR="00162CE2" w:rsidRPr="002606DB" w:rsidRDefault="00162CE2" w:rsidP="009A275E">
            <w:pPr>
              <w:pStyle w:val="TableParagraph"/>
              <w:adjustRightInd w:val="0"/>
              <w:snapToGrid w:val="0"/>
              <w:jc w:val="center"/>
              <w:rPr>
                <w:snapToGrid w:val="0"/>
                <w:sz w:val="20"/>
                <w:lang w:val="pt-PT"/>
              </w:rPr>
            </w:pPr>
          </w:p>
        </w:tc>
      </w:tr>
      <w:tr w:rsidR="00162CE2" w:rsidRPr="002606DB" w14:paraId="4D286120" w14:textId="77777777" w:rsidTr="009A275E">
        <w:trPr>
          <w:cantSplit/>
        </w:trPr>
        <w:tc>
          <w:tcPr>
            <w:tcW w:w="9297" w:type="dxa"/>
            <w:gridSpan w:val="4"/>
            <w:vAlign w:val="center"/>
          </w:tcPr>
          <w:p w14:paraId="71866D9F" w14:textId="77777777" w:rsidR="00162CE2" w:rsidRPr="002606DB" w:rsidRDefault="00162CE2" w:rsidP="009A275E">
            <w:pPr>
              <w:pStyle w:val="TableParagraph"/>
              <w:adjustRightInd w:val="0"/>
              <w:snapToGrid w:val="0"/>
              <w:rPr>
                <w:snapToGrid w:val="0"/>
                <w:sz w:val="20"/>
                <w:lang w:val="pt-PT"/>
              </w:rPr>
            </w:pPr>
            <w:r w:rsidRPr="002606DB">
              <w:rPr>
                <w:snapToGrid w:val="0"/>
                <w:sz w:val="20"/>
                <w:lang w:val="pt-PT"/>
              </w:rPr>
              <w:t>Objetivos secundários</w:t>
            </w:r>
          </w:p>
        </w:tc>
      </w:tr>
      <w:tr w:rsidR="00162CE2" w:rsidRPr="002606DB" w14:paraId="1A33C5D4" w14:textId="77777777" w:rsidTr="009A275E">
        <w:trPr>
          <w:cantSplit/>
        </w:trPr>
        <w:tc>
          <w:tcPr>
            <w:tcW w:w="3622" w:type="dxa"/>
          </w:tcPr>
          <w:p w14:paraId="2122E5EA" w14:textId="77777777" w:rsidR="00162CE2" w:rsidRPr="002606DB" w:rsidRDefault="00162CE2" w:rsidP="00FD4365">
            <w:pPr>
              <w:pStyle w:val="TableParagraph"/>
              <w:adjustRightInd w:val="0"/>
              <w:snapToGrid w:val="0"/>
              <w:rPr>
                <w:snapToGrid w:val="0"/>
                <w:sz w:val="20"/>
                <w:lang w:val="pt-PT"/>
              </w:rPr>
            </w:pPr>
            <w:r w:rsidRPr="002606DB">
              <w:rPr>
                <w:snapToGrid w:val="0"/>
                <w:sz w:val="20"/>
                <w:lang w:val="pt-PT"/>
              </w:rPr>
              <w:t>PFS mediana (em tratamento)**</w:t>
            </w:r>
          </w:p>
        </w:tc>
        <w:tc>
          <w:tcPr>
            <w:tcW w:w="2283" w:type="dxa"/>
            <w:vAlign w:val="center"/>
          </w:tcPr>
          <w:p w14:paraId="52DAFAF4"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7,9</w:t>
            </w:r>
          </w:p>
        </w:tc>
        <w:tc>
          <w:tcPr>
            <w:tcW w:w="2254" w:type="dxa"/>
            <w:vAlign w:val="center"/>
          </w:tcPr>
          <w:p w14:paraId="35DA3E47"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10,4</w:t>
            </w:r>
          </w:p>
        </w:tc>
        <w:tc>
          <w:tcPr>
            <w:tcW w:w="1133" w:type="dxa"/>
            <w:vAlign w:val="center"/>
          </w:tcPr>
          <w:p w14:paraId="10940941"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&lt; 0,0001</w:t>
            </w:r>
          </w:p>
        </w:tc>
      </w:tr>
      <w:tr w:rsidR="00162CE2" w:rsidRPr="002606DB" w14:paraId="391FE3F7" w14:textId="77777777" w:rsidTr="009A275E">
        <w:trPr>
          <w:cantSplit/>
        </w:trPr>
        <w:tc>
          <w:tcPr>
            <w:tcW w:w="3622" w:type="dxa"/>
          </w:tcPr>
          <w:p w14:paraId="4F3906DE" w14:textId="77777777" w:rsidR="00162CE2" w:rsidRPr="002606DB" w:rsidRDefault="00162CE2" w:rsidP="00FD436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97,5%)</w:t>
            </w:r>
          </w:p>
        </w:tc>
        <w:tc>
          <w:tcPr>
            <w:tcW w:w="4537" w:type="dxa"/>
            <w:gridSpan w:val="2"/>
            <w:vAlign w:val="center"/>
          </w:tcPr>
          <w:p w14:paraId="59C95CF8"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0,63 (0,52 - 0,75)</w:t>
            </w:r>
          </w:p>
        </w:tc>
        <w:tc>
          <w:tcPr>
            <w:tcW w:w="1133" w:type="dxa"/>
            <w:vAlign w:val="center"/>
          </w:tcPr>
          <w:p w14:paraId="1D008CA2" w14:textId="77777777" w:rsidR="00162CE2" w:rsidRPr="002606DB" w:rsidRDefault="00162CE2" w:rsidP="009A275E">
            <w:pPr>
              <w:pStyle w:val="TableParagraph"/>
              <w:adjustRightInd w:val="0"/>
              <w:snapToGrid w:val="0"/>
              <w:jc w:val="center"/>
              <w:rPr>
                <w:snapToGrid w:val="0"/>
                <w:sz w:val="20"/>
                <w:lang w:val="pt-PT"/>
              </w:rPr>
            </w:pPr>
          </w:p>
        </w:tc>
      </w:tr>
      <w:tr w:rsidR="00162CE2" w:rsidRPr="002606DB" w14:paraId="1B06A1BF" w14:textId="77777777" w:rsidTr="009228C4">
        <w:trPr>
          <w:cantSplit/>
        </w:trPr>
        <w:tc>
          <w:tcPr>
            <w:tcW w:w="3622" w:type="dxa"/>
          </w:tcPr>
          <w:p w14:paraId="17794EA7" w14:textId="77777777" w:rsidR="00162CE2" w:rsidRPr="002606DB" w:rsidRDefault="00162CE2" w:rsidP="00FD4365">
            <w:pPr>
              <w:pStyle w:val="TableParagraph"/>
              <w:adjustRightInd w:val="0"/>
              <w:snapToGrid w:val="0"/>
              <w:rPr>
                <w:snapToGrid w:val="0"/>
                <w:sz w:val="20"/>
                <w:lang w:val="pt-PT"/>
              </w:rPr>
            </w:pPr>
            <w:r w:rsidRPr="002606DB">
              <w:rPr>
                <w:snapToGrid w:val="0"/>
                <w:sz w:val="20"/>
                <w:lang w:val="pt-PT"/>
              </w:rPr>
              <w:t>Taxa de resposta global (avaliação do invest.)**</w:t>
            </w:r>
          </w:p>
        </w:tc>
        <w:tc>
          <w:tcPr>
            <w:tcW w:w="2283" w:type="dxa"/>
          </w:tcPr>
          <w:p w14:paraId="23CB20EE"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49,2 %</w:t>
            </w:r>
          </w:p>
        </w:tc>
        <w:tc>
          <w:tcPr>
            <w:tcW w:w="2254" w:type="dxa"/>
          </w:tcPr>
          <w:p w14:paraId="42BB1025"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46,5 %</w:t>
            </w:r>
          </w:p>
        </w:tc>
        <w:tc>
          <w:tcPr>
            <w:tcW w:w="1133" w:type="dxa"/>
          </w:tcPr>
          <w:p w14:paraId="1D673270" w14:textId="77777777" w:rsidR="00162CE2" w:rsidRPr="002606DB" w:rsidRDefault="00162CE2" w:rsidP="009A275E">
            <w:pPr>
              <w:pStyle w:val="TableParagraph"/>
              <w:adjustRightInd w:val="0"/>
              <w:snapToGrid w:val="0"/>
              <w:jc w:val="center"/>
              <w:rPr>
                <w:snapToGrid w:val="0"/>
                <w:sz w:val="20"/>
                <w:lang w:val="pt-PT"/>
              </w:rPr>
            </w:pPr>
          </w:p>
        </w:tc>
      </w:tr>
      <w:tr w:rsidR="00162CE2" w:rsidRPr="002606DB" w14:paraId="2F853669" w14:textId="77777777" w:rsidTr="009A275E">
        <w:trPr>
          <w:cantSplit/>
        </w:trPr>
        <w:tc>
          <w:tcPr>
            <w:tcW w:w="3622" w:type="dxa"/>
          </w:tcPr>
          <w:p w14:paraId="6877D28F" w14:textId="77777777" w:rsidR="00162CE2" w:rsidRPr="002606DB" w:rsidRDefault="00162CE2" w:rsidP="00FD4365">
            <w:pPr>
              <w:pStyle w:val="TableParagraph"/>
              <w:adjustRightInd w:val="0"/>
              <w:snapToGrid w:val="0"/>
              <w:rPr>
                <w:snapToGrid w:val="0"/>
                <w:sz w:val="20"/>
                <w:lang w:val="pt-PT"/>
              </w:rPr>
            </w:pPr>
            <w:r w:rsidRPr="002606DB">
              <w:rPr>
                <w:snapToGrid w:val="0"/>
                <w:sz w:val="20"/>
                <w:lang w:val="pt-PT"/>
              </w:rPr>
              <w:t>Sobrevivência global mediana*</w:t>
            </w:r>
          </w:p>
        </w:tc>
        <w:tc>
          <w:tcPr>
            <w:tcW w:w="2283" w:type="dxa"/>
            <w:vAlign w:val="center"/>
          </w:tcPr>
          <w:p w14:paraId="57D59E4D"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19,9</w:t>
            </w:r>
          </w:p>
        </w:tc>
        <w:tc>
          <w:tcPr>
            <w:tcW w:w="2254" w:type="dxa"/>
            <w:vAlign w:val="center"/>
          </w:tcPr>
          <w:p w14:paraId="3926CE75"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21,2</w:t>
            </w:r>
          </w:p>
        </w:tc>
        <w:tc>
          <w:tcPr>
            <w:tcW w:w="1133" w:type="dxa"/>
            <w:vAlign w:val="center"/>
          </w:tcPr>
          <w:p w14:paraId="20CB3A38"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0,0769</w:t>
            </w:r>
          </w:p>
        </w:tc>
      </w:tr>
      <w:tr w:rsidR="00162CE2" w:rsidRPr="002606DB" w14:paraId="2CAC4723" w14:textId="77777777" w:rsidTr="009A275E">
        <w:trPr>
          <w:cantSplit/>
        </w:trPr>
        <w:tc>
          <w:tcPr>
            <w:tcW w:w="3622" w:type="dxa"/>
          </w:tcPr>
          <w:p w14:paraId="2485193C" w14:textId="77777777" w:rsidR="00162CE2" w:rsidRPr="002606DB" w:rsidRDefault="00162CE2" w:rsidP="00FD436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97,5%)</w:t>
            </w:r>
          </w:p>
        </w:tc>
        <w:tc>
          <w:tcPr>
            <w:tcW w:w="4537" w:type="dxa"/>
            <w:gridSpan w:val="2"/>
            <w:vAlign w:val="center"/>
          </w:tcPr>
          <w:p w14:paraId="2125EA64" w14:textId="77777777" w:rsidR="00162CE2" w:rsidRPr="002606DB" w:rsidRDefault="00162CE2" w:rsidP="009A275E">
            <w:pPr>
              <w:pStyle w:val="TableParagraph"/>
              <w:adjustRightInd w:val="0"/>
              <w:snapToGrid w:val="0"/>
              <w:jc w:val="center"/>
              <w:rPr>
                <w:snapToGrid w:val="0"/>
                <w:sz w:val="20"/>
                <w:lang w:val="pt-PT"/>
              </w:rPr>
            </w:pPr>
            <w:r w:rsidRPr="002606DB">
              <w:rPr>
                <w:snapToGrid w:val="0"/>
                <w:sz w:val="20"/>
                <w:lang w:val="pt-PT"/>
              </w:rPr>
              <w:t>0,89 (0,76 - 1,03)</w:t>
            </w:r>
          </w:p>
        </w:tc>
        <w:tc>
          <w:tcPr>
            <w:tcW w:w="1133" w:type="dxa"/>
            <w:vAlign w:val="center"/>
          </w:tcPr>
          <w:p w14:paraId="469DBEC4" w14:textId="77777777" w:rsidR="00162CE2" w:rsidRPr="002606DB" w:rsidRDefault="00162CE2" w:rsidP="009A275E">
            <w:pPr>
              <w:pStyle w:val="TableParagraph"/>
              <w:adjustRightInd w:val="0"/>
              <w:snapToGrid w:val="0"/>
              <w:jc w:val="center"/>
              <w:rPr>
                <w:snapToGrid w:val="0"/>
                <w:sz w:val="20"/>
                <w:lang w:val="pt-PT"/>
              </w:rPr>
            </w:pPr>
          </w:p>
        </w:tc>
      </w:tr>
    </w:tbl>
    <w:p w14:paraId="6831CCB3" w14:textId="0AA8F472" w:rsidR="00162CE2" w:rsidRPr="002606DB" w:rsidRDefault="00162CE2" w:rsidP="00EC2160">
      <w:pPr>
        <w:pStyle w:val="a4"/>
        <w:adjustRightInd w:val="0"/>
        <w:snapToGrid w:val="0"/>
        <w:ind w:left="0" w:firstLine="0"/>
        <w:rPr>
          <w:snapToGrid w:val="0"/>
          <w:sz w:val="18"/>
          <w:szCs w:val="18"/>
          <w:lang w:val="pt-PT"/>
        </w:rPr>
      </w:pPr>
      <w:r w:rsidRPr="002606DB">
        <w:rPr>
          <w:snapToGrid w:val="0"/>
          <w:sz w:val="18"/>
          <w:szCs w:val="18"/>
          <w:lang w:val="pt-PT"/>
        </w:rPr>
        <w:t xml:space="preserve">* Análise de </w:t>
      </w:r>
      <w:r w:rsidR="004C3061">
        <w:rPr>
          <w:snapToGrid w:val="0"/>
          <w:sz w:val="18"/>
          <w:szCs w:val="18"/>
          <w:lang w:val="pt-PT"/>
        </w:rPr>
        <w:t>OS</w:t>
      </w:r>
      <w:r w:rsidRPr="002606DB">
        <w:rPr>
          <w:snapToGrid w:val="0"/>
          <w:sz w:val="18"/>
          <w:szCs w:val="18"/>
          <w:lang w:val="pt-PT"/>
        </w:rPr>
        <w:t xml:space="preserve"> ao </w:t>
      </w:r>
      <w:r w:rsidRPr="002606DB">
        <w:rPr>
          <w:i/>
          <w:snapToGrid w:val="0"/>
          <w:sz w:val="18"/>
          <w:szCs w:val="18"/>
          <w:lang w:val="pt-PT"/>
        </w:rPr>
        <w:t>cut</w:t>
      </w:r>
      <w:r w:rsidR="009811DB"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clínico de 31 janeiro 2007</w:t>
      </w:r>
    </w:p>
    <w:p w14:paraId="5986D7B3" w14:textId="34F54E3C" w:rsidR="00162CE2" w:rsidRPr="002606DB" w:rsidRDefault="00162CE2" w:rsidP="00056F35">
      <w:pPr>
        <w:adjustRightInd w:val="0"/>
        <w:snapToGrid w:val="0"/>
        <w:rPr>
          <w:snapToGrid w:val="0"/>
          <w:sz w:val="18"/>
          <w:szCs w:val="18"/>
          <w:lang w:val="pt-PT"/>
        </w:rPr>
      </w:pPr>
      <w:r w:rsidRPr="002606DB">
        <w:rPr>
          <w:snapToGrid w:val="0"/>
          <w:sz w:val="18"/>
          <w:szCs w:val="18"/>
          <w:lang w:val="pt-PT"/>
        </w:rPr>
        <w:t xml:space="preserve">** Análise primária ao </w:t>
      </w:r>
      <w:r w:rsidRPr="002606DB">
        <w:rPr>
          <w:i/>
          <w:snapToGrid w:val="0"/>
          <w:sz w:val="18"/>
          <w:szCs w:val="18"/>
          <w:lang w:val="pt-PT"/>
        </w:rPr>
        <w:t>cut</w:t>
      </w:r>
      <w:r w:rsidR="009811DB"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clínico de 31 janeiro 2006</w:t>
      </w:r>
    </w:p>
    <w:p w14:paraId="250DE4B7" w14:textId="2C27FFB4"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Relativamente ao </w:t>
      </w:r>
      <w:r w:rsidR="00B72472">
        <w:rPr>
          <w:snapToGrid w:val="0"/>
          <w:sz w:val="18"/>
          <w:szCs w:val="18"/>
          <w:lang w:val="pt-PT"/>
        </w:rPr>
        <w:t>grupo</w:t>
      </w:r>
      <w:r w:rsidRPr="002606DB">
        <w:rPr>
          <w:snapToGrid w:val="0"/>
          <w:sz w:val="18"/>
          <w:szCs w:val="18"/>
          <w:lang w:val="pt-PT"/>
        </w:rPr>
        <w:t xml:space="preserve"> de controlo</w:t>
      </w:r>
    </w:p>
    <w:p w14:paraId="210C0F88" w14:textId="77777777" w:rsidR="00162CE2" w:rsidRPr="002606DB" w:rsidRDefault="00162CE2" w:rsidP="00056F35">
      <w:pPr>
        <w:pStyle w:val="a3"/>
        <w:adjustRightInd w:val="0"/>
        <w:snapToGrid w:val="0"/>
        <w:rPr>
          <w:snapToGrid w:val="0"/>
          <w:lang w:val="pt-PT"/>
        </w:rPr>
      </w:pPr>
    </w:p>
    <w:p w14:paraId="66BCA015" w14:textId="77777777" w:rsidR="00162CE2" w:rsidRPr="002606DB" w:rsidRDefault="00162CE2" w:rsidP="00056F35">
      <w:pPr>
        <w:pStyle w:val="a3"/>
        <w:adjustRightInd w:val="0"/>
        <w:snapToGrid w:val="0"/>
        <w:rPr>
          <w:snapToGrid w:val="0"/>
          <w:lang w:val="pt-PT"/>
        </w:rPr>
      </w:pPr>
      <w:r w:rsidRPr="002606DB">
        <w:rPr>
          <w:snapToGrid w:val="0"/>
          <w:lang w:val="pt-PT"/>
        </w:rPr>
        <w:lastRenderedPageBreak/>
        <w:t xml:space="preserve">No subgrupo de tratamento com FOLFOX, a PFS mediana foi de 8,6 meses nos doentes a receber placebo e de 9,4 meses nos doentes tratados com bevacizumab, </w:t>
      </w:r>
      <w:r w:rsidRPr="002606DB">
        <w:rPr>
          <w:i/>
          <w:snapToGrid w:val="0"/>
          <w:lang w:val="pt-PT"/>
        </w:rPr>
        <w:t xml:space="preserve">Hazard Ratio </w:t>
      </w:r>
      <w:r w:rsidRPr="002606DB">
        <w:rPr>
          <w:snapToGrid w:val="0"/>
          <w:lang w:val="pt-PT"/>
        </w:rPr>
        <w:t>(HR) = 0,89, IC 97,5% = [0,73 ; 1,08]; valor de p = 0,1871; os resultados correspondentes no subgrupo de tratamento com XELOX foram de 7,4 vs. 9,3 meses, HR = 0,77, IC 97,5% = [0,63 ; 0,94]; valor de p = 0,0026.</w:t>
      </w:r>
    </w:p>
    <w:p w14:paraId="6D563100" w14:textId="77777777" w:rsidR="00162CE2" w:rsidRPr="002606DB" w:rsidRDefault="00162CE2" w:rsidP="00056F35">
      <w:pPr>
        <w:pStyle w:val="a3"/>
        <w:adjustRightInd w:val="0"/>
        <w:snapToGrid w:val="0"/>
        <w:rPr>
          <w:snapToGrid w:val="0"/>
          <w:lang w:val="pt-PT"/>
        </w:rPr>
      </w:pPr>
    </w:p>
    <w:p w14:paraId="1EA2B201" w14:textId="0EB67DAD" w:rsidR="00162CE2" w:rsidRPr="002606DB" w:rsidRDefault="00162CE2" w:rsidP="00056F35">
      <w:pPr>
        <w:pStyle w:val="a3"/>
        <w:adjustRightInd w:val="0"/>
        <w:snapToGrid w:val="0"/>
        <w:rPr>
          <w:snapToGrid w:val="0"/>
          <w:lang w:val="pt-PT"/>
        </w:rPr>
      </w:pPr>
      <w:r w:rsidRPr="002606DB">
        <w:rPr>
          <w:snapToGrid w:val="0"/>
          <w:lang w:val="pt-PT"/>
        </w:rPr>
        <w:t xml:space="preserve">No subgrupo de tratamento com FOLFOX, a mediana da </w:t>
      </w:r>
      <w:r w:rsidR="004C3061">
        <w:rPr>
          <w:snapToGrid w:val="0"/>
          <w:lang w:val="pt-PT"/>
        </w:rPr>
        <w:t>OS</w:t>
      </w:r>
      <w:r w:rsidRPr="002606DB">
        <w:rPr>
          <w:snapToGrid w:val="0"/>
          <w:lang w:val="pt-PT"/>
        </w:rPr>
        <w:t xml:space="preserve"> foi de 20,3 meses nos doentes a receber placebo e de 21,2 meses nos doentes tratados com bevacizumab, HR = 0,94, IC 97,5% = [0,75 ; 1,16]; valor de p = 0,4937; os resultados correspondentes no subgrupo de tratamento com XELOX foram de 19,2 vs. 21,4 meses, HR = 0,84, IC 97,5% = [0,68 ; 1,04]; valor de p = 0,0698.</w:t>
      </w:r>
    </w:p>
    <w:p w14:paraId="6293A482" w14:textId="77777777" w:rsidR="00162CE2" w:rsidRPr="002606DB" w:rsidRDefault="00162CE2" w:rsidP="00056F35">
      <w:pPr>
        <w:pStyle w:val="a3"/>
        <w:adjustRightInd w:val="0"/>
        <w:snapToGrid w:val="0"/>
        <w:rPr>
          <w:snapToGrid w:val="0"/>
          <w:lang w:val="pt-PT"/>
        </w:rPr>
      </w:pPr>
    </w:p>
    <w:p w14:paraId="551AE864" w14:textId="77777777" w:rsidR="00162CE2" w:rsidRPr="002606DB" w:rsidRDefault="00162CE2" w:rsidP="00056F35">
      <w:pPr>
        <w:adjustRightInd w:val="0"/>
        <w:snapToGrid w:val="0"/>
        <w:rPr>
          <w:i/>
          <w:snapToGrid w:val="0"/>
          <w:lang w:val="pt-PT"/>
        </w:rPr>
      </w:pPr>
      <w:r w:rsidRPr="002606DB">
        <w:rPr>
          <w:i/>
          <w:snapToGrid w:val="0"/>
          <w:lang w:val="pt-PT"/>
        </w:rPr>
        <w:t>ECOG E3200</w:t>
      </w:r>
    </w:p>
    <w:p w14:paraId="04522404" w14:textId="15896ED1" w:rsidR="00162CE2" w:rsidRPr="002606DB" w:rsidRDefault="00162CE2" w:rsidP="00056F35">
      <w:pPr>
        <w:pStyle w:val="a3"/>
        <w:adjustRightInd w:val="0"/>
        <w:snapToGrid w:val="0"/>
        <w:rPr>
          <w:snapToGrid w:val="0"/>
          <w:lang w:val="pt-PT"/>
        </w:rPr>
      </w:pPr>
      <w:r w:rsidRPr="002606DB">
        <w:rPr>
          <w:snapToGrid w:val="0"/>
          <w:lang w:val="pt-PT"/>
        </w:rPr>
        <w:t xml:space="preserve">Este foi um ensaio de fase III, aleatorizado, controlado por substância ativa, aberto, para investigação de </w:t>
      </w:r>
      <w:r w:rsidRPr="007155C0">
        <w:rPr>
          <w:color w:val="000000"/>
          <w:lang w:val="pt-PT"/>
        </w:rPr>
        <w:t xml:space="preserve">bevacizumab </w:t>
      </w:r>
      <w:r w:rsidRPr="002606DB">
        <w:rPr>
          <w:snapToGrid w:val="0"/>
          <w:lang w:val="pt-PT"/>
        </w:rPr>
        <w:t>10 mg/kg em associação com folinato de cálcio e 5-</w:t>
      </w:r>
      <w:r w:rsidR="009811DB" w:rsidRPr="002606DB">
        <w:rPr>
          <w:snapToGrid w:val="0"/>
          <w:lang w:val="pt-PT"/>
        </w:rPr>
        <w:noBreakHyphen/>
      </w:r>
      <w:r w:rsidRPr="002606DB">
        <w:rPr>
          <w:snapToGrid w:val="0"/>
          <w:lang w:val="pt-PT"/>
        </w:rPr>
        <w:t>fluorouracilo em bólus, seguido de perfusão de 5</w:t>
      </w:r>
      <w:r w:rsidR="009811DB" w:rsidRPr="002606DB">
        <w:rPr>
          <w:snapToGrid w:val="0"/>
          <w:lang w:val="pt-PT"/>
        </w:rPr>
        <w:noBreakHyphen/>
      </w:r>
      <w:r w:rsidRPr="002606DB">
        <w:rPr>
          <w:snapToGrid w:val="0"/>
          <w:lang w:val="pt-PT"/>
        </w:rPr>
        <w:t>fluorouracilo com oxaliplatina por via intravenosa (FOLFOX</w:t>
      </w:r>
      <w:r w:rsidR="009811DB" w:rsidRPr="002606DB">
        <w:rPr>
          <w:snapToGrid w:val="0"/>
          <w:lang w:val="pt-PT"/>
        </w:rPr>
        <w:noBreakHyphen/>
      </w:r>
      <w:r w:rsidRPr="002606DB">
        <w:rPr>
          <w:snapToGrid w:val="0"/>
          <w:lang w:val="pt-PT"/>
        </w:rPr>
        <w:t xml:space="preserve">4), administrado cada 2 semanas em doentes previamente tratados (segunda linha) com cancro do cólon ou do reto avançado. Nos </w:t>
      </w:r>
      <w:r w:rsidR="00B72472">
        <w:rPr>
          <w:snapToGrid w:val="0"/>
          <w:lang w:val="pt-PT"/>
        </w:rPr>
        <w:t>grupo</w:t>
      </w:r>
      <w:r w:rsidRPr="002606DB">
        <w:rPr>
          <w:snapToGrid w:val="0"/>
          <w:lang w:val="pt-PT"/>
        </w:rPr>
        <w:t>s com quimioterapia, o regime de FOLFOX</w:t>
      </w:r>
      <w:r w:rsidR="009811DB" w:rsidRPr="002606DB">
        <w:rPr>
          <w:snapToGrid w:val="0"/>
          <w:lang w:val="pt-PT"/>
        </w:rPr>
        <w:noBreakHyphen/>
      </w:r>
      <w:r w:rsidRPr="002606DB">
        <w:rPr>
          <w:snapToGrid w:val="0"/>
          <w:lang w:val="pt-PT"/>
        </w:rPr>
        <w:t>4 utilizou as mesmas doses e posologia referidas na Tabela 6 para o ensaio NO16966.</w:t>
      </w:r>
    </w:p>
    <w:p w14:paraId="5E3C5F34" w14:textId="77777777" w:rsidR="00162CE2" w:rsidRPr="002606DB" w:rsidRDefault="00162CE2" w:rsidP="00056F35">
      <w:pPr>
        <w:pStyle w:val="a3"/>
        <w:adjustRightInd w:val="0"/>
        <w:snapToGrid w:val="0"/>
        <w:rPr>
          <w:snapToGrid w:val="0"/>
          <w:lang w:val="pt-PT"/>
        </w:rPr>
      </w:pPr>
    </w:p>
    <w:p w14:paraId="760ADA41" w14:textId="7781A978" w:rsidR="00162CE2" w:rsidRPr="002606DB" w:rsidRDefault="00162CE2" w:rsidP="009228C4">
      <w:pPr>
        <w:pStyle w:val="a3"/>
        <w:adjustRightInd w:val="0"/>
        <w:snapToGrid w:val="0"/>
        <w:rPr>
          <w:snapToGrid w:val="0"/>
          <w:lang w:val="pt-PT"/>
        </w:rPr>
      </w:pPr>
      <w:r w:rsidRPr="002606DB">
        <w:rPr>
          <w:snapToGrid w:val="0"/>
          <w:lang w:val="pt-PT"/>
        </w:rPr>
        <w:t xml:space="preserve">O parâmetro primário de eficácia do ensaio foi a </w:t>
      </w:r>
      <w:r w:rsidR="004C3061">
        <w:rPr>
          <w:snapToGrid w:val="0"/>
          <w:lang w:val="pt-PT"/>
        </w:rPr>
        <w:t>OS</w:t>
      </w:r>
      <w:r w:rsidRPr="002606DB">
        <w:rPr>
          <w:snapToGrid w:val="0"/>
          <w:lang w:val="pt-PT"/>
        </w:rPr>
        <w:t>, definida como o tempo desde a aleatorização à morte por qualquer causa. Foram aleatorizados 829 doentes (292 FOLFOX</w:t>
      </w:r>
      <w:r w:rsidR="009811DB" w:rsidRPr="002606DB">
        <w:rPr>
          <w:snapToGrid w:val="0"/>
          <w:lang w:val="pt-PT"/>
        </w:rPr>
        <w:noBreakHyphen/>
      </w:r>
      <w:r w:rsidRPr="002606DB">
        <w:rPr>
          <w:snapToGrid w:val="0"/>
          <w:lang w:val="pt-PT"/>
        </w:rPr>
        <w:t xml:space="preserve">4, 293 </w:t>
      </w:r>
      <w:r w:rsidRPr="002606DB">
        <w:rPr>
          <w:color w:val="000000"/>
          <w:lang w:val="en-GB"/>
        </w:rPr>
        <w:t xml:space="preserve">bevacizumab </w:t>
      </w:r>
      <w:r w:rsidRPr="002606DB">
        <w:rPr>
          <w:snapToGrid w:val="0"/>
          <w:lang w:val="pt-PT"/>
        </w:rPr>
        <w:t>+ FOLFOX</w:t>
      </w:r>
      <w:r w:rsidR="009811DB" w:rsidRPr="002606DB">
        <w:rPr>
          <w:snapToGrid w:val="0"/>
          <w:lang w:val="pt-PT"/>
        </w:rPr>
        <w:noBreakHyphen/>
      </w:r>
      <w:r w:rsidRPr="002606DB">
        <w:rPr>
          <w:snapToGrid w:val="0"/>
          <w:lang w:val="pt-PT"/>
        </w:rPr>
        <w:t xml:space="preserve">4 e 244 para </w:t>
      </w:r>
      <w:r w:rsidRPr="002606DB">
        <w:rPr>
          <w:color w:val="000000"/>
          <w:lang w:val="en-GB"/>
        </w:rPr>
        <w:t xml:space="preserve">bevacizumab </w:t>
      </w:r>
      <w:r w:rsidRPr="002606DB">
        <w:rPr>
          <w:snapToGrid w:val="0"/>
          <w:lang w:val="pt-PT"/>
        </w:rPr>
        <w:t xml:space="preserve">em monoterapia). A adição de </w:t>
      </w:r>
      <w:r w:rsidRPr="007155C0">
        <w:rPr>
          <w:color w:val="000000"/>
          <w:lang w:val="pt-PT"/>
        </w:rPr>
        <w:t xml:space="preserve">bevacizumab </w:t>
      </w:r>
      <w:r w:rsidRPr="002606DB">
        <w:rPr>
          <w:snapToGrid w:val="0"/>
          <w:lang w:val="pt-PT"/>
        </w:rPr>
        <w:t>a FOLFOX</w:t>
      </w:r>
      <w:r w:rsidR="009811DB" w:rsidRPr="002606DB">
        <w:rPr>
          <w:snapToGrid w:val="0"/>
          <w:lang w:val="pt-PT"/>
        </w:rPr>
        <w:noBreakHyphen/>
      </w:r>
      <w:r w:rsidRPr="002606DB">
        <w:rPr>
          <w:snapToGrid w:val="0"/>
          <w:lang w:val="pt-PT"/>
        </w:rPr>
        <w:t>4 resultou num aumento estatisticamente significativo da sobrevivência. Observaram-se também</w:t>
      </w:r>
      <w:r w:rsidR="009228C4" w:rsidRPr="002606DB">
        <w:rPr>
          <w:snapToGrid w:val="0"/>
          <w:lang w:val="pt-PT"/>
        </w:rPr>
        <w:t xml:space="preserve"> </w:t>
      </w:r>
      <w:r w:rsidRPr="002606DB">
        <w:rPr>
          <w:snapToGrid w:val="0"/>
          <w:lang w:val="pt-PT"/>
        </w:rPr>
        <w:t xml:space="preserve">melhorias estatisticamente significativas na </w:t>
      </w:r>
      <w:r w:rsidR="004C3061">
        <w:rPr>
          <w:snapToGrid w:val="0"/>
          <w:lang w:val="pt-PT"/>
        </w:rPr>
        <w:t>PFS</w:t>
      </w:r>
      <w:r w:rsidRPr="002606DB">
        <w:rPr>
          <w:snapToGrid w:val="0"/>
          <w:lang w:val="pt-PT"/>
        </w:rPr>
        <w:t xml:space="preserve"> e na taxa de resposta objetiva (ver Tabela 8).</w:t>
      </w:r>
    </w:p>
    <w:p w14:paraId="1963DB96" w14:textId="77777777" w:rsidR="00162CE2" w:rsidRPr="002606DB" w:rsidRDefault="00162CE2" w:rsidP="00056F35">
      <w:pPr>
        <w:pStyle w:val="a3"/>
        <w:adjustRightInd w:val="0"/>
        <w:snapToGrid w:val="0"/>
        <w:rPr>
          <w:snapToGrid w:val="0"/>
          <w:lang w:val="pt-PT"/>
        </w:rPr>
      </w:pPr>
    </w:p>
    <w:p w14:paraId="26EBD998"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8</w:t>
      </w:r>
      <w:r w:rsidRPr="00730741">
        <w:rPr>
          <w:b/>
          <w:bCs/>
          <w:snapToGrid w:val="0"/>
          <w:lang w:val="pt-PT"/>
        </w:rPr>
        <w:tab/>
        <w:t>Resultados de eficácia obtidos no ensaio E3200</w:t>
      </w:r>
    </w:p>
    <w:p w14:paraId="4107565D"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3"/>
        <w:gridCol w:w="2579"/>
        <w:gridCol w:w="2558"/>
      </w:tblGrid>
      <w:tr w:rsidR="00162CE2" w:rsidRPr="002606DB" w14:paraId="7ED2BC1F" w14:textId="77777777" w:rsidTr="008F20D9">
        <w:trPr>
          <w:cantSplit/>
          <w:tblHeader/>
        </w:trPr>
        <w:tc>
          <w:tcPr>
            <w:tcW w:w="4025" w:type="dxa"/>
            <w:vMerge w:val="restart"/>
            <w:tcBorders>
              <w:left w:val="single" w:sz="6" w:space="0" w:color="000000"/>
              <w:bottom w:val="single" w:sz="6" w:space="0" w:color="000000"/>
              <w:right w:val="single" w:sz="6" w:space="0" w:color="000000"/>
            </w:tcBorders>
          </w:tcPr>
          <w:p w14:paraId="518905D3" w14:textId="77777777" w:rsidR="00162CE2" w:rsidRPr="002606DB" w:rsidRDefault="00162CE2" w:rsidP="00056F35">
            <w:pPr>
              <w:pStyle w:val="TableParagraph"/>
              <w:adjustRightInd w:val="0"/>
              <w:snapToGrid w:val="0"/>
              <w:rPr>
                <w:b/>
                <w:bCs/>
                <w:snapToGrid w:val="0"/>
                <w:sz w:val="20"/>
                <w:lang w:val="pt-PT"/>
              </w:rPr>
            </w:pPr>
          </w:p>
        </w:tc>
        <w:tc>
          <w:tcPr>
            <w:tcW w:w="5267" w:type="dxa"/>
            <w:gridSpan w:val="2"/>
            <w:tcBorders>
              <w:left w:val="single" w:sz="6" w:space="0" w:color="000000"/>
              <w:bottom w:val="single" w:sz="6" w:space="0" w:color="000000"/>
              <w:right w:val="single" w:sz="6" w:space="0" w:color="000000"/>
            </w:tcBorders>
          </w:tcPr>
          <w:p w14:paraId="10B159E7" w14:textId="77777777" w:rsidR="00162CE2" w:rsidRPr="002606DB" w:rsidRDefault="00162CE2" w:rsidP="00056F35">
            <w:pPr>
              <w:pStyle w:val="TableParagraph"/>
              <w:adjustRightInd w:val="0"/>
              <w:snapToGrid w:val="0"/>
              <w:jc w:val="center"/>
              <w:rPr>
                <w:b/>
                <w:bCs/>
                <w:snapToGrid w:val="0"/>
                <w:sz w:val="20"/>
                <w:lang w:val="pt-PT"/>
              </w:rPr>
            </w:pPr>
            <w:r w:rsidRPr="002606DB">
              <w:rPr>
                <w:b/>
                <w:bCs/>
                <w:snapToGrid w:val="0"/>
                <w:sz w:val="20"/>
                <w:lang w:val="pt-PT"/>
              </w:rPr>
              <w:t>E3200</w:t>
            </w:r>
          </w:p>
        </w:tc>
      </w:tr>
      <w:tr w:rsidR="00162CE2" w:rsidRPr="002606DB" w14:paraId="6497A31B" w14:textId="77777777" w:rsidTr="009228C4">
        <w:trPr>
          <w:cantSplit/>
          <w:tblHeader/>
        </w:trPr>
        <w:tc>
          <w:tcPr>
            <w:tcW w:w="4025" w:type="dxa"/>
            <w:vMerge/>
            <w:tcBorders>
              <w:top w:val="nil"/>
              <w:left w:val="single" w:sz="6" w:space="0" w:color="000000"/>
              <w:bottom w:val="single" w:sz="6" w:space="0" w:color="000000"/>
              <w:right w:val="single" w:sz="6" w:space="0" w:color="000000"/>
            </w:tcBorders>
          </w:tcPr>
          <w:p w14:paraId="7587DCDB" w14:textId="77777777" w:rsidR="00162CE2" w:rsidRPr="002606DB" w:rsidRDefault="00162CE2" w:rsidP="00056F35">
            <w:pPr>
              <w:adjustRightInd w:val="0"/>
              <w:snapToGrid w:val="0"/>
              <w:rPr>
                <w:b/>
                <w:bCs/>
                <w:snapToGrid w:val="0"/>
                <w:sz w:val="20"/>
                <w:szCs w:val="2"/>
                <w:lang w:val="pt-PT"/>
              </w:rPr>
            </w:pPr>
          </w:p>
        </w:tc>
        <w:tc>
          <w:tcPr>
            <w:tcW w:w="2644" w:type="dxa"/>
            <w:tcBorders>
              <w:top w:val="single" w:sz="6" w:space="0" w:color="000000"/>
              <w:left w:val="single" w:sz="6" w:space="0" w:color="000000"/>
              <w:bottom w:val="single" w:sz="6" w:space="0" w:color="000000"/>
            </w:tcBorders>
            <w:vAlign w:val="center"/>
          </w:tcPr>
          <w:p w14:paraId="7830B777" w14:textId="698A9FCF" w:rsidR="00162CE2" w:rsidRPr="002606DB" w:rsidRDefault="00162CE2" w:rsidP="00056F35">
            <w:pPr>
              <w:pStyle w:val="TableParagraph"/>
              <w:adjustRightInd w:val="0"/>
              <w:snapToGrid w:val="0"/>
              <w:jc w:val="center"/>
              <w:rPr>
                <w:b/>
                <w:bCs/>
                <w:snapToGrid w:val="0"/>
                <w:sz w:val="20"/>
                <w:lang w:val="pt-PT"/>
              </w:rPr>
            </w:pPr>
            <w:r w:rsidRPr="002606DB">
              <w:rPr>
                <w:b/>
                <w:bCs/>
                <w:snapToGrid w:val="0"/>
                <w:sz w:val="20"/>
                <w:lang w:val="pt-PT"/>
              </w:rPr>
              <w:t>FOLFOX</w:t>
            </w:r>
            <w:r w:rsidR="009811DB" w:rsidRPr="002606DB">
              <w:rPr>
                <w:b/>
                <w:bCs/>
                <w:snapToGrid w:val="0"/>
                <w:sz w:val="20"/>
                <w:lang w:val="pt-PT"/>
              </w:rPr>
              <w:noBreakHyphen/>
            </w:r>
            <w:r w:rsidRPr="002606DB">
              <w:rPr>
                <w:b/>
                <w:bCs/>
                <w:snapToGrid w:val="0"/>
                <w:sz w:val="20"/>
                <w:lang w:val="pt-PT"/>
              </w:rPr>
              <w:t>4</w:t>
            </w:r>
          </w:p>
        </w:tc>
        <w:tc>
          <w:tcPr>
            <w:tcW w:w="2623" w:type="dxa"/>
            <w:tcBorders>
              <w:top w:val="single" w:sz="6" w:space="0" w:color="000000"/>
              <w:bottom w:val="single" w:sz="6" w:space="0" w:color="000000"/>
              <w:right w:val="single" w:sz="6" w:space="0" w:color="000000"/>
            </w:tcBorders>
            <w:vAlign w:val="center"/>
          </w:tcPr>
          <w:p w14:paraId="7FFB3E72" w14:textId="70ECCFC9" w:rsidR="00162CE2" w:rsidRPr="002606DB" w:rsidRDefault="00162CE2" w:rsidP="00056F35">
            <w:pPr>
              <w:pStyle w:val="TableParagraph"/>
              <w:adjustRightInd w:val="0"/>
              <w:snapToGrid w:val="0"/>
              <w:jc w:val="center"/>
              <w:rPr>
                <w:b/>
                <w:bCs/>
                <w:snapToGrid w:val="0"/>
                <w:sz w:val="20"/>
                <w:lang w:val="pt-PT"/>
              </w:rPr>
            </w:pPr>
            <w:r w:rsidRPr="002606DB">
              <w:rPr>
                <w:b/>
                <w:bCs/>
                <w:snapToGrid w:val="0"/>
                <w:sz w:val="20"/>
                <w:lang w:val="pt-PT"/>
              </w:rPr>
              <w:t>FOLFOX</w:t>
            </w:r>
            <w:r w:rsidR="009811DB" w:rsidRPr="002606DB">
              <w:rPr>
                <w:b/>
                <w:bCs/>
                <w:snapToGrid w:val="0"/>
                <w:sz w:val="20"/>
                <w:lang w:val="pt-PT"/>
              </w:rPr>
              <w:noBreakHyphen/>
            </w:r>
            <w:r w:rsidRPr="002606DB">
              <w:rPr>
                <w:b/>
                <w:bCs/>
                <w:snapToGrid w:val="0"/>
                <w:sz w:val="20"/>
                <w:lang w:val="pt-PT"/>
              </w:rPr>
              <w:t xml:space="preserve">4 + </w:t>
            </w:r>
            <w:r w:rsidR="004B0AC3" w:rsidRPr="002606DB">
              <w:rPr>
                <w:b/>
                <w:bCs/>
                <w:snapToGrid w:val="0"/>
                <w:sz w:val="20"/>
                <w:lang w:val="pt-PT"/>
              </w:rPr>
              <w:t>B</w:t>
            </w:r>
            <w:r w:rsidRPr="002606DB">
              <w:rPr>
                <w:b/>
                <w:bCs/>
                <w:snapToGrid w:val="0"/>
                <w:sz w:val="20"/>
                <w:lang w:val="pt-PT"/>
              </w:rPr>
              <w:t>evacizumab</w:t>
            </w:r>
            <w:r w:rsidRPr="002606DB">
              <w:rPr>
                <w:b/>
                <w:bCs/>
                <w:snapToGrid w:val="0"/>
                <w:sz w:val="20"/>
                <w:vertAlign w:val="superscript"/>
                <w:lang w:val="pt-PT"/>
              </w:rPr>
              <w:t>a</w:t>
            </w:r>
          </w:p>
        </w:tc>
      </w:tr>
      <w:tr w:rsidR="00162CE2" w:rsidRPr="002606DB" w14:paraId="6C975DCB" w14:textId="77777777" w:rsidTr="008F20D9">
        <w:trPr>
          <w:cantSplit/>
        </w:trPr>
        <w:tc>
          <w:tcPr>
            <w:tcW w:w="4025" w:type="dxa"/>
            <w:tcBorders>
              <w:top w:val="single" w:sz="6" w:space="0" w:color="000000"/>
              <w:left w:val="single" w:sz="6" w:space="0" w:color="000000"/>
              <w:right w:val="single" w:sz="6" w:space="0" w:color="000000"/>
            </w:tcBorders>
          </w:tcPr>
          <w:p w14:paraId="28594137" w14:textId="77777777" w:rsidR="00162CE2" w:rsidRPr="002606DB" w:rsidRDefault="00162CE2" w:rsidP="00EC2160">
            <w:pPr>
              <w:pStyle w:val="TableParagraph"/>
              <w:adjustRightInd w:val="0"/>
              <w:snapToGrid w:val="0"/>
              <w:rPr>
                <w:snapToGrid w:val="0"/>
                <w:sz w:val="20"/>
                <w:lang w:val="pt-PT"/>
              </w:rPr>
            </w:pPr>
            <w:r w:rsidRPr="002606DB">
              <w:rPr>
                <w:snapToGrid w:val="0"/>
                <w:sz w:val="20"/>
                <w:lang w:val="pt-PT"/>
              </w:rPr>
              <w:t>Número de doentes</w:t>
            </w:r>
          </w:p>
        </w:tc>
        <w:tc>
          <w:tcPr>
            <w:tcW w:w="2644" w:type="dxa"/>
            <w:tcBorders>
              <w:top w:val="single" w:sz="6" w:space="0" w:color="000000"/>
              <w:left w:val="single" w:sz="6" w:space="0" w:color="000000"/>
            </w:tcBorders>
          </w:tcPr>
          <w:p w14:paraId="03279ED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292</w:t>
            </w:r>
          </w:p>
        </w:tc>
        <w:tc>
          <w:tcPr>
            <w:tcW w:w="2623" w:type="dxa"/>
            <w:tcBorders>
              <w:top w:val="single" w:sz="6" w:space="0" w:color="000000"/>
              <w:right w:val="single" w:sz="6" w:space="0" w:color="000000"/>
            </w:tcBorders>
          </w:tcPr>
          <w:p w14:paraId="220673D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293</w:t>
            </w:r>
          </w:p>
        </w:tc>
      </w:tr>
      <w:tr w:rsidR="00162CE2" w:rsidRPr="002606DB" w14:paraId="4E1B6579" w14:textId="77777777" w:rsidTr="008F20D9">
        <w:trPr>
          <w:cantSplit/>
        </w:trPr>
        <w:tc>
          <w:tcPr>
            <w:tcW w:w="9292" w:type="dxa"/>
            <w:gridSpan w:val="3"/>
            <w:tcBorders>
              <w:left w:val="single" w:sz="6" w:space="0" w:color="000000"/>
              <w:right w:val="single" w:sz="6" w:space="0" w:color="000000"/>
            </w:tcBorders>
          </w:tcPr>
          <w:p w14:paraId="05F61F4C" w14:textId="77777777" w:rsidR="00162CE2" w:rsidRPr="002606DB" w:rsidRDefault="00162CE2" w:rsidP="00EC2160">
            <w:pPr>
              <w:pStyle w:val="TableParagraph"/>
              <w:adjustRightInd w:val="0"/>
              <w:snapToGrid w:val="0"/>
              <w:rPr>
                <w:snapToGrid w:val="0"/>
                <w:sz w:val="20"/>
                <w:lang w:val="pt-PT"/>
              </w:rPr>
            </w:pPr>
            <w:r w:rsidRPr="002606DB">
              <w:rPr>
                <w:snapToGrid w:val="0"/>
                <w:sz w:val="20"/>
                <w:lang w:val="pt-PT"/>
              </w:rPr>
              <w:t>Sobrevivência global</w:t>
            </w:r>
          </w:p>
        </w:tc>
      </w:tr>
      <w:tr w:rsidR="00162CE2" w:rsidRPr="002606DB" w14:paraId="332794BF" w14:textId="77777777" w:rsidTr="008F20D9">
        <w:trPr>
          <w:cantSplit/>
        </w:trPr>
        <w:tc>
          <w:tcPr>
            <w:tcW w:w="4025" w:type="dxa"/>
            <w:tcBorders>
              <w:left w:val="single" w:sz="6" w:space="0" w:color="000000"/>
              <w:right w:val="single" w:sz="6" w:space="0" w:color="000000"/>
            </w:tcBorders>
          </w:tcPr>
          <w:p w14:paraId="0C10BC03" w14:textId="77777777" w:rsidR="00162CE2" w:rsidRPr="002606DB" w:rsidRDefault="00162CE2" w:rsidP="00EC2160">
            <w:pPr>
              <w:pStyle w:val="TableParagraph"/>
              <w:adjustRightInd w:val="0"/>
              <w:snapToGrid w:val="0"/>
              <w:ind w:left="284"/>
              <w:rPr>
                <w:snapToGrid w:val="0"/>
                <w:sz w:val="20"/>
                <w:lang w:val="pt-PT"/>
              </w:rPr>
            </w:pPr>
            <w:r w:rsidRPr="002606DB">
              <w:rPr>
                <w:snapToGrid w:val="0"/>
                <w:sz w:val="20"/>
                <w:lang w:val="pt-PT"/>
              </w:rPr>
              <w:t>Mediana (meses)</w:t>
            </w:r>
          </w:p>
        </w:tc>
        <w:tc>
          <w:tcPr>
            <w:tcW w:w="2644" w:type="dxa"/>
            <w:tcBorders>
              <w:left w:val="single" w:sz="6" w:space="0" w:color="000000"/>
            </w:tcBorders>
          </w:tcPr>
          <w:p w14:paraId="7909658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10,8</w:t>
            </w:r>
          </w:p>
        </w:tc>
        <w:tc>
          <w:tcPr>
            <w:tcW w:w="2623" w:type="dxa"/>
            <w:tcBorders>
              <w:right w:val="single" w:sz="6" w:space="0" w:color="000000"/>
            </w:tcBorders>
          </w:tcPr>
          <w:p w14:paraId="7888CCD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13,0</w:t>
            </w:r>
          </w:p>
        </w:tc>
      </w:tr>
      <w:tr w:rsidR="00162CE2" w:rsidRPr="002606DB" w14:paraId="175BBDD0" w14:textId="77777777" w:rsidTr="008F20D9">
        <w:trPr>
          <w:cantSplit/>
        </w:trPr>
        <w:tc>
          <w:tcPr>
            <w:tcW w:w="4025" w:type="dxa"/>
            <w:tcBorders>
              <w:left w:val="single" w:sz="6" w:space="0" w:color="000000"/>
              <w:right w:val="single" w:sz="6" w:space="0" w:color="000000"/>
            </w:tcBorders>
          </w:tcPr>
          <w:p w14:paraId="10823D3B" w14:textId="77777777" w:rsidR="00162CE2" w:rsidRPr="002606DB" w:rsidRDefault="00162CE2" w:rsidP="00EC2160">
            <w:pPr>
              <w:pStyle w:val="TableParagraph"/>
              <w:adjustRightInd w:val="0"/>
              <w:snapToGrid w:val="0"/>
              <w:ind w:left="284"/>
              <w:rPr>
                <w:snapToGrid w:val="0"/>
                <w:sz w:val="20"/>
                <w:lang w:val="pt-PT"/>
              </w:rPr>
            </w:pPr>
            <w:r w:rsidRPr="002606DB">
              <w:rPr>
                <w:snapToGrid w:val="0"/>
                <w:sz w:val="20"/>
                <w:lang w:val="pt-PT"/>
              </w:rPr>
              <w:t>IC 95%</w:t>
            </w:r>
          </w:p>
        </w:tc>
        <w:tc>
          <w:tcPr>
            <w:tcW w:w="2644" w:type="dxa"/>
            <w:tcBorders>
              <w:left w:val="single" w:sz="6" w:space="0" w:color="000000"/>
            </w:tcBorders>
          </w:tcPr>
          <w:p w14:paraId="6F73ABB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10,12 – 11,86</w:t>
            </w:r>
          </w:p>
        </w:tc>
        <w:tc>
          <w:tcPr>
            <w:tcW w:w="2623" w:type="dxa"/>
            <w:tcBorders>
              <w:right w:val="single" w:sz="6" w:space="0" w:color="000000"/>
            </w:tcBorders>
          </w:tcPr>
          <w:p w14:paraId="4390716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12,09 – 14,03</w:t>
            </w:r>
          </w:p>
        </w:tc>
      </w:tr>
      <w:tr w:rsidR="00162CE2" w:rsidRPr="002606DB" w14:paraId="5324F088" w14:textId="77777777" w:rsidTr="008F20D9">
        <w:trPr>
          <w:cantSplit/>
        </w:trPr>
        <w:tc>
          <w:tcPr>
            <w:tcW w:w="4025" w:type="dxa"/>
            <w:tcBorders>
              <w:left w:val="single" w:sz="6" w:space="0" w:color="000000"/>
              <w:right w:val="single" w:sz="6" w:space="0" w:color="000000"/>
            </w:tcBorders>
          </w:tcPr>
          <w:p w14:paraId="358D80EC" w14:textId="77777777" w:rsidR="00162CE2" w:rsidRPr="002606DB" w:rsidRDefault="00162CE2" w:rsidP="00EC2160">
            <w:pPr>
              <w:pStyle w:val="TableParagraph"/>
              <w:adjustRightInd w:val="0"/>
              <w:snapToGrid w:val="0"/>
              <w:ind w:left="284"/>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r w:rsidRPr="002606DB">
              <w:rPr>
                <w:snapToGrid w:val="0"/>
                <w:sz w:val="20"/>
                <w:vertAlign w:val="superscript"/>
                <w:lang w:val="pt-PT"/>
              </w:rPr>
              <w:t>b</w:t>
            </w:r>
          </w:p>
        </w:tc>
        <w:tc>
          <w:tcPr>
            <w:tcW w:w="5267" w:type="dxa"/>
            <w:gridSpan w:val="2"/>
            <w:tcBorders>
              <w:left w:val="single" w:sz="6" w:space="0" w:color="000000"/>
              <w:right w:val="single" w:sz="6" w:space="0" w:color="000000"/>
            </w:tcBorders>
          </w:tcPr>
          <w:p w14:paraId="1097A59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0,751</w:t>
            </w:r>
          </w:p>
          <w:p w14:paraId="24B8731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0,0012)</w:t>
            </w:r>
          </w:p>
        </w:tc>
      </w:tr>
      <w:tr w:rsidR="00162CE2" w:rsidRPr="002606DB" w14:paraId="04236A28" w14:textId="77777777" w:rsidTr="008F20D9">
        <w:trPr>
          <w:cantSplit/>
        </w:trPr>
        <w:tc>
          <w:tcPr>
            <w:tcW w:w="9292" w:type="dxa"/>
            <w:gridSpan w:val="3"/>
          </w:tcPr>
          <w:p w14:paraId="4B2C78CF" w14:textId="77777777" w:rsidR="00162CE2" w:rsidRPr="002606DB" w:rsidRDefault="00162CE2" w:rsidP="00EC2160">
            <w:pPr>
              <w:pStyle w:val="TableParagraph"/>
              <w:adjustRightInd w:val="0"/>
              <w:snapToGrid w:val="0"/>
              <w:rPr>
                <w:snapToGrid w:val="0"/>
                <w:sz w:val="20"/>
                <w:lang w:val="pt-PT"/>
              </w:rPr>
            </w:pPr>
            <w:r w:rsidRPr="002606DB">
              <w:rPr>
                <w:snapToGrid w:val="0"/>
                <w:sz w:val="20"/>
                <w:lang w:val="pt-PT"/>
              </w:rPr>
              <w:t>Sobrevivência livre de progressão</w:t>
            </w:r>
          </w:p>
        </w:tc>
      </w:tr>
      <w:tr w:rsidR="00162CE2" w:rsidRPr="002606DB" w14:paraId="285CD065" w14:textId="77777777" w:rsidTr="008F20D9">
        <w:trPr>
          <w:cantSplit/>
        </w:trPr>
        <w:tc>
          <w:tcPr>
            <w:tcW w:w="4025" w:type="dxa"/>
          </w:tcPr>
          <w:p w14:paraId="5DAC228C" w14:textId="77777777" w:rsidR="00162CE2" w:rsidRPr="002606DB" w:rsidRDefault="00162CE2" w:rsidP="009228C4">
            <w:pPr>
              <w:pStyle w:val="TableParagraph"/>
              <w:adjustRightInd w:val="0"/>
              <w:snapToGrid w:val="0"/>
              <w:rPr>
                <w:snapToGrid w:val="0"/>
                <w:sz w:val="20"/>
                <w:lang w:val="pt-PT"/>
              </w:rPr>
            </w:pPr>
            <w:r w:rsidRPr="002606DB">
              <w:rPr>
                <w:snapToGrid w:val="0"/>
                <w:sz w:val="20"/>
                <w:lang w:val="pt-PT"/>
              </w:rPr>
              <w:t>Mediana (meses)</w:t>
            </w:r>
          </w:p>
        </w:tc>
        <w:tc>
          <w:tcPr>
            <w:tcW w:w="2644" w:type="dxa"/>
          </w:tcPr>
          <w:p w14:paraId="2FB6408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4,5</w:t>
            </w:r>
          </w:p>
        </w:tc>
        <w:tc>
          <w:tcPr>
            <w:tcW w:w="2623" w:type="dxa"/>
          </w:tcPr>
          <w:p w14:paraId="7DD67BE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7,5</w:t>
            </w:r>
          </w:p>
        </w:tc>
      </w:tr>
      <w:tr w:rsidR="00162CE2" w:rsidRPr="002606DB" w14:paraId="3224FCB1" w14:textId="77777777" w:rsidTr="008F20D9">
        <w:trPr>
          <w:cantSplit/>
        </w:trPr>
        <w:tc>
          <w:tcPr>
            <w:tcW w:w="4025" w:type="dxa"/>
          </w:tcPr>
          <w:p w14:paraId="0BB38D6F" w14:textId="77777777" w:rsidR="00162CE2" w:rsidRPr="002606DB" w:rsidRDefault="00162CE2" w:rsidP="00EC2160">
            <w:pPr>
              <w:pStyle w:val="TableParagraph"/>
              <w:adjustRightInd w:val="0"/>
              <w:snapToGrid w:val="0"/>
              <w:ind w:left="284"/>
              <w:rPr>
                <w:snapToGrid w:val="0"/>
                <w:sz w:val="20"/>
                <w:lang w:val="pt-PT"/>
              </w:rPr>
            </w:pPr>
            <w:r w:rsidRPr="002606DB">
              <w:rPr>
                <w:i/>
                <w:snapToGrid w:val="0"/>
                <w:sz w:val="20"/>
                <w:lang w:val="pt-PT"/>
              </w:rPr>
              <w:t xml:space="preserve">Hazard Ratio </w:t>
            </w:r>
            <w:r w:rsidRPr="002606DB">
              <w:rPr>
                <w:snapToGrid w:val="0"/>
                <w:sz w:val="20"/>
                <w:lang w:val="pt-PT"/>
              </w:rPr>
              <w:t>(taxa de risco)</w:t>
            </w:r>
          </w:p>
        </w:tc>
        <w:tc>
          <w:tcPr>
            <w:tcW w:w="5267" w:type="dxa"/>
            <w:gridSpan w:val="2"/>
          </w:tcPr>
          <w:p w14:paraId="02458D8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0,518</w:t>
            </w:r>
          </w:p>
          <w:p w14:paraId="4153425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0,0001)</w:t>
            </w:r>
          </w:p>
        </w:tc>
      </w:tr>
      <w:tr w:rsidR="00162CE2" w:rsidRPr="002606DB" w14:paraId="02768A17" w14:textId="77777777" w:rsidTr="008F20D9">
        <w:trPr>
          <w:cantSplit/>
        </w:trPr>
        <w:tc>
          <w:tcPr>
            <w:tcW w:w="9292" w:type="dxa"/>
            <w:gridSpan w:val="3"/>
          </w:tcPr>
          <w:p w14:paraId="4FFEF129" w14:textId="77777777" w:rsidR="00162CE2" w:rsidRPr="002606DB" w:rsidRDefault="00162CE2" w:rsidP="00EC2160">
            <w:pPr>
              <w:pStyle w:val="TableParagraph"/>
              <w:adjustRightInd w:val="0"/>
              <w:snapToGrid w:val="0"/>
              <w:ind w:left="284"/>
              <w:rPr>
                <w:snapToGrid w:val="0"/>
                <w:sz w:val="20"/>
                <w:lang w:val="pt-PT"/>
              </w:rPr>
            </w:pPr>
            <w:r w:rsidRPr="002606DB">
              <w:rPr>
                <w:snapToGrid w:val="0"/>
                <w:sz w:val="20"/>
                <w:lang w:val="pt-PT"/>
              </w:rPr>
              <w:t>Taxa de resposta objetiva</w:t>
            </w:r>
          </w:p>
        </w:tc>
      </w:tr>
      <w:tr w:rsidR="00162CE2" w:rsidRPr="002606DB" w14:paraId="3C74FD5D" w14:textId="77777777" w:rsidTr="008F20D9">
        <w:trPr>
          <w:cantSplit/>
        </w:trPr>
        <w:tc>
          <w:tcPr>
            <w:tcW w:w="4025" w:type="dxa"/>
          </w:tcPr>
          <w:p w14:paraId="189C3FD1" w14:textId="77777777" w:rsidR="00162CE2" w:rsidRPr="002606DB" w:rsidRDefault="00162CE2" w:rsidP="00EC2160">
            <w:pPr>
              <w:pStyle w:val="TableParagraph"/>
              <w:adjustRightInd w:val="0"/>
              <w:snapToGrid w:val="0"/>
              <w:ind w:left="284"/>
              <w:rPr>
                <w:snapToGrid w:val="0"/>
                <w:sz w:val="20"/>
                <w:lang w:val="pt-PT"/>
              </w:rPr>
            </w:pPr>
            <w:r w:rsidRPr="002606DB">
              <w:rPr>
                <w:snapToGrid w:val="0"/>
                <w:sz w:val="20"/>
                <w:lang w:val="pt-PT"/>
              </w:rPr>
              <w:t>Taxa</w:t>
            </w:r>
          </w:p>
        </w:tc>
        <w:tc>
          <w:tcPr>
            <w:tcW w:w="2644" w:type="dxa"/>
          </w:tcPr>
          <w:p w14:paraId="3D48F5E4"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8,6%</w:t>
            </w:r>
          </w:p>
        </w:tc>
        <w:tc>
          <w:tcPr>
            <w:tcW w:w="2623" w:type="dxa"/>
          </w:tcPr>
          <w:p w14:paraId="330E08D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22,2%</w:t>
            </w:r>
          </w:p>
        </w:tc>
      </w:tr>
      <w:tr w:rsidR="00162CE2" w:rsidRPr="002606DB" w14:paraId="1C5211F4" w14:textId="77777777" w:rsidTr="008F20D9">
        <w:trPr>
          <w:cantSplit/>
        </w:trPr>
        <w:tc>
          <w:tcPr>
            <w:tcW w:w="4025" w:type="dxa"/>
          </w:tcPr>
          <w:p w14:paraId="6F289E8A" w14:textId="77777777" w:rsidR="00162CE2" w:rsidRPr="002606DB" w:rsidRDefault="00162CE2" w:rsidP="00EC2160">
            <w:pPr>
              <w:pStyle w:val="TableParagraph"/>
              <w:adjustRightInd w:val="0"/>
              <w:snapToGrid w:val="0"/>
              <w:ind w:left="284"/>
              <w:rPr>
                <w:snapToGrid w:val="0"/>
                <w:sz w:val="20"/>
                <w:lang w:val="pt-PT"/>
              </w:rPr>
            </w:pPr>
          </w:p>
        </w:tc>
        <w:tc>
          <w:tcPr>
            <w:tcW w:w="5267" w:type="dxa"/>
            <w:gridSpan w:val="2"/>
          </w:tcPr>
          <w:p w14:paraId="04571876" w14:textId="77777777" w:rsidR="00162CE2" w:rsidRPr="002606DB" w:rsidRDefault="00162CE2" w:rsidP="00FF4304">
            <w:pPr>
              <w:pStyle w:val="TableParagraph"/>
              <w:adjustRightInd w:val="0"/>
              <w:snapToGrid w:val="0"/>
              <w:jc w:val="center"/>
              <w:rPr>
                <w:snapToGrid w:val="0"/>
                <w:sz w:val="20"/>
                <w:lang w:val="pt-PT"/>
              </w:rPr>
            </w:pPr>
            <w:r w:rsidRPr="002606DB">
              <w:rPr>
                <w:snapToGrid w:val="0"/>
                <w:sz w:val="20"/>
                <w:lang w:val="pt-PT"/>
              </w:rPr>
              <w:t>(valor de p = 0,0001)</w:t>
            </w:r>
          </w:p>
        </w:tc>
      </w:tr>
    </w:tbl>
    <w:p w14:paraId="13878221" w14:textId="77777777" w:rsidR="00162CE2" w:rsidRPr="002606DB" w:rsidRDefault="00162CE2" w:rsidP="008F20D9">
      <w:pPr>
        <w:pStyle w:val="TableParagraph"/>
        <w:adjustRightInd w:val="0"/>
        <w:snapToGrid w:val="0"/>
        <w:rPr>
          <w:snapToGrid w:val="0"/>
          <w:sz w:val="16"/>
          <w:szCs w:val="18"/>
          <w:lang w:val="pt-PT"/>
        </w:rPr>
      </w:pPr>
      <w:r w:rsidRPr="002606DB">
        <w:rPr>
          <w:snapToGrid w:val="0"/>
          <w:sz w:val="16"/>
          <w:szCs w:val="18"/>
          <w:vertAlign w:val="superscript"/>
          <w:lang w:val="pt-PT"/>
        </w:rPr>
        <w:t>a</w:t>
      </w:r>
      <w:r w:rsidRPr="002606DB">
        <w:rPr>
          <w:snapToGrid w:val="0"/>
          <w:sz w:val="16"/>
          <w:szCs w:val="18"/>
          <w:lang w:val="pt-PT"/>
        </w:rPr>
        <w:t xml:space="preserve"> 10 mg/kg de 2 em 2 semanas</w:t>
      </w:r>
    </w:p>
    <w:p w14:paraId="5097E036" w14:textId="546CF3E8" w:rsidR="00162CE2" w:rsidRPr="002606DB" w:rsidRDefault="00162CE2" w:rsidP="008F20D9">
      <w:pPr>
        <w:pStyle w:val="TableParagraph"/>
        <w:adjustRightInd w:val="0"/>
        <w:snapToGrid w:val="0"/>
        <w:rPr>
          <w:snapToGrid w:val="0"/>
          <w:sz w:val="16"/>
          <w:szCs w:val="18"/>
          <w:lang w:val="pt-PT"/>
        </w:rPr>
      </w:pPr>
      <w:r w:rsidRPr="002606DB">
        <w:rPr>
          <w:snapToGrid w:val="0"/>
          <w:sz w:val="16"/>
          <w:szCs w:val="18"/>
          <w:vertAlign w:val="superscript"/>
          <w:lang w:val="pt-PT"/>
        </w:rPr>
        <w:t>b</w:t>
      </w:r>
      <w:r w:rsidRPr="002606DB">
        <w:rPr>
          <w:snapToGrid w:val="0"/>
          <w:sz w:val="16"/>
          <w:szCs w:val="18"/>
          <w:lang w:val="pt-PT"/>
        </w:rPr>
        <w:t xml:space="preserve"> Relativamente ao </w:t>
      </w:r>
      <w:r w:rsidR="00B72472">
        <w:rPr>
          <w:snapToGrid w:val="0"/>
          <w:sz w:val="16"/>
          <w:szCs w:val="18"/>
          <w:lang w:val="pt-PT"/>
        </w:rPr>
        <w:t>grupo</w:t>
      </w:r>
      <w:r w:rsidRPr="002606DB">
        <w:rPr>
          <w:snapToGrid w:val="0"/>
          <w:sz w:val="16"/>
          <w:szCs w:val="18"/>
          <w:lang w:val="pt-PT"/>
        </w:rPr>
        <w:t xml:space="preserve"> de control</w:t>
      </w:r>
      <w:r w:rsidR="0041155D">
        <w:rPr>
          <w:snapToGrid w:val="0"/>
          <w:sz w:val="16"/>
          <w:szCs w:val="18"/>
          <w:lang w:val="pt-PT"/>
        </w:rPr>
        <w:t>o</w:t>
      </w:r>
    </w:p>
    <w:p w14:paraId="6D81689B" w14:textId="77777777" w:rsidR="00162CE2" w:rsidRPr="002606DB" w:rsidRDefault="00162CE2" w:rsidP="00056F35">
      <w:pPr>
        <w:pStyle w:val="a3"/>
        <w:adjustRightInd w:val="0"/>
        <w:snapToGrid w:val="0"/>
        <w:rPr>
          <w:b/>
          <w:snapToGrid w:val="0"/>
          <w:lang w:val="pt-PT"/>
        </w:rPr>
      </w:pPr>
    </w:p>
    <w:p w14:paraId="1896FF37" w14:textId="16589EAE" w:rsidR="00162CE2" w:rsidRPr="002606DB" w:rsidRDefault="00162CE2" w:rsidP="009228C4">
      <w:pPr>
        <w:pStyle w:val="a3"/>
        <w:keepNext/>
        <w:keepLines/>
        <w:widowControl/>
        <w:adjustRightInd w:val="0"/>
        <w:snapToGrid w:val="0"/>
        <w:rPr>
          <w:snapToGrid w:val="0"/>
          <w:lang w:val="pt-PT"/>
        </w:rPr>
      </w:pPr>
      <w:r w:rsidRPr="002606DB">
        <w:rPr>
          <w:snapToGrid w:val="0"/>
          <w:lang w:val="pt-PT"/>
        </w:rPr>
        <w:t xml:space="preserve">Não foi observada diferença significativa na duração da </w:t>
      </w:r>
      <w:r w:rsidR="004C3061">
        <w:rPr>
          <w:snapToGrid w:val="0"/>
          <w:lang w:val="pt-PT"/>
        </w:rPr>
        <w:t>OS</w:t>
      </w:r>
      <w:r w:rsidRPr="002606DB">
        <w:rPr>
          <w:snapToGrid w:val="0"/>
          <w:lang w:val="pt-PT"/>
        </w:rPr>
        <w:t xml:space="preserve"> entre doentes que receberam </w:t>
      </w:r>
      <w:r w:rsidRPr="007155C0">
        <w:rPr>
          <w:color w:val="000000"/>
          <w:lang w:val="pt-PT"/>
        </w:rPr>
        <w:t xml:space="preserve">bevacizumab </w:t>
      </w:r>
      <w:r w:rsidRPr="002606DB">
        <w:rPr>
          <w:snapToGrid w:val="0"/>
          <w:lang w:val="pt-PT"/>
        </w:rPr>
        <w:t>em monoterapia comparativamente a doentes tratados com FOLFOX</w:t>
      </w:r>
      <w:r w:rsidR="009811DB" w:rsidRPr="002606DB">
        <w:rPr>
          <w:snapToGrid w:val="0"/>
          <w:lang w:val="pt-PT"/>
        </w:rPr>
        <w:noBreakHyphen/>
      </w:r>
      <w:r w:rsidRPr="002606DB">
        <w:rPr>
          <w:snapToGrid w:val="0"/>
          <w:lang w:val="pt-PT"/>
        </w:rPr>
        <w:t xml:space="preserve">4. A </w:t>
      </w:r>
      <w:r w:rsidR="004C3061">
        <w:rPr>
          <w:snapToGrid w:val="0"/>
          <w:lang w:val="pt-PT"/>
        </w:rPr>
        <w:t>PFS</w:t>
      </w:r>
      <w:r w:rsidRPr="002606DB">
        <w:rPr>
          <w:snapToGrid w:val="0"/>
          <w:lang w:val="pt-PT"/>
        </w:rPr>
        <w:t xml:space="preserve"> e a taxa de resposta objetiva foram inferiores no </w:t>
      </w:r>
      <w:r w:rsidR="00B72472">
        <w:rPr>
          <w:snapToGrid w:val="0"/>
          <w:lang w:val="pt-PT"/>
        </w:rPr>
        <w:t>grupo</w:t>
      </w:r>
      <w:r w:rsidRPr="002606DB">
        <w:rPr>
          <w:snapToGrid w:val="0"/>
          <w:lang w:val="pt-PT"/>
        </w:rPr>
        <w:t xml:space="preserve"> com </w:t>
      </w:r>
      <w:r w:rsidRPr="002606DB">
        <w:rPr>
          <w:color w:val="000000"/>
          <w:lang w:val="en-GB"/>
        </w:rPr>
        <w:t xml:space="preserve">bevacizumab </w:t>
      </w:r>
      <w:r w:rsidRPr="002606DB">
        <w:rPr>
          <w:snapToGrid w:val="0"/>
          <w:lang w:val="pt-PT"/>
        </w:rPr>
        <w:t xml:space="preserve">em monoterapia comparativamente ao </w:t>
      </w:r>
      <w:r w:rsidR="00B72472">
        <w:rPr>
          <w:snapToGrid w:val="0"/>
          <w:lang w:val="pt-PT"/>
        </w:rPr>
        <w:t>grupo</w:t>
      </w:r>
      <w:r w:rsidRPr="002606DB">
        <w:rPr>
          <w:snapToGrid w:val="0"/>
          <w:lang w:val="pt-PT"/>
        </w:rPr>
        <w:t xml:space="preserve"> com FOLFOX</w:t>
      </w:r>
      <w:r w:rsidR="009811DB" w:rsidRPr="002606DB">
        <w:rPr>
          <w:snapToGrid w:val="0"/>
          <w:lang w:val="pt-PT"/>
        </w:rPr>
        <w:noBreakHyphen/>
      </w:r>
      <w:r w:rsidRPr="002606DB">
        <w:rPr>
          <w:snapToGrid w:val="0"/>
          <w:lang w:val="pt-PT"/>
        </w:rPr>
        <w:t>4.</w:t>
      </w:r>
    </w:p>
    <w:p w14:paraId="73C9B306" w14:textId="77777777" w:rsidR="00162CE2" w:rsidRPr="002606DB" w:rsidRDefault="00162CE2" w:rsidP="00056F35">
      <w:pPr>
        <w:pStyle w:val="a3"/>
        <w:adjustRightInd w:val="0"/>
        <w:snapToGrid w:val="0"/>
        <w:rPr>
          <w:snapToGrid w:val="0"/>
          <w:lang w:val="pt-PT"/>
        </w:rPr>
      </w:pPr>
    </w:p>
    <w:p w14:paraId="1BE5E96A" w14:textId="77777777" w:rsidR="00162CE2" w:rsidRPr="002606DB" w:rsidRDefault="00162CE2" w:rsidP="00056F35">
      <w:pPr>
        <w:adjustRightInd w:val="0"/>
        <w:snapToGrid w:val="0"/>
        <w:rPr>
          <w:i/>
          <w:snapToGrid w:val="0"/>
          <w:lang w:val="pt-PT"/>
        </w:rPr>
      </w:pPr>
      <w:r w:rsidRPr="002606DB">
        <w:rPr>
          <w:i/>
          <w:snapToGrid w:val="0"/>
          <w:lang w:val="pt-PT"/>
        </w:rPr>
        <w:t>ML18147</w:t>
      </w:r>
    </w:p>
    <w:p w14:paraId="5E384147" w14:textId="1802BDC3" w:rsidR="00162CE2" w:rsidRPr="002606DB" w:rsidRDefault="00162CE2" w:rsidP="00056F35">
      <w:pPr>
        <w:pStyle w:val="a3"/>
        <w:adjustRightInd w:val="0"/>
        <w:snapToGrid w:val="0"/>
        <w:rPr>
          <w:snapToGrid w:val="0"/>
          <w:lang w:val="pt-PT"/>
        </w:rPr>
      </w:pPr>
      <w:r w:rsidRPr="002606DB">
        <w:rPr>
          <w:snapToGrid w:val="0"/>
          <w:lang w:val="pt-PT"/>
        </w:rPr>
        <w:t xml:space="preserve">Este foi um ensaio de fase III, aleatorizado, controlado, aberto, para investigação de </w:t>
      </w:r>
      <w:r w:rsidRPr="007155C0">
        <w:rPr>
          <w:color w:val="000000"/>
          <w:lang w:val="pt-PT"/>
        </w:rPr>
        <w:t xml:space="preserve">bevacizumab </w:t>
      </w:r>
      <w:r w:rsidRPr="002606DB">
        <w:rPr>
          <w:snapToGrid w:val="0"/>
          <w:lang w:val="pt-PT"/>
        </w:rPr>
        <w:t xml:space="preserve">5,0 mg/kg administrado cada 2 semanas ou 7,5 mg/kg administrado cada 3 semanas em associação com quimioterapia </w:t>
      </w:r>
      <w:r w:rsidR="006F3B61">
        <w:rPr>
          <w:snapToGrid w:val="0"/>
          <w:lang w:val="pt-PT"/>
        </w:rPr>
        <w:t>baseada em</w:t>
      </w:r>
      <w:r w:rsidRPr="002606DB">
        <w:rPr>
          <w:snapToGrid w:val="0"/>
          <w:lang w:val="pt-PT"/>
        </w:rPr>
        <w:t xml:space="preserve"> fluoropirimidinas versus apenas quimioterapia </w:t>
      </w:r>
      <w:r w:rsidR="006F3B61">
        <w:rPr>
          <w:snapToGrid w:val="0"/>
          <w:lang w:val="pt-PT"/>
        </w:rPr>
        <w:t>baseada em</w:t>
      </w:r>
      <w:r w:rsidR="006F3B61" w:rsidRPr="002606DB">
        <w:rPr>
          <w:snapToGrid w:val="0"/>
          <w:lang w:val="pt-PT"/>
        </w:rPr>
        <w:t xml:space="preserve"> </w:t>
      </w:r>
      <w:r w:rsidRPr="002606DB">
        <w:rPr>
          <w:snapToGrid w:val="0"/>
          <w:lang w:val="pt-PT"/>
        </w:rPr>
        <w:t>fluoropirimidinas em doentes com carcinoma metastizado do cólon ou do reto que progrediram durante uma primeira linha com regime contendo bevacizumab.</w:t>
      </w:r>
    </w:p>
    <w:p w14:paraId="09862D2A" w14:textId="77777777" w:rsidR="009228C4" w:rsidRPr="002606DB" w:rsidRDefault="009228C4" w:rsidP="00056F35">
      <w:pPr>
        <w:pStyle w:val="a3"/>
        <w:adjustRightInd w:val="0"/>
        <w:snapToGrid w:val="0"/>
        <w:rPr>
          <w:snapToGrid w:val="0"/>
          <w:lang w:val="pt-PT"/>
        </w:rPr>
      </w:pPr>
    </w:p>
    <w:p w14:paraId="620779EE" w14:textId="3C369E9B" w:rsidR="009228C4" w:rsidRPr="002606DB" w:rsidRDefault="00162CE2" w:rsidP="00056F35">
      <w:pPr>
        <w:pStyle w:val="a3"/>
        <w:adjustRightInd w:val="0"/>
        <w:snapToGrid w:val="0"/>
        <w:rPr>
          <w:snapToGrid w:val="0"/>
          <w:lang w:val="pt-PT"/>
        </w:rPr>
      </w:pPr>
      <w:r w:rsidRPr="002606DB">
        <w:rPr>
          <w:snapToGrid w:val="0"/>
          <w:lang w:val="pt-PT"/>
        </w:rPr>
        <w:t xml:space="preserve">Doentes com carcinoma metastizado do cólon ou do reto confirmado histologicamente e com progressão de doença nos 3 meses após a descontinuação de tratamento em primeira linha com </w:t>
      </w:r>
      <w:r w:rsidRPr="002606DB">
        <w:rPr>
          <w:snapToGrid w:val="0"/>
          <w:lang w:val="pt-PT"/>
        </w:rPr>
        <w:lastRenderedPageBreak/>
        <w:t xml:space="preserve">bevacizumab, foram aleatorizados 1:1, para receber quimioterapia </w:t>
      </w:r>
      <w:r w:rsidR="00E42AF0">
        <w:rPr>
          <w:snapToGrid w:val="0"/>
          <w:lang w:val="pt-PT"/>
        </w:rPr>
        <w:t>baseada em</w:t>
      </w:r>
      <w:r w:rsidRPr="002606DB">
        <w:rPr>
          <w:snapToGrid w:val="0"/>
          <w:lang w:val="pt-PT"/>
        </w:rPr>
        <w:t xml:space="preserve"> fluoropirimidina/oxaliplatina ou fluoropirimidina/irinotecano com ou sem bevacizumab (quimioterapia foi substitu</w:t>
      </w:r>
      <w:r w:rsidR="00E8081D">
        <w:rPr>
          <w:snapToGrid w:val="0"/>
          <w:lang w:val="pt-PT"/>
        </w:rPr>
        <w:t>í</w:t>
      </w:r>
      <w:r w:rsidRPr="002606DB">
        <w:rPr>
          <w:snapToGrid w:val="0"/>
          <w:lang w:val="pt-PT"/>
        </w:rPr>
        <w:t xml:space="preserve">da dependendo da quimioterapia de primeira linha). O tratamento foi administrado até progressão da doença ou toxicidade inaceitável. O objetivo primário foi a </w:t>
      </w:r>
      <w:r w:rsidR="004C3061">
        <w:rPr>
          <w:snapToGrid w:val="0"/>
          <w:lang w:val="pt-PT"/>
        </w:rPr>
        <w:t>OS</w:t>
      </w:r>
      <w:r w:rsidRPr="002606DB">
        <w:rPr>
          <w:snapToGrid w:val="0"/>
          <w:lang w:val="pt-PT"/>
        </w:rPr>
        <w:t xml:space="preserve"> definida como o tempo desde a aleatorização até à morte por qualquer causa. </w:t>
      </w:r>
    </w:p>
    <w:p w14:paraId="73B9C2AD" w14:textId="77777777" w:rsidR="009228C4" w:rsidRPr="002606DB" w:rsidRDefault="009228C4" w:rsidP="00056F35">
      <w:pPr>
        <w:pStyle w:val="a3"/>
        <w:adjustRightInd w:val="0"/>
        <w:snapToGrid w:val="0"/>
        <w:rPr>
          <w:snapToGrid w:val="0"/>
          <w:lang w:val="pt-PT"/>
        </w:rPr>
      </w:pPr>
    </w:p>
    <w:p w14:paraId="2F2D1C5B" w14:textId="166F8610" w:rsidR="00162CE2" w:rsidRPr="002606DB" w:rsidRDefault="00162CE2" w:rsidP="00056F35">
      <w:pPr>
        <w:pStyle w:val="a3"/>
        <w:adjustRightInd w:val="0"/>
        <w:snapToGrid w:val="0"/>
        <w:rPr>
          <w:snapToGrid w:val="0"/>
          <w:lang w:val="pt-PT"/>
        </w:rPr>
      </w:pPr>
      <w:r w:rsidRPr="002606DB">
        <w:rPr>
          <w:snapToGrid w:val="0"/>
          <w:lang w:val="pt-PT"/>
        </w:rPr>
        <w:t xml:space="preserve">Foi aleatorizado um total de 820 doentes. A adição de bevacizumab a quimioterapia </w:t>
      </w:r>
      <w:r w:rsidR="00E42AF0">
        <w:rPr>
          <w:snapToGrid w:val="0"/>
          <w:lang w:val="pt-PT"/>
        </w:rPr>
        <w:t xml:space="preserve">baseada em </w:t>
      </w:r>
      <w:r w:rsidRPr="002606DB">
        <w:rPr>
          <w:snapToGrid w:val="0"/>
          <w:lang w:val="pt-PT"/>
        </w:rPr>
        <w:t xml:space="preserve"> fluoropirimidinas resultou num prolongamento da sobrevivência, estatisticamente significativo, em doentes com carcinoma metastizado do cólon ou do reto que progrediram com um regime contendo bevacizumab, em primeira linha (ITT = 819) (ver Tabela 9).</w:t>
      </w:r>
    </w:p>
    <w:p w14:paraId="70A5A78C" w14:textId="77777777" w:rsidR="00162CE2" w:rsidRPr="002606DB" w:rsidRDefault="00162CE2" w:rsidP="00056F35">
      <w:pPr>
        <w:adjustRightInd w:val="0"/>
        <w:snapToGrid w:val="0"/>
        <w:rPr>
          <w:snapToGrid w:val="0"/>
          <w:lang w:val="pt-PT"/>
        </w:rPr>
      </w:pPr>
    </w:p>
    <w:p w14:paraId="1E19938F" w14:textId="4F76E0EA"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9</w:t>
      </w:r>
      <w:r w:rsidRPr="00730741">
        <w:rPr>
          <w:b/>
          <w:bCs/>
          <w:snapToGrid w:val="0"/>
          <w:lang w:val="pt-PT"/>
        </w:rPr>
        <w:tab/>
        <w:t xml:space="preserve">Resultados de </w:t>
      </w:r>
      <w:r w:rsidR="00E8081D" w:rsidRPr="00730741">
        <w:rPr>
          <w:b/>
          <w:bCs/>
          <w:snapToGrid w:val="0"/>
          <w:lang w:val="pt-PT"/>
        </w:rPr>
        <w:t>e</w:t>
      </w:r>
      <w:r w:rsidRPr="00730741">
        <w:rPr>
          <w:b/>
          <w:bCs/>
          <w:snapToGrid w:val="0"/>
          <w:lang w:val="pt-PT"/>
        </w:rPr>
        <w:t xml:space="preserve">ficácia do </w:t>
      </w:r>
      <w:r w:rsidR="00E8081D" w:rsidRPr="00730741">
        <w:rPr>
          <w:b/>
          <w:bCs/>
          <w:snapToGrid w:val="0"/>
          <w:lang w:val="pt-PT"/>
        </w:rPr>
        <w:t>e</w:t>
      </w:r>
      <w:r w:rsidRPr="00730741">
        <w:rPr>
          <w:b/>
          <w:bCs/>
          <w:snapToGrid w:val="0"/>
          <w:lang w:val="pt-PT"/>
        </w:rPr>
        <w:t>studo </w:t>
      </w:r>
      <w:r w:rsidR="00F71117" w:rsidRPr="00730741">
        <w:rPr>
          <w:b/>
          <w:bCs/>
          <w:snapToGrid w:val="0"/>
          <w:lang w:val="pt-PT"/>
        </w:rPr>
        <w:t>ML</w:t>
      </w:r>
      <w:r w:rsidRPr="00730741">
        <w:rPr>
          <w:b/>
          <w:bCs/>
          <w:snapToGrid w:val="0"/>
          <w:lang w:val="pt-PT"/>
        </w:rPr>
        <w:t>18147 (população ITT)</w:t>
      </w:r>
    </w:p>
    <w:p w14:paraId="563E856D"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706"/>
        <w:gridCol w:w="2706"/>
      </w:tblGrid>
      <w:tr w:rsidR="00162CE2" w:rsidRPr="002606DB" w14:paraId="69E5859E" w14:textId="77777777" w:rsidTr="00417EC0">
        <w:trPr>
          <w:cantSplit/>
        </w:trPr>
        <w:tc>
          <w:tcPr>
            <w:tcW w:w="3744" w:type="dxa"/>
          </w:tcPr>
          <w:p w14:paraId="37919472" w14:textId="77777777" w:rsidR="00162CE2" w:rsidRPr="002606DB" w:rsidRDefault="00162CE2" w:rsidP="00056F35">
            <w:pPr>
              <w:pStyle w:val="TableParagraph"/>
              <w:adjustRightInd w:val="0"/>
              <w:snapToGrid w:val="0"/>
              <w:rPr>
                <w:snapToGrid w:val="0"/>
                <w:sz w:val="20"/>
                <w:lang w:val="pt-PT"/>
              </w:rPr>
            </w:pPr>
          </w:p>
        </w:tc>
        <w:tc>
          <w:tcPr>
            <w:tcW w:w="5544" w:type="dxa"/>
            <w:gridSpan w:val="2"/>
          </w:tcPr>
          <w:p w14:paraId="66F897D4" w14:textId="77777777" w:rsidR="00162CE2" w:rsidRPr="00A03389" w:rsidRDefault="00162CE2" w:rsidP="00056F35">
            <w:pPr>
              <w:pStyle w:val="TableParagraph"/>
              <w:adjustRightInd w:val="0"/>
              <w:snapToGrid w:val="0"/>
              <w:jc w:val="center"/>
              <w:rPr>
                <w:b/>
                <w:bCs/>
                <w:snapToGrid w:val="0"/>
                <w:sz w:val="20"/>
                <w:lang w:val="pt-PT"/>
              </w:rPr>
            </w:pPr>
            <w:r w:rsidRPr="00A03389">
              <w:rPr>
                <w:b/>
                <w:bCs/>
                <w:snapToGrid w:val="0"/>
                <w:sz w:val="20"/>
                <w:lang w:val="pt-PT"/>
              </w:rPr>
              <w:t>ML18147</w:t>
            </w:r>
          </w:p>
        </w:tc>
      </w:tr>
      <w:tr w:rsidR="00162CE2" w:rsidRPr="00730741" w14:paraId="637ACE4C" w14:textId="77777777" w:rsidTr="00417EC0">
        <w:trPr>
          <w:cantSplit/>
        </w:trPr>
        <w:tc>
          <w:tcPr>
            <w:tcW w:w="3744" w:type="dxa"/>
          </w:tcPr>
          <w:p w14:paraId="2543E3EE" w14:textId="77777777" w:rsidR="00162CE2" w:rsidRPr="002606DB" w:rsidRDefault="00162CE2" w:rsidP="00056F35">
            <w:pPr>
              <w:pStyle w:val="TableParagraph"/>
              <w:adjustRightInd w:val="0"/>
              <w:snapToGrid w:val="0"/>
              <w:rPr>
                <w:snapToGrid w:val="0"/>
                <w:sz w:val="20"/>
                <w:lang w:val="pt-PT"/>
              </w:rPr>
            </w:pPr>
          </w:p>
        </w:tc>
        <w:tc>
          <w:tcPr>
            <w:tcW w:w="2772" w:type="dxa"/>
          </w:tcPr>
          <w:p w14:paraId="6829E4B6" w14:textId="1E9F4754" w:rsidR="00162CE2" w:rsidRPr="002606DB" w:rsidRDefault="00162CE2" w:rsidP="009228C4">
            <w:pPr>
              <w:pStyle w:val="TableParagraph"/>
              <w:adjustRightInd w:val="0"/>
              <w:snapToGrid w:val="0"/>
              <w:jc w:val="center"/>
              <w:rPr>
                <w:snapToGrid w:val="0"/>
                <w:sz w:val="20"/>
                <w:lang w:val="pt-PT"/>
              </w:rPr>
            </w:pPr>
            <w:r w:rsidRPr="002606DB">
              <w:rPr>
                <w:snapToGrid w:val="0"/>
                <w:sz w:val="20"/>
                <w:lang w:val="pt-PT"/>
              </w:rPr>
              <w:t xml:space="preserve">quimioterapia </w:t>
            </w:r>
            <w:r w:rsidR="00E42AF0">
              <w:rPr>
                <w:snapToGrid w:val="0"/>
                <w:sz w:val="20"/>
                <w:lang w:val="pt-PT"/>
              </w:rPr>
              <w:t>baseada em</w:t>
            </w:r>
            <w:r w:rsidRPr="002606DB">
              <w:rPr>
                <w:snapToGrid w:val="0"/>
                <w:sz w:val="20"/>
                <w:lang w:val="pt-PT"/>
              </w:rPr>
              <w:t xml:space="preserve"> </w:t>
            </w:r>
            <w:r w:rsidR="00E8081D">
              <w:rPr>
                <w:snapToGrid w:val="0"/>
                <w:sz w:val="20"/>
                <w:lang w:val="pt-PT"/>
              </w:rPr>
              <w:t>F</w:t>
            </w:r>
            <w:r w:rsidRPr="002606DB">
              <w:rPr>
                <w:snapToGrid w:val="0"/>
                <w:sz w:val="20"/>
                <w:lang w:val="pt-PT"/>
              </w:rPr>
              <w:t>luoropirimidina/</w:t>
            </w:r>
            <w:r w:rsidR="00E8081D">
              <w:rPr>
                <w:snapToGrid w:val="0"/>
                <w:sz w:val="20"/>
                <w:lang w:val="pt-PT"/>
              </w:rPr>
              <w:t>I</w:t>
            </w:r>
            <w:r w:rsidRPr="002606DB">
              <w:rPr>
                <w:snapToGrid w:val="0"/>
                <w:sz w:val="20"/>
                <w:lang w:val="pt-PT"/>
              </w:rPr>
              <w:t xml:space="preserve">rinotecano ou </w:t>
            </w:r>
            <w:r w:rsidR="00E8081D">
              <w:rPr>
                <w:snapToGrid w:val="0"/>
                <w:sz w:val="20"/>
                <w:lang w:val="pt-PT"/>
              </w:rPr>
              <w:t>F</w:t>
            </w:r>
            <w:r w:rsidRPr="002606DB">
              <w:rPr>
                <w:snapToGrid w:val="0"/>
                <w:sz w:val="20"/>
                <w:lang w:val="pt-PT"/>
              </w:rPr>
              <w:t>luoropirimidina/</w:t>
            </w:r>
            <w:r w:rsidR="00E8081D">
              <w:rPr>
                <w:snapToGrid w:val="0"/>
                <w:sz w:val="20"/>
                <w:lang w:val="pt-PT"/>
              </w:rPr>
              <w:t>O</w:t>
            </w:r>
            <w:r w:rsidRPr="002606DB">
              <w:rPr>
                <w:snapToGrid w:val="0"/>
                <w:sz w:val="20"/>
                <w:lang w:val="pt-PT"/>
              </w:rPr>
              <w:t>xaliplatina</w:t>
            </w:r>
          </w:p>
        </w:tc>
        <w:tc>
          <w:tcPr>
            <w:tcW w:w="2772" w:type="dxa"/>
          </w:tcPr>
          <w:p w14:paraId="40DBA110" w14:textId="5F801E95" w:rsidR="00162CE2" w:rsidRPr="002606DB" w:rsidRDefault="00162CE2" w:rsidP="009228C4">
            <w:pPr>
              <w:pStyle w:val="TableParagraph"/>
              <w:adjustRightInd w:val="0"/>
              <w:snapToGrid w:val="0"/>
              <w:jc w:val="center"/>
              <w:rPr>
                <w:snapToGrid w:val="0"/>
                <w:sz w:val="20"/>
                <w:lang w:val="pt-PT"/>
              </w:rPr>
            </w:pPr>
            <w:r w:rsidRPr="002606DB">
              <w:rPr>
                <w:snapToGrid w:val="0"/>
                <w:sz w:val="20"/>
                <w:lang w:val="pt-PT"/>
              </w:rPr>
              <w:t xml:space="preserve">quimioterapia </w:t>
            </w:r>
            <w:r w:rsidR="00E42AF0">
              <w:rPr>
                <w:snapToGrid w:val="0"/>
                <w:sz w:val="20"/>
                <w:lang w:val="pt-PT"/>
              </w:rPr>
              <w:t>baseada em</w:t>
            </w:r>
            <w:r w:rsidRPr="002606DB">
              <w:rPr>
                <w:snapToGrid w:val="0"/>
                <w:sz w:val="20"/>
                <w:lang w:val="pt-PT"/>
              </w:rPr>
              <w:t xml:space="preserve"> </w:t>
            </w:r>
            <w:r w:rsidR="00E8081D">
              <w:rPr>
                <w:snapToGrid w:val="0"/>
                <w:sz w:val="20"/>
                <w:lang w:val="pt-PT"/>
              </w:rPr>
              <w:t>F</w:t>
            </w:r>
            <w:r w:rsidRPr="002606DB">
              <w:rPr>
                <w:snapToGrid w:val="0"/>
                <w:sz w:val="20"/>
                <w:lang w:val="pt-PT"/>
              </w:rPr>
              <w:t>luoropirimidina/</w:t>
            </w:r>
            <w:r w:rsidR="00E8081D">
              <w:rPr>
                <w:snapToGrid w:val="0"/>
                <w:sz w:val="20"/>
                <w:lang w:val="pt-PT"/>
              </w:rPr>
              <w:t>I</w:t>
            </w:r>
            <w:r w:rsidRPr="002606DB">
              <w:rPr>
                <w:snapToGrid w:val="0"/>
                <w:sz w:val="20"/>
                <w:lang w:val="pt-PT"/>
              </w:rPr>
              <w:t xml:space="preserve">rinotecano ou </w:t>
            </w:r>
            <w:r w:rsidR="00E8081D">
              <w:rPr>
                <w:snapToGrid w:val="0"/>
                <w:sz w:val="20"/>
                <w:lang w:val="pt-PT"/>
              </w:rPr>
              <w:t>F</w:t>
            </w:r>
            <w:r w:rsidRPr="002606DB">
              <w:rPr>
                <w:snapToGrid w:val="0"/>
                <w:sz w:val="20"/>
                <w:lang w:val="pt-PT"/>
              </w:rPr>
              <w:t>luoropirimidina/</w:t>
            </w:r>
            <w:r w:rsidR="00E8081D">
              <w:rPr>
                <w:snapToGrid w:val="0"/>
                <w:sz w:val="20"/>
                <w:lang w:val="pt-PT"/>
              </w:rPr>
              <w:t>O</w:t>
            </w:r>
            <w:r w:rsidRPr="002606DB">
              <w:rPr>
                <w:snapToGrid w:val="0"/>
                <w:sz w:val="20"/>
                <w:lang w:val="pt-PT"/>
              </w:rPr>
              <w:t>xaliplatina</w:t>
            </w:r>
          </w:p>
          <w:p w14:paraId="44BEB6E2" w14:textId="01CF1540"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 xml:space="preserve">+ </w:t>
            </w:r>
            <w:r w:rsidR="004B0AC3" w:rsidRPr="002606DB">
              <w:rPr>
                <w:snapToGrid w:val="0"/>
                <w:sz w:val="20"/>
                <w:lang w:val="pt-PT"/>
              </w:rPr>
              <w:t>B</w:t>
            </w:r>
            <w:r w:rsidRPr="002606DB">
              <w:rPr>
                <w:snapToGrid w:val="0"/>
                <w:sz w:val="20"/>
                <w:lang w:val="pt-PT"/>
              </w:rPr>
              <w:t>evacizumab</w:t>
            </w:r>
            <w:r w:rsidRPr="002606DB">
              <w:rPr>
                <w:snapToGrid w:val="0"/>
                <w:sz w:val="20"/>
                <w:vertAlign w:val="superscript"/>
                <w:lang w:val="pt-PT"/>
              </w:rPr>
              <w:t>a</w:t>
            </w:r>
          </w:p>
        </w:tc>
      </w:tr>
      <w:tr w:rsidR="00162CE2" w:rsidRPr="002606DB" w14:paraId="6E3DFFAF" w14:textId="77777777" w:rsidTr="00417EC0">
        <w:trPr>
          <w:cantSplit/>
        </w:trPr>
        <w:tc>
          <w:tcPr>
            <w:tcW w:w="3744" w:type="dxa"/>
          </w:tcPr>
          <w:p w14:paraId="79491D69" w14:textId="34F6B04B"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Número de </w:t>
            </w:r>
            <w:r w:rsidR="00E8081D">
              <w:rPr>
                <w:snapToGrid w:val="0"/>
                <w:sz w:val="20"/>
                <w:lang w:val="pt-PT"/>
              </w:rPr>
              <w:t>d</w:t>
            </w:r>
            <w:r w:rsidRPr="002606DB">
              <w:rPr>
                <w:snapToGrid w:val="0"/>
                <w:sz w:val="20"/>
                <w:lang w:val="pt-PT"/>
              </w:rPr>
              <w:t>oentes</w:t>
            </w:r>
          </w:p>
        </w:tc>
        <w:tc>
          <w:tcPr>
            <w:tcW w:w="2772" w:type="dxa"/>
          </w:tcPr>
          <w:p w14:paraId="04FA434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410</w:t>
            </w:r>
          </w:p>
        </w:tc>
        <w:tc>
          <w:tcPr>
            <w:tcW w:w="2772" w:type="dxa"/>
          </w:tcPr>
          <w:p w14:paraId="0FF2BCB4"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409</w:t>
            </w:r>
          </w:p>
        </w:tc>
      </w:tr>
      <w:tr w:rsidR="00162CE2" w:rsidRPr="002606DB" w14:paraId="1AEDEA43" w14:textId="77777777" w:rsidTr="00417EC0">
        <w:trPr>
          <w:cantSplit/>
        </w:trPr>
        <w:tc>
          <w:tcPr>
            <w:tcW w:w="3744" w:type="dxa"/>
          </w:tcPr>
          <w:p w14:paraId="5B86C28D"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u w:val="single"/>
                <w:lang w:val="pt-PT"/>
              </w:rPr>
              <w:t>Sobrevivência Global</w:t>
            </w:r>
          </w:p>
        </w:tc>
        <w:tc>
          <w:tcPr>
            <w:tcW w:w="5544" w:type="dxa"/>
            <w:gridSpan w:val="2"/>
          </w:tcPr>
          <w:p w14:paraId="5BE27D4D" w14:textId="77777777" w:rsidR="00162CE2" w:rsidRPr="002606DB" w:rsidRDefault="00162CE2" w:rsidP="00056F35">
            <w:pPr>
              <w:pStyle w:val="TableParagraph"/>
              <w:adjustRightInd w:val="0"/>
              <w:snapToGrid w:val="0"/>
              <w:rPr>
                <w:snapToGrid w:val="0"/>
                <w:sz w:val="20"/>
                <w:lang w:val="pt-PT"/>
              </w:rPr>
            </w:pPr>
          </w:p>
        </w:tc>
      </w:tr>
      <w:tr w:rsidR="00162CE2" w:rsidRPr="002606DB" w14:paraId="78CAD486" w14:textId="77777777" w:rsidTr="00417EC0">
        <w:trPr>
          <w:cantSplit/>
        </w:trPr>
        <w:tc>
          <w:tcPr>
            <w:tcW w:w="3744" w:type="dxa"/>
          </w:tcPr>
          <w:p w14:paraId="3440C669"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Mediana (meses)</w:t>
            </w:r>
          </w:p>
        </w:tc>
        <w:tc>
          <w:tcPr>
            <w:tcW w:w="2772" w:type="dxa"/>
          </w:tcPr>
          <w:p w14:paraId="34087B3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9,8</w:t>
            </w:r>
          </w:p>
        </w:tc>
        <w:tc>
          <w:tcPr>
            <w:tcW w:w="2772" w:type="dxa"/>
          </w:tcPr>
          <w:p w14:paraId="446BDB5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11,2</w:t>
            </w:r>
          </w:p>
        </w:tc>
      </w:tr>
      <w:tr w:rsidR="00162CE2" w:rsidRPr="002606DB" w14:paraId="4E800D47" w14:textId="77777777" w:rsidTr="00417EC0">
        <w:trPr>
          <w:cantSplit/>
        </w:trPr>
        <w:tc>
          <w:tcPr>
            <w:tcW w:w="3744" w:type="dxa"/>
          </w:tcPr>
          <w:p w14:paraId="184807CD"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1E600556"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(Intervalo de confiança de 95%)</w:t>
            </w:r>
          </w:p>
        </w:tc>
        <w:tc>
          <w:tcPr>
            <w:tcW w:w="5544" w:type="dxa"/>
            <w:gridSpan w:val="2"/>
          </w:tcPr>
          <w:p w14:paraId="64B9811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0,81 (0,69; 0,94)</w:t>
            </w:r>
          </w:p>
          <w:p w14:paraId="3B9B43A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0,0062)</w:t>
            </w:r>
          </w:p>
        </w:tc>
      </w:tr>
      <w:tr w:rsidR="00162CE2" w:rsidRPr="002606DB" w14:paraId="5BA6B3A1" w14:textId="77777777" w:rsidTr="00417EC0">
        <w:trPr>
          <w:cantSplit/>
        </w:trPr>
        <w:tc>
          <w:tcPr>
            <w:tcW w:w="3744" w:type="dxa"/>
          </w:tcPr>
          <w:p w14:paraId="218A36EF"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Sobrevivência livre de progressão</w:t>
            </w:r>
          </w:p>
        </w:tc>
        <w:tc>
          <w:tcPr>
            <w:tcW w:w="5544" w:type="dxa"/>
            <w:gridSpan w:val="2"/>
          </w:tcPr>
          <w:p w14:paraId="4E6A3601" w14:textId="77777777" w:rsidR="00162CE2" w:rsidRPr="002606DB" w:rsidRDefault="00162CE2" w:rsidP="00056F35">
            <w:pPr>
              <w:pStyle w:val="TableParagraph"/>
              <w:adjustRightInd w:val="0"/>
              <w:snapToGrid w:val="0"/>
              <w:rPr>
                <w:snapToGrid w:val="0"/>
                <w:sz w:val="20"/>
                <w:lang w:val="pt-PT"/>
              </w:rPr>
            </w:pPr>
          </w:p>
        </w:tc>
      </w:tr>
      <w:tr w:rsidR="00162CE2" w:rsidRPr="002606DB" w14:paraId="2532FEB0" w14:textId="77777777" w:rsidTr="00417EC0">
        <w:trPr>
          <w:cantSplit/>
        </w:trPr>
        <w:tc>
          <w:tcPr>
            <w:tcW w:w="3744" w:type="dxa"/>
          </w:tcPr>
          <w:p w14:paraId="25461D94"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Mediana (meses)</w:t>
            </w:r>
          </w:p>
        </w:tc>
        <w:tc>
          <w:tcPr>
            <w:tcW w:w="2772" w:type="dxa"/>
          </w:tcPr>
          <w:p w14:paraId="0DE9746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4,1</w:t>
            </w:r>
          </w:p>
        </w:tc>
        <w:tc>
          <w:tcPr>
            <w:tcW w:w="2772" w:type="dxa"/>
          </w:tcPr>
          <w:p w14:paraId="50248C9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5,7</w:t>
            </w:r>
          </w:p>
        </w:tc>
      </w:tr>
      <w:tr w:rsidR="00162CE2" w:rsidRPr="002606DB" w14:paraId="7332E408" w14:textId="77777777" w:rsidTr="00417EC0">
        <w:trPr>
          <w:cantSplit/>
        </w:trPr>
        <w:tc>
          <w:tcPr>
            <w:tcW w:w="3744" w:type="dxa"/>
          </w:tcPr>
          <w:p w14:paraId="30615A63"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21D56780"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(Intervalo de confiança de 95%)</w:t>
            </w:r>
          </w:p>
        </w:tc>
        <w:tc>
          <w:tcPr>
            <w:tcW w:w="5544" w:type="dxa"/>
            <w:gridSpan w:val="2"/>
          </w:tcPr>
          <w:p w14:paraId="12F063A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0,68 (0,59; 0,78)</w:t>
            </w:r>
          </w:p>
          <w:p w14:paraId="2B2CDD4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&lt; 0,0001)</w:t>
            </w:r>
          </w:p>
        </w:tc>
      </w:tr>
      <w:tr w:rsidR="00162CE2" w:rsidRPr="002606DB" w14:paraId="5B52E0F9" w14:textId="77777777" w:rsidTr="00417EC0">
        <w:trPr>
          <w:cantSplit/>
        </w:trPr>
        <w:tc>
          <w:tcPr>
            <w:tcW w:w="3744" w:type="dxa"/>
          </w:tcPr>
          <w:p w14:paraId="0262F9ED" w14:textId="4E938BFF" w:rsidR="00162CE2" w:rsidRPr="002606DB" w:rsidRDefault="00162CE2" w:rsidP="00056F35">
            <w:pPr>
              <w:pStyle w:val="TableParagraph"/>
              <w:adjustRightInd w:val="0"/>
              <w:snapToGrid w:val="0"/>
              <w:rPr>
                <w:b/>
                <w:snapToGrid w:val="0"/>
                <w:sz w:val="20"/>
                <w:lang w:val="pt-PT"/>
              </w:rPr>
            </w:pPr>
            <w:r w:rsidRPr="002606DB">
              <w:rPr>
                <w:b/>
                <w:snapToGrid w:val="0"/>
                <w:sz w:val="20"/>
                <w:u w:val="single"/>
                <w:lang w:val="pt-PT"/>
              </w:rPr>
              <w:t xml:space="preserve">Taxa de </w:t>
            </w:r>
            <w:r w:rsidR="00010102">
              <w:rPr>
                <w:b/>
                <w:snapToGrid w:val="0"/>
                <w:sz w:val="20"/>
                <w:u w:val="single"/>
                <w:lang w:val="pt-PT"/>
              </w:rPr>
              <w:t>r</w:t>
            </w:r>
            <w:r w:rsidRPr="002606DB">
              <w:rPr>
                <w:b/>
                <w:snapToGrid w:val="0"/>
                <w:sz w:val="20"/>
                <w:u w:val="single"/>
                <w:lang w:val="pt-PT"/>
              </w:rPr>
              <w:t xml:space="preserve">esposta </w:t>
            </w:r>
            <w:r w:rsidR="00010102">
              <w:rPr>
                <w:b/>
                <w:snapToGrid w:val="0"/>
                <w:sz w:val="20"/>
                <w:u w:val="single"/>
                <w:lang w:val="pt-PT"/>
              </w:rPr>
              <w:t>o</w:t>
            </w:r>
            <w:r w:rsidRPr="002606DB">
              <w:rPr>
                <w:b/>
                <w:snapToGrid w:val="0"/>
                <w:sz w:val="20"/>
                <w:u w:val="single"/>
                <w:lang w:val="pt-PT"/>
              </w:rPr>
              <w:t>bjetiva</w:t>
            </w:r>
          </w:p>
        </w:tc>
        <w:tc>
          <w:tcPr>
            <w:tcW w:w="5544" w:type="dxa"/>
            <w:gridSpan w:val="2"/>
          </w:tcPr>
          <w:p w14:paraId="2A1AA5AF" w14:textId="77777777" w:rsidR="00162CE2" w:rsidRPr="002606DB" w:rsidRDefault="00162CE2" w:rsidP="00056F35">
            <w:pPr>
              <w:pStyle w:val="TableParagraph"/>
              <w:adjustRightInd w:val="0"/>
              <w:snapToGrid w:val="0"/>
              <w:rPr>
                <w:snapToGrid w:val="0"/>
                <w:sz w:val="20"/>
                <w:lang w:val="pt-PT"/>
              </w:rPr>
            </w:pPr>
          </w:p>
        </w:tc>
      </w:tr>
      <w:tr w:rsidR="00162CE2" w:rsidRPr="002606DB" w14:paraId="7D77D019" w14:textId="77777777" w:rsidTr="00417EC0">
        <w:trPr>
          <w:cantSplit/>
        </w:trPr>
        <w:tc>
          <w:tcPr>
            <w:tcW w:w="3744" w:type="dxa"/>
          </w:tcPr>
          <w:p w14:paraId="158D9C5B"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Doentes incluídos na análise</w:t>
            </w:r>
          </w:p>
        </w:tc>
        <w:tc>
          <w:tcPr>
            <w:tcW w:w="2772" w:type="dxa"/>
          </w:tcPr>
          <w:p w14:paraId="74B4181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406</w:t>
            </w:r>
          </w:p>
        </w:tc>
        <w:tc>
          <w:tcPr>
            <w:tcW w:w="2772" w:type="dxa"/>
          </w:tcPr>
          <w:p w14:paraId="3C0DEE3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404</w:t>
            </w:r>
          </w:p>
        </w:tc>
      </w:tr>
      <w:tr w:rsidR="00162CE2" w:rsidRPr="002606DB" w14:paraId="31CD2680" w14:textId="77777777" w:rsidTr="00417EC0">
        <w:trPr>
          <w:cantSplit/>
        </w:trPr>
        <w:tc>
          <w:tcPr>
            <w:tcW w:w="3744" w:type="dxa"/>
          </w:tcPr>
          <w:p w14:paraId="78774A69"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Taxa</w:t>
            </w:r>
          </w:p>
        </w:tc>
        <w:tc>
          <w:tcPr>
            <w:tcW w:w="2772" w:type="dxa"/>
          </w:tcPr>
          <w:p w14:paraId="136E9DC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3,9%</w:t>
            </w:r>
          </w:p>
        </w:tc>
        <w:tc>
          <w:tcPr>
            <w:tcW w:w="2772" w:type="dxa"/>
          </w:tcPr>
          <w:p w14:paraId="15A68F1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5,4%</w:t>
            </w:r>
          </w:p>
        </w:tc>
      </w:tr>
      <w:tr w:rsidR="00162CE2" w:rsidRPr="002606DB" w14:paraId="13FAA985" w14:textId="77777777" w:rsidTr="00417EC0">
        <w:trPr>
          <w:cantSplit/>
        </w:trPr>
        <w:tc>
          <w:tcPr>
            <w:tcW w:w="3744" w:type="dxa"/>
          </w:tcPr>
          <w:p w14:paraId="264AC39C" w14:textId="77777777" w:rsidR="00162CE2" w:rsidRPr="002606DB" w:rsidRDefault="00162CE2" w:rsidP="00056F35">
            <w:pPr>
              <w:pStyle w:val="TableParagraph"/>
              <w:adjustRightInd w:val="0"/>
              <w:snapToGrid w:val="0"/>
              <w:rPr>
                <w:snapToGrid w:val="0"/>
                <w:sz w:val="20"/>
                <w:lang w:val="pt-PT"/>
              </w:rPr>
            </w:pPr>
          </w:p>
        </w:tc>
        <w:tc>
          <w:tcPr>
            <w:tcW w:w="5544" w:type="dxa"/>
            <w:gridSpan w:val="2"/>
          </w:tcPr>
          <w:p w14:paraId="1D3EF99C" w14:textId="77777777" w:rsidR="00162CE2" w:rsidRPr="002606DB" w:rsidRDefault="00162CE2" w:rsidP="009228C4">
            <w:pPr>
              <w:pStyle w:val="TableParagraph"/>
              <w:adjustRightInd w:val="0"/>
              <w:snapToGrid w:val="0"/>
              <w:jc w:val="center"/>
              <w:rPr>
                <w:snapToGrid w:val="0"/>
                <w:sz w:val="20"/>
                <w:lang w:val="pt-PT"/>
              </w:rPr>
            </w:pPr>
            <w:r w:rsidRPr="002606DB">
              <w:rPr>
                <w:snapToGrid w:val="0"/>
                <w:sz w:val="20"/>
                <w:lang w:val="pt-PT"/>
              </w:rPr>
              <w:t>(valor de p = 0,3113)</w:t>
            </w:r>
          </w:p>
        </w:tc>
      </w:tr>
    </w:tbl>
    <w:p w14:paraId="1246109C" w14:textId="3B758350"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5,0 mg/kg de 2 em 2 semanas ou 7,5 mg/kg de 3 em 3 semanas</w:t>
      </w:r>
    </w:p>
    <w:p w14:paraId="24F7FA7A" w14:textId="77777777" w:rsidR="00162CE2" w:rsidRPr="002606DB" w:rsidRDefault="00162CE2" w:rsidP="00056F35">
      <w:pPr>
        <w:pStyle w:val="a3"/>
        <w:adjustRightInd w:val="0"/>
        <w:snapToGrid w:val="0"/>
        <w:rPr>
          <w:snapToGrid w:val="0"/>
          <w:lang w:val="pt-PT"/>
        </w:rPr>
      </w:pPr>
    </w:p>
    <w:p w14:paraId="5850F0F0" w14:textId="51221564" w:rsidR="00162CE2" w:rsidRPr="002606DB" w:rsidRDefault="00162CE2" w:rsidP="009228C4">
      <w:pPr>
        <w:pStyle w:val="a3"/>
        <w:adjustRightInd w:val="0"/>
        <w:snapToGrid w:val="0"/>
        <w:ind w:right="-138"/>
        <w:rPr>
          <w:snapToGrid w:val="0"/>
          <w:lang w:val="pt-PT"/>
        </w:rPr>
      </w:pPr>
      <w:r w:rsidRPr="002606DB">
        <w:rPr>
          <w:snapToGrid w:val="0"/>
          <w:lang w:val="pt-PT"/>
        </w:rPr>
        <w:t xml:space="preserve">Também se observou melhorias estatisticamente significativas na </w:t>
      </w:r>
      <w:r w:rsidR="004C3061">
        <w:rPr>
          <w:snapToGrid w:val="0"/>
          <w:lang w:val="pt-PT"/>
        </w:rPr>
        <w:t>PFS</w:t>
      </w:r>
      <w:r w:rsidRPr="002606DB">
        <w:rPr>
          <w:snapToGrid w:val="0"/>
          <w:lang w:val="pt-PT"/>
        </w:rPr>
        <w:t xml:space="preserve">. A taxa de resposta objetiva foi baixa em ambos os </w:t>
      </w:r>
      <w:r w:rsidR="00B72472">
        <w:rPr>
          <w:snapToGrid w:val="0"/>
          <w:lang w:val="pt-PT"/>
        </w:rPr>
        <w:t>grupo</w:t>
      </w:r>
      <w:r w:rsidRPr="002606DB">
        <w:rPr>
          <w:snapToGrid w:val="0"/>
          <w:lang w:val="pt-PT"/>
        </w:rPr>
        <w:t>s de tratamento e a diferença não foi significativa.</w:t>
      </w:r>
    </w:p>
    <w:p w14:paraId="34380021" w14:textId="77777777" w:rsidR="00162CE2" w:rsidRPr="002606DB" w:rsidRDefault="00162CE2" w:rsidP="00056F35">
      <w:pPr>
        <w:pStyle w:val="a3"/>
        <w:adjustRightInd w:val="0"/>
        <w:snapToGrid w:val="0"/>
        <w:rPr>
          <w:snapToGrid w:val="0"/>
          <w:lang w:val="pt-PT"/>
        </w:rPr>
      </w:pPr>
    </w:p>
    <w:p w14:paraId="6369BCC4" w14:textId="1F962E84" w:rsidR="00162CE2" w:rsidRPr="002606DB" w:rsidRDefault="00162CE2" w:rsidP="00056F35">
      <w:pPr>
        <w:pStyle w:val="a3"/>
        <w:adjustRightInd w:val="0"/>
        <w:snapToGrid w:val="0"/>
        <w:rPr>
          <w:snapToGrid w:val="0"/>
          <w:lang w:val="pt-PT"/>
        </w:rPr>
      </w:pPr>
      <w:r w:rsidRPr="002606DB">
        <w:rPr>
          <w:snapToGrid w:val="0"/>
          <w:lang w:val="pt-PT"/>
        </w:rPr>
        <w:t>O estudo E3200 utilizou uma dose correspondente de 5 mg/kg/semana de bevacizumab em doentes sem tratamento prévio com bevacizumab (naïve), enquanto o estudo </w:t>
      </w:r>
      <w:r w:rsidR="00792049">
        <w:rPr>
          <w:snapToGrid w:val="0"/>
          <w:lang w:val="pt-PT"/>
        </w:rPr>
        <w:t>ML</w:t>
      </w:r>
      <w:r w:rsidR="00792049" w:rsidRPr="002606DB">
        <w:rPr>
          <w:snapToGrid w:val="0"/>
          <w:lang w:val="pt-PT"/>
        </w:rPr>
        <w:t xml:space="preserve">18147 </w:t>
      </w:r>
      <w:r w:rsidRPr="002606DB">
        <w:rPr>
          <w:snapToGrid w:val="0"/>
          <w:lang w:val="pt-PT"/>
        </w:rPr>
        <w:t>utilizou uma dose correspondente de 2,5 mg/kg/semana de bevacizumab em doentes pré-tratados com bevacizumab. Uma comparação entre ensaios de dados de eficácia e segurança está limitada por diferenças entre estes estudos, principalmente ao nível das populações de doentes, exposição prévia a bevacizumab e regimes de quimioterapia. Ambas as doses equivalentes de 5 mg/kg/semana e 2,5 mg/kg/semana de bevacizumab determinaram um benefício estatisticamente significativo em relação à OS (HR de 0,751 no estudo E3200; HR de 0,81 no estudo ml18147) e à PFS (HR de 0,518 no estudo E3200; HR de 0,68 no estudo ml18147). Em termos de segurança houve uma maior incidência global de acontecimentos adversos de grau 3-5 no estudo E3200 do que em relação ao estudo </w:t>
      </w:r>
      <w:r w:rsidR="003A5B04">
        <w:rPr>
          <w:snapToGrid w:val="0"/>
          <w:lang w:val="pt-PT"/>
        </w:rPr>
        <w:t>ML</w:t>
      </w:r>
      <w:r w:rsidRPr="002606DB">
        <w:rPr>
          <w:snapToGrid w:val="0"/>
          <w:lang w:val="pt-PT"/>
        </w:rPr>
        <w:t>18147.</w:t>
      </w:r>
    </w:p>
    <w:p w14:paraId="6A7B8FAE" w14:textId="77777777" w:rsidR="00162CE2" w:rsidRPr="002606DB" w:rsidRDefault="00162CE2" w:rsidP="00056F35">
      <w:pPr>
        <w:pStyle w:val="a3"/>
        <w:adjustRightInd w:val="0"/>
        <w:snapToGrid w:val="0"/>
        <w:rPr>
          <w:snapToGrid w:val="0"/>
          <w:lang w:val="pt-PT"/>
        </w:rPr>
      </w:pPr>
    </w:p>
    <w:p w14:paraId="2143F64E" w14:textId="77777777" w:rsidR="00162CE2" w:rsidRPr="002606DB" w:rsidRDefault="00162CE2" w:rsidP="00056F35">
      <w:pPr>
        <w:adjustRightInd w:val="0"/>
        <w:snapToGrid w:val="0"/>
        <w:rPr>
          <w:i/>
          <w:snapToGrid w:val="0"/>
          <w:lang w:val="pt-PT"/>
        </w:rPr>
      </w:pPr>
      <w:r w:rsidRPr="002606DB">
        <w:rPr>
          <w:i/>
          <w:snapToGrid w:val="0"/>
          <w:u w:val="single"/>
          <w:lang w:val="pt-PT"/>
        </w:rPr>
        <w:t>Cancro da mama metastizado (mBC)</w:t>
      </w:r>
    </w:p>
    <w:p w14:paraId="474CDDFC" w14:textId="77777777" w:rsidR="00162CE2" w:rsidRPr="002606DB" w:rsidRDefault="00162CE2" w:rsidP="00056F35">
      <w:pPr>
        <w:pStyle w:val="a3"/>
        <w:adjustRightInd w:val="0"/>
        <w:snapToGrid w:val="0"/>
        <w:rPr>
          <w:i/>
          <w:snapToGrid w:val="0"/>
          <w:lang w:val="pt-PT"/>
        </w:rPr>
      </w:pPr>
    </w:p>
    <w:p w14:paraId="6AECE99B" w14:textId="2B2A379E" w:rsidR="00162CE2" w:rsidRPr="002606DB" w:rsidRDefault="00162CE2" w:rsidP="00056F35">
      <w:pPr>
        <w:pStyle w:val="a3"/>
        <w:adjustRightInd w:val="0"/>
        <w:snapToGrid w:val="0"/>
        <w:rPr>
          <w:snapToGrid w:val="0"/>
          <w:lang w:val="pt-PT"/>
        </w:rPr>
      </w:pPr>
      <w:r w:rsidRPr="002606DB">
        <w:rPr>
          <w:snapToGrid w:val="0"/>
          <w:lang w:val="pt-PT"/>
        </w:rPr>
        <w:t xml:space="preserve">Dois extensos ensaios de Fase III foram desenhados para investigar o efeito do tratamento de </w:t>
      </w:r>
      <w:r w:rsidRPr="007155C0">
        <w:rPr>
          <w:color w:val="000000"/>
          <w:lang w:val="pt-PT"/>
        </w:rPr>
        <w:t xml:space="preserve">bevacizumab </w:t>
      </w:r>
      <w:r w:rsidRPr="002606DB">
        <w:rPr>
          <w:snapToGrid w:val="0"/>
          <w:lang w:val="pt-PT"/>
        </w:rPr>
        <w:t>em associação com dois agentes individuais de quimioterapia, avaliado através da PFS como objetivo primário. Em ambos os ensaios foi observada uma melhoria clinicamente importante e estatisticamente significativa da PFS.</w:t>
      </w:r>
    </w:p>
    <w:p w14:paraId="1DCAD014" w14:textId="77777777" w:rsidR="00162CE2" w:rsidRPr="002606DB" w:rsidRDefault="00162CE2" w:rsidP="00056F35">
      <w:pPr>
        <w:pStyle w:val="a3"/>
        <w:adjustRightInd w:val="0"/>
        <w:snapToGrid w:val="0"/>
        <w:rPr>
          <w:snapToGrid w:val="0"/>
          <w:lang w:val="pt-PT"/>
        </w:rPr>
      </w:pPr>
    </w:p>
    <w:p w14:paraId="089D50FB" w14:textId="77777777" w:rsidR="00162CE2" w:rsidRPr="002606DB" w:rsidRDefault="00162CE2" w:rsidP="00056F35">
      <w:pPr>
        <w:pStyle w:val="a3"/>
        <w:adjustRightInd w:val="0"/>
        <w:snapToGrid w:val="0"/>
        <w:rPr>
          <w:snapToGrid w:val="0"/>
          <w:lang w:val="pt-PT"/>
        </w:rPr>
      </w:pPr>
      <w:r w:rsidRPr="002606DB">
        <w:rPr>
          <w:snapToGrid w:val="0"/>
          <w:lang w:val="pt-PT"/>
        </w:rPr>
        <w:t>Os resultados da PFS são resumidos abaixo para os agentes individuais de quimioterapia incluídos na indicação:</w:t>
      </w:r>
    </w:p>
    <w:p w14:paraId="16386C20" w14:textId="77777777" w:rsidR="00162CE2" w:rsidRPr="002606DB" w:rsidRDefault="00162CE2" w:rsidP="00056F35">
      <w:pPr>
        <w:pStyle w:val="a3"/>
        <w:adjustRightInd w:val="0"/>
        <w:snapToGrid w:val="0"/>
        <w:rPr>
          <w:snapToGrid w:val="0"/>
          <w:lang w:val="pt-PT"/>
        </w:rPr>
      </w:pPr>
    </w:p>
    <w:p w14:paraId="0D98D148" w14:textId="2EF238F1" w:rsidR="00162CE2" w:rsidRPr="002606DB" w:rsidRDefault="00162CE2" w:rsidP="009228C4">
      <w:pPr>
        <w:pStyle w:val="a4"/>
        <w:numPr>
          <w:ilvl w:val="0"/>
          <w:numId w:val="13"/>
        </w:numPr>
        <w:adjustRightInd w:val="0"/>
        <w:snapToGrid w:val="0"/>
        <w:ind w:left="1134" w:hanging="567"/>
        <w:rPr>
          <w:snapToGrid w:val="0"/>
          <w:lang w:val="pt-PT"/>
        </w:rPr>
      </w:pPr>
      <w:r w:rsidRPr="002606DB">
        <w:rPr>
          <w:snapToGrid w:val="0"/>
          <w:lang w:val="pt-PT"/>
        </w:rPr>
        <w:lastRenderedPageBreak/>
        <w:t>Estudo E2100 (paclitaxel)</w:t>
      </w:r>
    </w:p>
    <w:p w14:paraId="3AA17FD6" w14:textId="46A28B2F" w:rsidR="00162CE2" w:rsidRPr="002606DB" w:rsidRDefault="00162CE2" w:rsidP="009228C4">
      <w:pPr>
        <w:pStyle w:val="a4"/>
        <w:numPr>
          <w:ilvl w:val="0"/>
          <w:numId w:val="13"/>
        </w:numPr>
        <w:adjustRightInd w:val="0"/>
        <w:snapToGrid w:val="0"/>
        <w:ind w:left="1701" w:hanging="567"/>
        <w:rPr>
          <w:snapToGrid w:val="0"/>
          <w:lang w:val="pt-PT"/>
        </w:rPr>
      </w:pPr>
      <w:r w:rsidRPr="002606DB">
        <w:rPr>
          <w:snapToGrid w:val="0"/>
          <w:lang w:val="pt-PT"/>
        </w:rPr>
        <w:t>5,6 meses de aumento da mediana da PFS, HR 0,421 (p &lt; 0,0001, IC 95% 0,343 ; 0,516)</w:t>
      </w:r>
    </w:p>
    <w:p w14:paraId="60B215EC" w14:textId="43745CE1" w:rsidR="00162CE2" w:rsidRPr="002606DB" w:rsidRDefault="00162CE2" w:rsidP="009228C4">
      <w:pPr>
        <w:pStyle w:val="a4"/>
        <w:numPr>
          <w:ilvl w:val="0"/>
          <w:numId w:val="13"/>
        </w:numPr>
        <w:adjustRightInd w:val="0"/>
        <w:snapToGrid w:val="0"/>
        <w:ind w:left="1134" w:hanging="567"/>
        <w:rPr>
          <w:snapToGrid w:val="0"/>
          <w:lang w:val="pt-PT"/>
        </w:rPr>
      </w:pPr>
      <w:r w:rsidRPr="002606DB">
        <w:rPr>
          <w:snapToGrid w:val="0"/>
          <w:lang w:val="pt-PT"/>
        </w:rPr>
        <w:t>Estudo AVF3694g (capecitabina)</w:t>
      </w:r>
    </w:p>
    <w:p w14:paraId="2AFFEF21" w14:textId="672F44AF" w:rsidR="00162CE2" w:rsidRPr="002606DB" w:rsidRDefault="00162CE2" w:rsidP="009228C4">
      <w:pPr>
        <w:pStyle w:val="a4"/>
        <w:numPr>
          <w:ilvl w:val="0"/>
          <w:numId w:val="13"/>
        </w:numPr>
        <w:adjustRightInd w:val="0"/>
        <w:snapToGrid w:val="0"/>
        <w:ind w:left="1701" w:hanging="567"/>
        <w:rPr>
          <w:snapToGrid w:val="0"/>
          <w:lang w:val="pt-PT"/>
        </w:rPr>
      </w:pPr>
      <w:r w:rsidRPr="002606DB">
        <w:rPr>
          <w:snapToGrid w:val="0"/>
          <w:lang w:val="pt-PT"/>
        </w:rPr>
        <w:t>2,9 meses de aumento da mediana da PFS, HR 0,69 (p = 0,0002, IC 95% 0,56 ; 0,84) Detalhes adicionais de cada estudo e os resultados são apresentados abaixo.</w:t>
      </w:r>
    </w:p>
    <w:p w14:paraId="37858A26" w14:textId="77777777" w:rsidR="00162CE2" w:rsidRPr="002606DB" w:rsidRDefault="00162CE2" w:rsidP="00056F35">
      <w:pPr>
        <w:adjustRightInd w:val="0"/>
        <w:snapToGrid w:val="0"/>
        <w:rPr>
          <w:snapToGrid w:val="0"/>
          <w:lang w:val="pt-PT"/>
        </w:rPr>
      </w:pPr>
    </w:p>
    <w:p w14:paraId="1911A062" w14:textId="77777777" w:rsidR="00162CE2" w:rsidRPr="002606DB" w:rsidRDefault="00162CE2" w:rsidP="00056F35">
      <w:pPr>
        <w:adjustRightInd w:val="0"/>
        <w:snapToGrid w:val="0"/>
        <w:rPr>
          <w:i/>
          <w:snapToGrid w:val="0"/>
          <w:lang w:val="pt-PT"/>
        </w:rPr>
      </w:pPr>
      <w:r w:rsidRPr="002606DB">
        <w:rPr>
          <w:i/>
          <w:snapToGrid w:val="0"/>
          <w:lang w:val="pt-PT"/>
        </w:rPr>
        <w:t>ECOG E2100</w:t>
      </w:r>
    </w:p>
    <w:p w14:paraId="54429B81" w14:textId="4C1F602D" w:rsidR="00162CE2" w:rsidRPr="002606DB" w:rsidRDefault="00162CE2" w:rsidP="00056F35">
      <w:pPr>
        <w:pStyle w:val="a3"/>
        <w:adjustRightInd w:val="0"/>
        <w:snapToGrid w:val="0"/>
        <w:rPr>
          <w:snapToGrid w:val="0"/>
          <w:lang w:val="pt-PT"/>
        </w:rPr>
      </w:pPr>
      <w:r w:rsidRPr="002606DB">
        <w:rPr>
          <w:snapToGrid w:val="0"/>
          <w:lang w:val="pt-PT"/>
        </w:rPr>
        <w:t xml:space="preserve">O ensaio E2100 foi um ensaio clínico aberto, aleatorizado, controlado por comparador ativo, multicêntrico, para avaliar o </w:t>
      </w:r>
      <w:r w:rsidRPr="007155C0">
        <w:rPr>
          <w:color w:val="000000"/>
          <w:lang w:val="pt-PT"/>
        </w:rPr>
        <w:t xml:space="preserve">bevacizumab </w:t>
      </w:r>
      <w:r w:rsidRPr="002606DB">
        <w:rPr>
          <w:snapToGrid w:val="0"/>
          <w:lang w:val="pt-PT"/>
        </w:rPr>
        <w:t xml:space="preserve">em associação com paclitaxel no cancro da mama localmente avançado ou metastizado em doentes não anteriormente tratados com quimioterapia para a doença metastática ou localmente avançada. Os doentes foram aleatoriamente distribuídos para o </w:t>
      </w:r>
      <w:r w:rsidR="00B72472">
        <w:rPr>
          <w:snapToGrid w:val="0"/>
          <w:lang w:val="pt-PT"/>
        </w:rPr>
        <w:t>grupo</w:t>
      </w:r>
      <w:r w:rsidRPr="002606DB">
        <w:rPr>
          <w:snapToGrid w:val="0"/>
          <w:lang w:val="pt-PT"/>
        </w:rPr>
        <w:t xml:space="preserve"> de tratamento com paclitaxel sozinho (90 mg/m</w:t>
      </w:r>
      <w:r w:rsidRPr="002606DB">
        <w:rPr>
          <w:snapToGrid w:val="0"/>
          <w:vertAlign w:val="superscript"/>
          <w:lang w:val="pt-PT"/>
        </w:rPr>
        <w:t>2</w:t>
      </w:r>
      <w:r w:rsidRPr="002606DB">
        <w:rPr>
          <w:snapToGrid w:val="0"/>
          <w:lang w:val="pt-PT"/>
        </w:rPr>
        <w:t xml:space="preserve"> por via intravenosa durante 1 hora, uma vez por semana, durante três semanas em cada quatro) ou no </w:t>
      </w:r>
      <w:r w:rsidR="00B72472">
        <w:rPr>
          <w:snapToGrid w:val="0"/>
          <w:lang w:val="pt-PT"/>
        </w:rPr>
        <w:t>grupo</w:t>
      </w:r>
      <w:r w:rsidRPr="002606DB">
        <w:rPr>
          <w:snapToGrid w:val="0"/>
          <w:lang w:val="pt-PT"/>
        </w:rPr>
        <w:t xml:space="preserve"> em associação com </w:t>
      </w:r>
      <w:r w:rsidRPr="007155C0">
        <w:rPr>
          <w:color w:val="000000"/>
          <w:lang w:val="pt-PT"/>
        </w:rPr>
        <w:t xml:space="preserve">bevacizumab </w:t>
      </w:r>
      <w:r w:rsidRPr="002606DB">
        <w:rPr>
          <w:snapToGrid w:val="0"/>
          <w:lang w:val="pt-PT"/>
        </w:rPr>
        <w:t xml:space="preserve">(10 mg/kg por perfusão intravenosa, administrado de duas em duas semanas). Foi permitida terapêutica hormonal anterior, para tratamento da doença metastática. A terapêutica adjuvante com taxanos foi permitida apenas nos casos em que tivesse sido concluída, pelo menos, 12 meses antes do doente entrar para o ensaio. Dos 722 doentes do ensaio, a maioria (90%) apresentava doença HER2 negativa e um número pequeno de doentes tinha </w:t>
      </w:r>
      <w:r w:rsidRPr="002606DB">
        <w:rPr>
          <w:i/>
          <w:snapToGrid w:val="0"/>
          <w:lang w:val="pt-PT"/>
        </w:rPr>
        <w:t xml:space="preserve">status </w:t>
      </w:r>
      <w:r w:rsidRPr="002606DB">
        <w:rPr>
          <w:snapToGrid w:val="0"/>
          <w:lang w:val="pt-PT"/>
        </w:rPr>
        <w:t>HER2 desconhecido (8%) ou positivo confirmado (2%). Neste pequeno número de doentes, incluíam-se doentes anteriormente tratados com trastuzumab e doentes para os quais este tratamento não foi considerado adequado. Adicionalmente, 65% dos doentes tinham sido anteriormente submetidos a quimioterapia adjuvante, incluindo taxanos (19%) e antraciclinas (49%). Foram excluídos doentes com metástases do sistema nervoso central, incluindo doentes com lesões cerebrais anteriormente tratadas ou sujeitas a ressecção.</w:t>
      </w:r>
    </w:p>
    <w:p w14:paraId="1A547DC8" w14:textId="77777777" w:rsidR="00162CE2" w:rsidRPr="002606DB" w:rsidRDefault="00162CE2" w:rsidP="00056F35">
      <w:pPr>
        <w:pStyle w:val="a3"/>
        <w:adjustRightInd w:val="0"/>
        <w:snapToGrid w:val="0"/>
        <w:rPr>
          <w:snapToGrid w:val="0"/>
          <w:lang w:val="pt-PT"/>
        </w:rPr>
      </w:pPr>
    </w:p>
    <w:p w14:paraId="366A13EF" w14:textId="6AB988D2" w:rsidR="00162CE2" w:rsidRPr="002606DB" w:rsidRDefault="00162CE2" w:rsidP="00056F35">
      <w:pPr>
        <w:pStyle w:val="a3"/>
        <w:adjustRightInd w:val="0"/>
        <w:snapToGrid w:val="0"/>
        <w:rPr>
          <w:snapToGrid w:val="0"/>
          <w:lang w:val="pt-PT"/>
        </w:rPr>
      </w:pPr>
      <w:r w:rsidRPr="002606DB">
        <w:rPr>
          <w:snapToGrid w:val="0"/>
          <w:lang w:val="pt-PT"/>
        </w:rPr>
        <w:t xml:space="preserve">No ensaio E2100, os doentes foram tratados até progressão de doença. Em situações em que a descontinuação precoce da quimioterapia era necessária, o tratamento com </w:t>
      </w:r>
      <w:r w:rsidRPr="007155C0">
        <w:rPr>
          <w:color w:val="000000"/>
          <w:lang w:val="pt-PT"/>
        </w:rPr>
        <w:t xml:space="preserve">bevacizumab </w:t>
      </w:r>
      <w:r w:rsidRPr="002606DB">
        <w:rPr>
          <w:snapToGrid w:val="0"/>
          <w:lang w:val="pt-PT"/>
        </w:rPr>
        <w:t xml:space="preserve">em monoterapia manteve-se até progressão de doença. As características dos doentes eram semelhantes nos </w:t>
      </w:r>
      <w:r w:rsidR="00B72472">
        <w:rPr>
          <w:snapToGrid w:val="0"/>
          <w:lang w:val="pt-PT"/>
        </w:rPr>
        <w:t>grupo</w:t>
      </w:r>
      <w:r w:rsidRPr="002606DB">
        <w:rPr>
          <w:snapToGrid w:val="0"/>
          <w:lang w:val="pt-PT"/>
        </w:rPr>
        <w:t xml:space="preserve">s do ensaio. O objetivo primário deste ensaio clínico era a </w:t>
      </w:r>
      <w:r w:rsidR="00D61458" w:rsidRPr="002606DB">
        <w:rPr>
          <w:snapToGrid w:val="0"/>
          <w:lang w:val="pt-PT"/>
        </w:rPr>
        <w:t>PFS</w:t>
      </w:r>
      <w:r w:rsidRPr="002606DB">
        <w:rPr>
          <w:snapToGrid w:val="0"/>
          <w:lang w:val="pt-PT"/>
        </w:rPr>
        <w:t>, baseada na avaliação, pelo investigador, da progressão de doença. Adicionalmente, foi também efetuada uma revisão independente do objetivo primário. Os resultados deste ensaio são apresentados na tabela 10.</w:t>
      </w:r>
    </w:p>
    <w:p w14:paraId="1E8B8D18" w14:textId="77777777" w:rsidR="00162CE2" w:rsidRPr="002606DB" w:rsidRDefault="00162CE2" w:rsidP="00056F35">
      <w:pPr>
        <w:adjustRightInd w:val="0"/>
        <w:snapToGrid w:val="0"/>
        <w:rPr>
          <w:snapToGrid w:val="0"/>
          <w:lang w:val="pt-PT"/>
        </w:rPr>
      </w:pPr>
    </w:p>
    <w:p w14:paraId="6AB0A051"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10</w:t>
      </w:r>
      <w:r w:rsidRPr="00730741">
        <w:rPr>
          <w:b/>
          <w:bCs/>
          <w:snapToGrid w:val="0"/>
          <w:lang w:val="pt-PT"/>
        </w:rPr>
        <w:tab/>
        <w:t>Resultados de eficácia do ensaio E2100</w:t>
      </w:r>
    </w:p>
    <w:p w14:paraId="15033206"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5"/>
        <w:gridCol w:w="1387"/>
        <w:gridCol w:w="1865"/>
        <w:gridCol w:w="1494"/>
        <w:gridCol w:w="1865"/>
      </w:tblGrid>
      <w:tr w:rsidR="00162CE2" w:rsidRPr="002606DB" w14:paraId="1DCE4EFB" w14:textId="77777777" w:rsidTr="009228C4">
        <w:trPr>
          <w:cantSplit/>
        </w:trPr>
        <w:tc>
          <w:tcPr>
            <w:tcW w:w="9292" w:type="dxa"/>
            <w:gridSpan w:val="5"/>
          </w:tcPr>
          <w:p w14:paraId="36A2C78D" w14:textId="77777777" w:rsidR="00162CE2" w:rsidRPr="002606DB" w:rsidRDefault="00162CE2" w:rsidP="00A03389">
            <w:pPr>
              <w:pStyle w:val="TableParagraph"/>
              <w:adjustRightInd w:val="0"/>
              <w:snapToGrid w:val="0"/>
              <w:rPr>
                <w:b/>
                <w:bCs/>
                <w:snapToGrid w:val="0"/>
                <w:sz w:val="20"/>
                <w:szCs w:val="20"/>
                <w:lang w:val="pt-PT"/>
              </w:rPr>
            </w:pPr>
            <w:r w:rsidRPr="002606DB">
              <w:rPr>
                <w:b/>
                <w:bCs/>
                <w:snapToGrid w:val="0"/>
                <w:sz w:val="20"/>
                <w:szCs w:val="20"/>
                <w:lang w:val="pt-PT"/>
              </w:rPr>
              <w:t>Sobrevivência livre de progressão</w:t>
            </w:r>
          </w:p>
        </w:tc>
      </w:tr>
      <w:tr w:rsidR="00162CE2" w:rsidRPr="002606DB" w14:paraId="52B00EAC" w14:textId="77777777" w:rsidTr="009228C4">
        <w:trPr>
          <w:cantSplit/>
        </w:trPr>
        <w:tc>
          <w:tcPr>
            <w:tcW w:w="2518" w:type="dxa"/>
          </w:tcPr>
          <w:p w14:paraId="0EB8B619" w14:textId="77777777" w:rsidR="00162CE2" w:rsidRPr="002606DB" w:rsidRDefault="00162CE2" w:rsidP="00192A6C">
            <w:pPr>
              <w:pStyle w:val="TableParagraph"/>
              <w:adjustRightInd w:val="0"/>
              <w:snapToGrid w:val="0"/>
              <w:jc w:val="center"/>
              <w:rPr>
                <w:snapToGrid w:val="0"/>
                <w:sz w:val="20"/>
                <w:szCs w:val="20"/>
                <w:lang w:val="pt-PT"/>
              </w:rPr>
            </w:pPr>
          </w:p>
        </w:tc>
        <w:tc>
          <w:tcPr>
            <w:tcW w:w="3332" w:type="dxa"/>
            <w:gridSpan w:val="2"/>
          </w:tcPr>
          <w:p w14:paraId="5F2E986C" w14:textId="63BFC14B" w:rsidR="00162CE2" w:rsidRPr="002606DB" w:rsidRDefault="00162CE2" w:rsidP="00192A6C">
            <w:pPr>
              <w:pStyle w:val="TableParagraph"/>
              <w:adjustRightInd w:val="0"/>
              <w:snapToGrid w:val="0"/>
              <w:jc w:val="center"/>
              <w:rPr>
                <w:b/>
                <w:bCs/>
                <w:snapToGrid w:val="0"/>
                <w:sz w:val="20"/>
                <w:szCs w:val="20"/>
                <w:lang w:val="pt-PT"/>
              </w:rPr>
            </w:pPr>
            <w:r w:rsidRPr="002606DB">
              <w:rPr>
                <w:b/>
                <w:bCs/>
                <w:snapToGrid w:val="0"/>
                <w:sz w:val="20"/>
                <w:szCs w:val="20"/>
                <w:lang w:val="pt-PT"/>
              </w:rPr>
              <w:t>Avaliação do investiga</w:t>
            </w:r>
            <w:r w:rsidR="00E85F34">
              <w:rPr>
                <w:b/>
                <w:bCs/>
                <w:snapToGrid w:val="0"/>
                <w:sz w:val="20"/>
                <w:szCs w:val="20"/>
                <w:lang w:val="pt-PT"/>
              </w:rPr>
              <w:t>d</w:t>
            </w:r>
            <w:r w:rsidRPr="002606DB">
              <w:rPr>
                <w:b/>
                <w:bCs/>
                <w:snapToGrid w:val="0"/>
                <w:sz w:val="20"/>
                <w:szCs w:val="20"/>
                <w:lang w:val="pt-PT"/>
              </w:rPr>
              <w:t>or*</w:t>
            </w:r>
          </w:p>
        </w:tc>
        <w:tc>
          <w:tcPr>
            <w:tcW w:w="3442" w:type="dxa"/>
            <w:gridSpan w:val="2"/>
          </w:tcPr>
          <w:p w14:paraId="199A620B" w14:textId="77777777" w:rsidR="00162CE2" w:rsidRPr="002606DB" w:rsidRDefault="00162CE2" w:rsidP="00192A6C">
            <w:pPr>
              <w:pStyle w:val="TableParagraph"/>
              <w:adjustRightInd w:val="0"/>
              <w:snapToGrid w:val="0"/>
              <w:jc w:val="center"/>
              <w:rPr>
                <w:b/>
                <w:bCs/>
                <w:snapToGrid w:val="0"/>
                <w:sz w:val="20"/>
                <w:szCs w:val="20"/>
                <w:lang w:val="pt-PT"/>
              </w:rPr>
            </w:pPr>
            <w:r w:rsidRPr="002606DB">
              <w:rPr>
                <w:b/>
                <w:bCs/>
                <w:snapToGrid w:val="0"/>
                <w:sz w:val="20"/>
                <w:szCs w:val="20"/>
                <w:lang w:val="pt-PT"/>
              </w:rPr>
              <w:t>Avaliação independente</w:t>
            </w:r>
          </w:p>
        </w:tc>
      </w:tr>
      <w:tr w:rsidR="00162CE2" w:rsidRPr="002606DB" w14:paraId="543E6AF4" w14:textId="77777777" w:rsidTr="009228C4">
        <w:trPr>
          <w:cantSplit/>
        </w:trPr>
        <w:tc>
          <w:tcPr>
            <w:tcW w:w="2518" w:type="dxa"/>
          </w:tcPr>
          <w:p w14:paraId="472FABAF" w14:textId="77777777" w:rsidR="00162CE2" w:rsidRPr="002606DB" w:rsidRDefault="00162CE2" w:rsidP="00192A6C">
            <w:pPr>
              <w:pStyle w:val="TableParagraph"/>
              <w:adjustRightInd w:val="0"/>
              <w:snapToGrid w:val="0"/>
              <w:jc w:val="center"/>
              <w:rPr>
                <w:snapToGrid w:val="0"/>
                <w:sz w:val="20"/>
                <w:szCs w:val="20"/>
                <w:lang w:val="pt-PT"/>
              </w:rPr>
            </w:pPr>
          </w:p>
        </w:tc>
        <w:tc>
          <w:tcPr>
            <w:tcW w:w="1420" w:type="dxa"/>
          </w:tcPr>
          <w:p w14:paraId="0ADA3231" w14:textId="1B6AE8E9"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 xml:space="preserve">Paclitaxel </w:t>
            </w:r>
          </w:p>
          <w:p w14:paraId="6F75E55E" w14:textId="77777777" w:rsidR="009228C4" w:rsidRPr="002606DB" w:rsidRDefault="009228C4" w:rsidP="00192A6C">
            <w:pPr>
              <w:pStyle w:val="TableParagraph"/>
              <w:adjustRightInd w:val="0"/>
              <w:snapToGrid w:val="0"/>
              <w:jc w:val="center"/>
              <w:rPr>
                <w:snapToGrid w:val="0"/>
                <w:sz w:val="20"/>
                <w:szCs w:val="20"/>
                <w:lang w:val="pt-PT"/>
              </w:rPr>
            </w:pPr>
          </w:p>
          <w:p w14:paraId="6FC43E9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354)</w:t>
            </w:r>
          </w:p>
        </w:tc>
        <w:tc>
          <w:tcPr>
            <w:tcW w:w="1912" w:type="dxa"/>
          </w:tcPr>
          <w:p w14:paraId="56A1266D"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Paclitaxel/</w:t>
            </w:r>
          </w:p>
          <w:p w14:paraId="7F4C1735" w14:textId="750CAB16" w:rsidR="00162CE2" w:rsidRPr="002606DB" w:rsidRDefault="00C17DE7" w:rsidP="00192A6C">
            <w:pPr>
              <w:pStyle w:val="TableParagraph"/>
              <w:adjustRightInd w:val="0"/>
              <w:snapToGrid w:val="0"/>
              <w:jc w:val="center"/>
              <w:rPr>
                <w:snapToGrid w:val="0"/>
                <w:sz w:val="20"/>
                <w:szCs w:val="20"/>
                <w:lang w:val="pt-PT"/>
              </w:rPr>
            </w:pPr>
            <w:r w:rsidRPr="002606DB">
              <w:rPr>
                <w:snapToGrid w:val="0"/>
                <w:sz w:val="20"/>
                <w:szCs w:val="20"/>
                <w:lang w:val="pt-PT"/>
              </w:rPr>
              <w:t>B</w:t>
            </w:r>
            <w:r w:rsidR="00162CE2" w:rsidRPr="002606DB">
              <w:rPr>
                <w:snapToGrid w:val="0"/>
                <w:sz w:val="20"/>
                <w:szCs w:val="20"/>
                <w:lang w:val="pt-PT"/>
              </w:rPr>
              <w:t xml:space="preserve">evacizumab </w:t>
            </w:r>
          </w:p>
          <w:p w14:paraId="252356E0"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368)</w:t>
            </w:r>
          </w:p>
        </w:tc>
        <w:tc>
          <w:tcPr>
            <w:tcW w:w="1530" w:type="dxa"/>
          </w:tcPr>
          <w:p w14:paraId="57C88459" w14:textId="18ED463B"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 xml:space="preserve">Paclitaxel </w:t>
            </w:r>
          </w:p>
          <w:p w14:paraId="61ABFB4E" w14:textId="77777777" w:rsidR="009228C4" w:rsidRPr="002606DB" w:rsidRDefault="009228C4" w:rsidP="00192A6C">
            <w:pPr>
              <w:pStyle w:val="TableParagraph"/>
              <w:adjustRightInd w:val="0"/>
              <w:snapToGrid w:val="0"/>
              <w:jc w:val="center"/>
              <w:rPr>
                <w:snapToGrid w:val="0"/>
                <w:sz w:val="20"/>
                <w:szCs w:val="20"/>
                <w:lang w:val="pt-PT"/>
              </w:rPr>
            </w:pPr>
          </w:p>
          <w:p w14:paraId="428A3448"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354)</w:t>
            </w:r>
          </w:p>
        </w:tc>
        <w:tc>
          <w:tcPr>
            <w:tcW w:w="1912" w:type="dxa"/>
          </w:tcPr>
          <w:p w14:paraId="4B0481DA"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Paclitaxel/</w:t>
            </w:r>
          </w:p>
          <w:p w14:paraId="06F65DEB" w14:textId="3236E660" w:rsidR="00162CE2" w:rsidRPr="002606DB" w:rsidRDefault="00C17DE7" w:rsidP="00192A6C">
            <w:pPr>
              <w:pStyle w:val="TableParagraph"/>
              <w:adjustRightInd w:val="0"/>
              <w:snapToGrid w:val="0"/>
              <w:jc w:val="center"/>
              <w:rPr>
                <w:snapToGrid w:val="0"/>
                <w:sz w:val="20"/>
                <w:szCs w:val="20"/>
                <w:lang w:val="pt-PT"/>
              </w:rPr>
            </w:pPr>
            <w:r w:rsidRPr="002606DB">
              <w:rPr>
                <w:snapToGrid w:val="0"/>
                <w:sz w:val="20"/>
                <w:szCs w:val="20"/>
                <w:lang w:val="pt-PT"/>
              </w:rPr>
              <w:t>B</w:t>
            </w:r>
            <w:r w:rsidR="00162CE2" w:rsidRPr="002606DB">
              <w:rPr>
                <w:snapToGrid w:val="0"/>
                <w:sz w:val="20"/>
                <w:szCs w:val="20"/>
                <w:lang w:val="pt-PT"/>
              </w:rPr>
              <w:t xml:space="preserve">evacizumab </w:t>
            </w:r>
          </w:p>
          <w:p w14:paraId="347DAC0E"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368)</w:t>
            </w:r>
          </w:p>
        </w:tc>
      </w:tr>
      <w:tr w:rsidR="00162CE2" w:rsidRPr="002606DB" w14:paraId="21E1A535" w14:textId="77777777" w:rsidTr="009228C4">
        <w:trPr>
          <w:cantSplit/>
        </w:trPr>
        <w:tc>
          <w:tcPr>
            <w:tcW w:w="2518" w:type="dxa"/>
          </w:tcPr>
          <w:p w14:paraId="7999F29F"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PFS Mediana (meses)</w:t>
            </w:r>
          </w:p>
        </w:tc>
        <w:tc>
          <w:tcPr>
            <w:tcW w:w="1420" w:type="dxa"/>
          </w:tcPr>
          <w:p w14:paraId="21FDB1C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5,8</w:t>
            </w:r>
          </w:p>
        </w:tc>
        <w:tc>
          <w:tcPr>
            <w:tcW w:w="1912" w:type="dxa"/>
          </w:tcPr>
          <w:p w14:paraId="1C98F37C"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11,4</w:t>
            </w:r>
          </w:p>
        </w:tc>
        <w:tc>
          <w:tcPr>
            <w:tcW w:w="1530" w:type="dxa"/>
          </w:tcPr>
          <w:p w14:paraId="32C1A2A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5,8</w:t>
            </w:r>
          </w:p>
        </w:tc>
        <w:tc>
          <w:tcPr>
            <w:tcW w:w="1912" w:type="dxa"/>
          </w:tcPr>
          <w:p w14:paraId="4988D860"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11,3</w:t>
            </w:r>
          </w:p>
        </w:tc>
      </w:tr>
      <w:tr w:rsidR="00162CE2" w:rsidRPr="002606DB" w14:paraId="4A02E39F" w14:textId="77777777" w:rsidTr="009228C4">
        <w:trPr>
          <w:cantSplit/>
        </w:trPr>
        <w:tc>
          <w:tcPr>
            <w:tcW w:w="2518" w:type="dxa"/>
          </w:tcPr>
          <w:p w14:paraId="688B9CEC" w14:textId="4E6754D4" w:rsidR="00162CE2" w:rsidRPr="002606DB" w:rsidRDefault="00162CE2" w:rsidP="00192A6C">
            <w:pPr>
              <w:pStyle w:val="TableParagraph"/>
              <w:adjustRightInd w:val="0"/>
              <w:snapToGrid w:val="0"/>
              <w:jc w:val="center"/>
              <w:rPr>
                <w:snapToGrid w:val="0"/>
                <w:sz w:val="20"/>
                <w:szCs w:val="20"/>
                <w:lang w:val="pt-PT"/>
              </w:rPr>
            </w:pPr>
            <w:r w:rsidRPr="002606DB">
              <w:rPr>
                <w:i/>
                <w:snapToGrid w:val="0"/>
                <w:sz w:val="20"/>
                <w:szCs w:val="20"/>
                <w:lang w:val="pt-PT"/>
              </w:rPr>
              <w:t xml:space="preserve">Hazard </w:t>
            </w:r>
            <w:r w:rsidR="00E85F34">
              <w:rPr>
                <w:i/>
                <w:snapToGrid w:val="0"/>
                <w:sz w:val="20"/>
                <w:szCs w:val="20"/>
                <w:lang w:val="pt-PT"/>
              </w:rPr>
              <w:t>r</w:t>
            </w:r>
            <w:r w:rsidRPr="002606DB">
              <w:rPr>
                <w:i/>
                <w:snapToGrid w:val="0"/>
                <w:sz w:val="20"/>
                <w:szCs w:val="20"/>
                <w:lang w:val="pt-PT"/>
              </w:rPr>
              <w:t xml:space="preserve">atio </w:t>
            </w:r>
            <w:r w:rsidRPr="002606DB">
              <w:rPr>
                <w:snapToGrid w:val="0"/>
                <w:sz w:val="20"/>
                <w:szCs w:val="20"/>
                <w:lang w:val="pt-PT"/>
              </w:rPr>
              <w:t>(taxa de risco)</w:t>
            </w:r>
          </w:p>
          <w:p w14:paraId="4F0FEC3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(IC 95%)</w:t>
            </w:r>
          </w:p>
        </w:tc>
        <w:tc>
          <w:tcPr>
            <w:tcW w:w="3332" w:type="dxa"/>
            <w:gridSpan w:val="2"/>
          </w:tcPr>
          <w:p w14:paraId="30E4E134"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0,421</w:t>
            </w:r>
          </w:p>
          <w:p w14:paraId="57A053B8" w14:textId="77777777" w:rsidR="00162CE2" w:rsidRPr="002606DB" w:rsidRDefault="00162CE2" w:rsidP="00192A6C">
            <w:pPr>
              <w:pStyle w:val="TableParagraph"/>
              <w:adjustRightInd w:val="0"/>
              <w:snapToGrid w:val="0"/>
              <w:jc w:val="center"/>
              <w:rPr>
                <w:b/>
                <w:snapToGrid w:val="0"/>
                <w:sz w:val="20"/>
                <w:szCs w:val="20"/>
                <w:lang w:val="pt-PT"/>
              </w:rPr>
            </w:pPr>
          </w:p>
          <w:p w14:paraId="3CB88CCA"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(0,343 ; 0,516)</w:t>
            </w:r>
          </w:p>
        </w:tc>
        <w:tc>
          <w:tcPr>
            <w:tcW w:w="3442" w:type="dxa"/>
            <w:gridSpan w:val="2"/>
          </w:tcPr>
          <w:p w14:paraId="0EFDFE26"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0,483</w:t>
            </w:r>
          </w:p>
          <w:p w14:paraId="410BA656" w14:textId="77777777" w:rsidR="00162CE2" w:rsidRPr="002606DB" w:rsidRDefault="00162CE2" w:rsidP="00192A6C">
            <w:pPr>
              <w:pStyle w:val="TableParagraph"/>
              <w:adjustRightInd w:val="0"/>
              <w:snapToGrid w:val="0"/>
              <w:jc w:val="center"/>
              <w:rPr>
                <w:b/>
                <w:snapToGrid w:val="0"/>
                <w:sz w:val="20"/>
                <w:szCs w:val="20"/>
                <w:lang w:val="pt-PT"/>
              </w:rPr>
            </w:pPr>
          </w:p>
          <w:p w14:paraId="76F9035C"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(0,385 ; 0,607)</w:t>
            </w:r>
          </w:p>
        </w:tc>
      </w:tr>
      <w:tr w:rsidR="00162CE2" w:rsidRPr="002606DB" w14:paraId="2581C807" w14:textId="77777777" w:rsidTr="009228C4">
        <w:trPr>
          <w:cantSplit/>
        </w:trPr>
        <w:tc>
          <w:tcPr>
            <w:tcW w:w="2518" w:type="dxa"/>
          </w:tcPr>
          <w:p w14:paraId="6BE326B2"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Valor de p</w:t>
            </w:r>
          </w:p>
        </w:tc>
        <w:tc>
          <w:tcPr>
            <w:tcW w:w="3332" w:type="dxa"/>
            <w:gridSpan w:val="2"/>
          </w:tcPr>
          <w:p w14:paraId="04507600"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&lt; 0,0001</w:t>
            </w:r>
          </w:p>
        </w:tc>
        <w:tc>
          <w:tcPr>
            <w:tcW w:w="3442" w:type="dxa"/>
            <w:gridSpan w:val="2"/>
          </w:tcPr>
          <w:p w14:paraId="1DCB90E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&lt; 0,0001</w:t>
            </w:r>
          </w:p>
        </w:tc>
      </w:tr>
      <w:tr w:rsidR="00162CE2" w:rsidRPr="00730741" w14:paraId="79F9E15C" w14:textId="77777777" w:rsidTr="009228C4">
        <w:trPr>
          <w:cantSplit/>
        </w:trPr>
        <w:tc>
          <w:tcPr>
            <w:tcW w:w="9292" w:type="dxa"/>
            <w:gridSpan w:val="5"/>
          </w:tcPr>
          <w:p w14:paraId="7EE38889" w14:textId="77777777" w:rsidR="00162CE2" w:rsidRPr="00A03389" w:rsidRDefault="00162CE2" w:rsidP="00A03389">
            <w:pPr>
              <w:pStyle w:val="TableParagraph"/>
              <w:adjustRightInd w:val="0"/>
              <w:snapToGrid w:val="0"/>
              <w:rPr>
                <w:b/>
                <w:bCs/>
                <w:snapToGrid w:val="0"/>
                <w:sz w:val="20"/>
                <w:szCs w:val="20"/>
                <w:lang w:val="pt-PT"/>
              </w:rPr>
            </w:pPr>
            <w:r w:rsidRPr="00A03389">
              <w:rPr>
                <w:b/>
                <w:bCs/>
                <w:snapToGrid w:val="0"/>
                <w:sz w:val="20"/>
                <w:szCs w:val="20"/>
                <w:lang w:val="pt-PT"/>
              </w:rPr>
              <w:t>Taxas de Resposta (em doentes com doença mensurável)</w:t>
            </w:r>
          </w:p>
        </w:tc>
      </w:tr>
      <w:tr w:rsidR="00162CE2" w:rsidRPr="002606DB" w14:paraId="7A50DBE9" w14:textId="77777777" w:rsidTr="009228C4">
        <w:trPr>
          <w:cantSplit/>
        </w:trPr>
        <w:tc>
          <w:tcPr>
            <w:tcW w:w="2518" w:type="dxa"/>
          </w:tcPr>
          <w:p w14:paraId="02476E5A" w14:textId="77777777" w:rsidR="00162CE2" w:rsidRPr="00A03389" w:rsidRDefault="00162CE2" w:rsidP="00192A6C">
            <w:pPr>
              <w:pStyle w:val="TableParagraph"/>
              <w:adjustRightInd w:val="0"/>
              <w:snapToGrid w:val="0"/>
              <w:jc w:val="center"/>
              <w:rPr>
                <w:b/>
                <w:bCs/>
                <w:snapToGrid w:val="0"/>
                <w:sz w:val="20"/>
                <w:szCs w:val="20"/>
                <w:lang w:val="pt-PT"/>
              </w:rPr>
            </w:pPr>
          </w:p>
        </w:tc>
        <w:tc>
          <w:tcPr>
            <w:tcW w:w="3332" w:type="dxa"/>
            <w:gridSpan w:val="2"/>
          </w:tcPr>
          <w:p w14:paraId="096123C7" w14:textId="77777777" w:rsidR="00162CE2" w:rsidRPr="00A03389" w:rsidRDefault="00162CE2" w:rsidP="00192A6C">
            <w:pPr>
              <w:pStyle w:val="TableParagraph"/>
              <w:adjustRightInd w:val="0"/>
              <w:snapToGrid w:val="0"/>
              <w:jc w:val="center"/>
              <w:rPr>
                <w:b/>
                <w:bCs/>
                <w:snapToGrid w:val="0"/>
                <w:sz w:val="20"/>
                <w:szCs w:val="20"/>
                <w:lang w:val="pt-PT"/>
              </w:rPr>
            </w:pPr>
            <w:r w:rsidRPr="00A03389">
              <w:rPr>
                <w:b/>
                <w:bCs/>
                <w:snapToGrid w:val="0"/>
                <w:sz w:val="20"/>
                <w:szCs w:val="20"/>
                <w:lang w:val="pt-PT"/>
              </w:rPr>
              <w:t>Avaliação do investigator</w:t>
            </w:r>
          </w:p>
        </w:tc>
        <w:tc>
          <w:tcPr>
            <w:tcW w:w="3442" w:type="dxa"/>
            <w:gridSpan w:val="2"/>
          </w:tcPr>
          <w:p w14:paraId="6EA63BCB" w14:textId="77777777" w:rsidR="00162CE2" w:rsidRPr="00A03389" w:rsidRDefault="00162CE2" w:rsidP="00192A6C">
            <w:pPr>
              <w:pStyle w:val="TableParagraph"/>
              <w:adjustRightInd w:val="0"/>
              <w:snapToGrid w:val="0"/>
              <w:jc w:val="center"/>
              <w:rPr>
                <w:b/>
                <w:bCs/>
                <w:snapToGrid w:val="0"/>
                <w:sz w:val="20"/>
                <w:szCs w:val="20"/>
                <w:lang w:val="pt-PT"/>
              </w:rPr>
            </w:pPr>
            <w:r w:rsidRPr="00A03389">
              <w:rPr>
                <w:b/>
                <w:bCs/>
                <w:snapToGrid w:val="0"/>
                <w:sz w:val="20"/>
                <w:szCs w:val="20"/>
                <w:lang w:val="pt-PT"/>
              </w:rPr>
              <w:t>Avaliação independente</w:t>
            </w:r>
          </w:p>
        </w:tc>
      </w:tr>
      <w:tr w:rsidR="00162CE2" w:rsidRPr="002606DB" w14:paraId="36DD27A8" w14:textId="77777777" w:rsidTr="009228C4">
        <w:trPr>
          <w:cantSplit/>
        </w:trPr>
        <w:tc>
          <w:tcPr>
            <w:tcW w:w="2518" w:type="dxa"/>
          </w:tcPr>
          <w:p w14:paraId="0B117069" w14:textId="77777777" w:rsidR="00162CE2" w:rsidRPr="002606DB" w:rsidRDefault="00162CE2" w:rsidP="00192A6C">
            <w:pPr>
              <w:pStyle w:val="TableParagraph"/>
              <w:adjustRightInd w:val="0"/>
              <w:snapToGrid w:val="0"/>
              <w:jc w:val="center"/>
              <w:rPr>
                <w:snapToGrid w:val="0"/>
                <w:sz w:val="20"/>
                <w:szCs w:val="20"/>
                <w:lang w:val="pt-PT"/>
              </w:rPr>
            </w:pPr>
          </w:p>
        </w:tc>
        <w:tc>
          <w:tcPr>
            <w:tcW w:w="1420" w:type="dxa"/>
          </w:tcPr>
          <w:p w14:paraId="37121BE0" w14:textId="5CFF8C6D"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 xml:space="preserve">Paclitaxel </w:t>
            </w:r>
          </w:p>
          <w:p w14:paraId="52BB0D4F" w14:textId="77777777" w:rsidR="009228C4" w:rsidRPr="002606DB" w:rsidRDefault="009228C4" w:rsidP="00192A6C">
            <w:pPr>
              <w:pStyle w:val="TableParagraph"/>
              <w:adjustRightInd w:val="0"/>
              <w:snapToGrid w:val="0"/>
              <w:jc w:val="center"/>
              <w:rPr>
                <w:snapToGrid w:val="0"/>
                <w:sz w:val="20"/>
                <w:szCs w:val="20"/>
                <w:lang w:val="pt-PT"/>
              </w:rPr>
            </w:pPr>
          </w:p>
          <w:p w14:paraId="4CC42EE6"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273)</w:t>
            </w:r>
          </w:p>
        </w:tc>
        <w:tc>
          <w:tcPr>
            <w:tcW w:w="1912" w:type="dxa"/>
          </w:tcPr>
          <w:p w14:paraId="1D48152F"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Paclitaxel/</w:t>
            </w:r>
          </w:p>
          <w:p w14:paraId="71616791" w14:textId="0E5391DB" w:rsidR="00162CE2" w:rsidRPr="002606DB" w:rsidRDefault="00C17DE7" w:rsidP="00192A6C">
            <w:pPr>
              <w:pStyle w:val="TableParagraph"/>
              <w:adjustRightInd w:val="0"/>
              <w:snapToGrid w:val="0"/>
              <w:jc w:val="center"/>
              <w:rPr>
                <w:snapToGrid w:val="0"/>
                <w:sz w:val="20"/>
                <w:szCs w:val="20"/>
                <w:lang w:val="pt-PT"/>
              </w:rPr>
            </w:pPr>
            <w:r w:rsidRPr="002606DB">
              <w:rPr>
                <w:snapToGrid w:val="0"/>
                <w:sz w:val="20"/>
                <w:szCs w:val="20"/>
                <w:lang w:val="pt-PT"/>
              </w:rPr>
              <w:t>B</w:t>
            </w:r>
            <w:r w:rsidR="00162CE2" w:rsidRPr="002606DB">
              <w:rPr>
                <w:snapToGrid w:val="0"/>
                <w:sz w:val="20"/>
                <w:szCs w:val="20"/>
                <w:lang w:val="pt-PT"/>
              </w:rPr>
              <w:t xml:space="preserve">evacizumab </w:t>
            </w:r>
          </w:p>
          <w:p w14:paraId="40CF080F"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252)</w:t>
            </w:r>
          </w:p>
        </w:tc>
        <w:tc>
          <w:tcPr>
            <w:tcW w:w="1530" w:type="dxa"/>
          </w:tcPr>
          <w:p w14:paraId="6174EDF4" w14:textId="6CFA7620"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 xml:space="preserve">Paclitaxel </w:t>
            </w:r>
          </w:p>
          <w:p w14:paraId="5F928F14" w14:textId="77777777" w:rsidR="009228C4" w:rsidRPr="002606DB" w:rsidRDefault="009228C4" w:rsidP="00192A6C">
            <w:pPr>
              <w:pStyle w:val="TableParagraph"/>
              <w:adjustRightInd w:val="0"/>
              <w:snapToGrid w:val="0"/>
              <w:jc w:val="center"/>
              <w:rPr>
                <w:snapToGrid w:val="0"/>
                <w:sz w:val="20"/>
                <w:szCs w:val="20"/>
                <w:lang w:val="pt-PT"/>
              </w:rPr>
            </w:pPr>
          </w:p>
          <w:p w14:paraId="5DD9A6EB"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243)</w:t>
            </w:r>
          </w:p>
        </w:tc>
        <w:tc>
          <w:tcPr>
            <w:tcW w:w="1912" w:type="dxa"/>
          </w:tcPr>
          <w:p w14:paraId="01E57A30"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Paclitaxel/</w:t>
            </w:r>
          </w:p>
          <w:p w14:paraId="5B8D3DBB" w14:textId="5F04BDA9" w:rsidR="00162CE2" w:rsidRPr="002606DB" w:rsidRDefault="00C17DE7" w:rsidP="00192A6C">
            <w:pPr>
              <w:pStyle w:val="TableParagraph"/>
              <w:adjustRightInd w:val="0"/>
              <w:snapToGrid w:val="0"/>
              <w:jc w:val="center"/>
              <w:rPr>
                <w:snapToGrid w:val="0"/>
                <w:sz w:val="20"/>
                <w:szCs w:val="20"/>
                <w:lang w:val="pt-PT"/>
              </w:rPr>
            </w:pPr>
            <w:r w:rsidRPr="002606DB">
              <w:rPr>
                <w:snapToGrid w:val="0"/>
                <w:sz w:val="20"/>
                <w:szCs w:val="20"/>
                <w:lang w:val="pt-PT"/>
              </w:rPr>
              <w:t>B</w:t>
            </w:r>
            <w:r w:rsidR="00162CE2" w:rsidRPr="002606DB">
              <w:rPr>
                <w:snapToGrid w:val="0"/>
                <w:sz w:val="20"/>
                <w:szCs w:val="20"/>
                <w:lang w:val="pt-PT"/>
              </w:rPr>
              <w:t xml:space="preserve">evacizumab </w:t>
            </w:r>
          </w:p>
          <w:p w14:paraId="548614EA"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(n = 229)</w:t>
            </w:r>
          </w:p>
        </w:tc>
      </w:tr>
      <w:tr w:rsidR="00162CE2" w:rsidRPr="002606DB" w14:paraId="5871DC9C" w14:textId="77777777" w:rsidTr="009228C4">
        <w:trPr>
          <w:cantSplit/>
        </w:trPr>
        <w:tc>
          <w:tcPr>
            <w:tcW w:w="2518" w:type="dxa"/>
          </w:tcPr>
          <w:p w14:paraId="5D4718EB"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 doentes com resposta objetiva</w:t>
            </w:r>
          </w:p>
        </w:tc>
        <w:tc>
          <w:tcPr>
            <w:tcW w:w="1420" w:type="dxa"/>
          </w:tcPr>
          <w:p w14:paraId="0B93D4C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23,4</w:t>
            </w:r>
          </w:p>
        </w:tc>
        <w:tc>
          <w:tcPr>
            <w:tcW w:w="1912" w:type="dxa"/>
          </w:tcPr>
          <w:p w14:paraId="41559A60"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48,0</w:t>
            </w:r>
          </w:p>
        </w:tc>
        <w:tc>
          <w:tcPr>
            <w:tcW w:w="1530" w:type="dxa"/>
          </w:tcPr>
          <w:p w14:paraId="0C101970"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22,2</w:t>
            </w:r>
          </w:p>
        </w:tc>
        <w:tc>
          <w:tcPr>
            <w:tcW w:w="1912" w:type="dxa"/>
          </w:tcPr>
          <w:p w14:paraId="60AC98E1"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49,8</w:t>
            </w:r>
          </w:p>
        </w:tc>
      </w:tr>
      <w:tr w:rsidR="00162CE2" w:rsidRPr="002606DB" w14:paraId="0D6A1C67" w14:textId="77777777" w:rsidTr="009228C4">
        <w:trPr>
          <w:cantSplit/>
        </w:trPr>
        <w:tc>
          <w:tcPr>
            <w:tcW w:w="2518" w:type="dxa"/>
          </w:tcPr>
          <w:p w14:paraId="23292397"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Valor de p</w:t>
            </w:r>
          </w:p>
        </w:tc>
        <w:tc>
          <w:tcPr>
            <w:tcW w:w="3332" w:type="dxa"/>
            <w:gridSpan w:val="2"/>
          </w:tcPr>
          <w:p w14:paraId="7C47264D"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&lt; 0,0001</w:t>
            </w:r>
          </w:p>
        </w:tc>
        <w:tc>
          <w:tcPr>
            <w:tcW w:w="3442" w:type="dxa"/>
            <w:gridSpan w:val="2"/>
          </w:tcPr>
          <w:p w14:paraId="50955EFE" w14:textId="77777777" w:rsidR="00162CE2" w:rsidRPr="002606DB" w:rsidRDefault="00162CE2" w:rsidP="00192A6C">
            <w:pPr>
              <w:pStyle w:val="TableParagraph"/>
              <w:adjustRightInd w:val="0"/>
              <w:snapToGrid w:val="0"/>
              <w:jc w:val="center"/>
              <w:rPr>
                <w:snapToGrid w:val="0"/>
                <w:sz w:val="20"/>
                <w:szCs w:val="20"/>
                <w:lang w:val="pt-PT"/>
              </w:rPr>
            </w:pPr>
            <w:r w:rsidRPr="002606DB">
              <w:rPr>
                <w:snapToGrid w:val="0"/>
                <w:sz w:val="20"/>
                <w:szCs w:val="20"/>
                <w:lang w:val="pt-PT"/>
              </w:rPr>
              <w:t>&lt; 0,0001</w:t>
            </w:r>
          </w:p>
        </w:tc>
      </w:tr>
      <w:tr w:rsidR="00162CE2" w:rsidRPr="002606DB" w14:paraId="67BF72B6" w14:textId="77777777" w:rsidTr="009228C4">
        <w:trPr>
          <w:cantSplit/>
        </w:trPr>
        <w:tc>
          <w:tcPr>
            <w:tcW w:w="9292" w:type="dxa"/>
            <w:gridSpan w:val="5"/>
          </w:tcPr>
          <w:p w14:paraId="3AD06500" w14:textId="77777777" w:rsidR="00162CE2" w:rsidRPr="002606DB" w:rsidRDefault="00162CE2" w:rsidP="00056F35">
            <w:pPr>
              <w:pStyle w:val="TableParagraph"/>
              <w:adjustRightInd w:val="0"/>
              <w:snapToGrid w:val="0"/>
              <w:rPr>
                <w:b/>
                <w:bCs/>
                <w:snapToGrid w:val="0"/>
                <w:sz w:val="20"/>
                <w:szCs w:val="20"/>
                <w:lang w:val="pt-PT"/>
              </w:rPr>
            </w:pPr>
            <w:r w:rsidRPr="002606DB">
              <w:rPr>
                <w:b/>
                <w:bCs/>
                <w:snapToGrid w:val="0"/>
                <w:sz w:val="20"/>
                <w:szCs w:val="20"/>
                <w:lang w:val="pt-PT"/>
              </w:rPr>
              <w:t>Sobrevivência global</w:t>
            </w:r>
          </w:p>
        </w:tc>
      </w:tr>
      <w:tr w:rsidR="00162CE2" w:rsidRPr="002606DB" w14:paraId="13EF9582" w14:textId="77777777" w:rsidTr="009228C4">
        <w:trPr>
          <w:cantSplit/>
        </w:trPr>
        <w:tc>
          <w:tcPr>
            <w:tcW w:w="2518" w:type="dxa"/>
          </w:tcPr>
          <w:p w14:paraId="36A0956C" w14:textId="77777777" w:rsidR="00162CE2" w:rsidRPr="002606DB" w:rsidRDefault="00162CE2" w:rsidP="00056F35">
            <w:pPr>
              <w:pStyle w:val="TableParagraph"/>
              <w:adjustRightInd w:val="0"/>
              <w:snapToGrid w:val="0"/>
              <w:rPr>
                <w:snapToGrid w:val="0"/>
                <w:sz w:val="20"/>
                <w:szCs w:val="20"/>
                <w:lang w:val="pt-PT"/>
              </w:rPr>
            </w:pPr>
          </w:p>
        </w:tc>
        <w:tc>
          <w:tcPr>
            <w:tcW w:w="3332" w:type="dxa"/>
            <w:gridSpan w:val="2"/>
          </w:tcPr>
          <w:p w14:paraId="499119E3"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Paclitaxel</w:t>
            </w:r>
          </w:p>
          <w:p w14:paraId="5E9B0882"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(n = 354)</w:t>
            </w:r>
          </w:p>
        </w:tc>
        <w:tc>
          <w:tcPr>
            <w:tcW w:w="3442" w:type="dxa"/>
            <w:gridSpan w:val="2"/>
          </w:tcPr>
          <w:p w14:paraId="7CA24468" w14:textId="43A3A246"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Paclitaxel/</w:t>
            </w:r>
            <w:r w:rsidR="00C17DE7" w:rsidRPr="002606DB">
              <w:rPr>
                <w:snapToGrid w:val="0"/>
                <w:sz w:val="20"/>
                <w:szCs w:val="20"/>
                <w:lang w:val="pt-PT"/>
              </w:rPr>
              <w:t>B</w:t>
            </w:r>
            <w:r w:rsidRPr="002606DB">
              <w:rPr>
                <w:snapToGrid w:val="0"/>
                <w:sz w:val="20"/>
                <w:szCs w:val="20"/>
                <w:lang w:val="pt-PT"/>
              </w:rPr>
              <w:t>evacizumab</w:t>
            </w:r>
          </w:p>
          <w:p w14:paraId="78273A2C"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(n = 368)</w:t>
            </w:r>
          </w:p>
        </w:tc>
      </w:tr>
      <w:tr w:rsidR="00162CE2" w:rsidRPr="002606DB" w14:paraId="105BAE53" w14:textId="77777777" w:rsidTr="009228C4">
        <w:trPr>
          <w:cantSplit/>
        </w:trPr>
        <w:tc>
          <w:tcPr>
            <w:tcW w:w="2518" w:type="dxa"/>
          </w:tcPr>
          <w:p w14:paraId="694768E0"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OS Mediana (meses)</w:t>
            </w:r>
          </w:p>
        </w:tc>
        <w:tc>
          <w:tcPr>
            <w:tcW w:w="3332" w:type="dxa"/>
            <w:gridSpan w:val="2"/>
          </w:tcPr>
          <w:p w14:paraId="738F529B"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24,8</w:t>
            </w:r>
          </w:p>
        </w:tc>
        <w:tc>
          <w:tcPr>
            <w:tcW w:w="3442" w:type="dxa"/>
            <w:gridSpan w:val="2"/>
          </w:tcPr>
          <w:p w14:paraId="5C610077"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26,5</w:t>
            </w:r>
          </w:p>
        </w:tc>
      </w:tr>
      <w:tr w:rsidR="00162CE2" w:rsidRPr="002606DB" w14:paraId="40903F76" w14:textId="77777777" w:rsidTr="009228C4">
        <w:trPr>
          <w:cantSplit/>
        </w:trPr>
        <w:tc>
          <w:tcPr>
            <w:tcW w:w="2518" w:type="dxa"/>
          </w:tcPr>
          <w:p w14:paraId="283B5882" w14:textId="6D2E2925" w:rsidR="00162CE2" w:rsidRPr="002606DB" w:rsidRDefault="00162CE2" w:rsidP="00056F35">
            <w:pPr>
              <w:pStyle w:val="TableParagraph"/>
              <w:adjustRightInd w:val="0"/>
              <w:snapToGrid w:val="0"/>
              <w:jc w:val="center"/>
              <w:rPr>
                <w:snapToGrid w:val="0"/>
                <w:sz w:val="20"/>
                <w:szCs w:val="20"/>
                <w:lang w:val="pt-PT"/>
              </w:rPr>
            </w:pPr>
            <w:r w:rsidRPr="002606DB">
              <w:rPr>
                <w:i/>
                <w:snapToGrid w:val="0"/>
                <w:sz w:val="20"/>
                <w:szCs w:val="20"/>
                <w:lang w:val="pt-PT"/>
              </w:rPr>
              <w:t xml:space="preserve">Hazard </w:t>
            </w:r>
            <w:r w:rsidR="00E85F34">
              <w:rPr>
                <w:i/>
                <w:snapToGrid w:val="0"/>
                <w:sz w:val="20"/>
                <w:szCs w:val="20"/>
                <w:lang w:val="pt-PT"/>
              </w:rPr>
              <w:t>r</w:t>
            </w:r>
            <w:r w:rsidRPr="002606DB">
              <w:rPr>
                <w:i/>
                <w:snapToGrid w:val="0"/>
                <w:sz w:val="20"/>
                <w:szCs w:val="20"/>
                <w:lang w:val="pt-PT"/>
              </w:rPr>
              <w:t xml:space="preserve">atio </w:t>
            </w:r>
            <w:r w:rsidRPr="002606DB">
              <w:rPr>
                <w:snapToGrid w:val="0"/>
                <w:sz w:val="20"/>
                <w:szCs w:val="20"/>
                <w:lang w:val="pt-PT"/>
              </w:rPr>
              <w:t>(taxa de risco)</w:t>
            </w:r>
          </w:p>
          <w:p w14:paraId="07BF291B"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(IC 95%)</w:t>
            </w:r>
          </w:p>
        </w:tc>
        <w:tc>
          <w:tcPr>
            <w:tcW w:w="6774" w:type="dxa"/>
            <w:gridSpan w:val="4"/>
          </w:tcPr>
          <w:p w14:paraId="379610B4" w14:textId="76318A72" w:rsidR="00162CE2" w:rsidRPr="002606DB" w:rsidRDefault="00162CE2" w:rsidP="009228C4">
            <w:pPr>
              <w:pStyle w:val="TableParagraph"/>
              <w:adjustRightInd w:val="0"/>
              <w:snapToGrid w:val="0"/>
              <w:jc w:val="center"/>
              <w:rPr>
                <w:snapToGrid w:val="0"/>
                <w:sz w:val="20"/>
                <w:szCs w:val="20"/>
                <w:lang w:val="pt-PT"/>
              </w:rPr>
            </w:pPr>
            <w:r w:rsidRPr="002606DB">
              <w:rPr>
                <w:snapToGrid w:val="0"/>
                <w:sz w:val="20"/>
                <w:szCs w:val="20"/>
                <w:lang w:val="pt-PT"/>
              </w:rPr>
              <w:t>0,869</w:t>
            </w:r>
          </w:p>
          <w:p w14:paraId="130BA39B"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(0,722 ; 1,046)</w:t>
            </w:r>
          </w:p>
        </w:tc>
      </w:tr>
      <w:tr w:rsidR="00162CE2" w:rsidRPr="002606DB" w14:paraId="098583CA" w14:textId="77777777" w:rsidTr="009228C4">
        <w:trPr>
          <w:cantSplit/>
        </w:trPr>
        <w:tc>
          <w:tcPr>
            <w:tcW w:w="2518" w:type="dxa"/>
          </w:tcPr>
          <w:p w14:paraId="78DF56A6"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Valor de p</w:t>
            </w:r>
          </w:p>
        </w:tc>
        <w:tc>
          <w:tcPr>
            <w:tcW w:w="6774" w:type="dxa"/>
            <w:gridSpan w:val="4"/>
          </w:tcPr>
          <w:p w14:paraId="2B0C14C5"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0,1374</w:t>
            </w:r>
          </w:p>
        </w:tc>
      </w:tr>
    </w:tbl>
    <w:p w14:paraId="621D9507" w14:textId="77777777" w:rsidR="00162CE2" w:rsidRPr="002606DB" w:rsidRDefault="00162CE2" w:rsidP="00192A6C">
      <w:pPr>
        <w:pStyle w:val="a4"/>
        <w:adjustRightInd w:val="0"/>
        <w:snapToGrid w:val="0"/>
        <w:ind w:left="0" w:firstLine="0"/>
        <w:rPr>
          <w:snapToGrid w:val="0"/>
          <w:sz w:val="18"/>
          <w:szCs w:val="18"/>
          <w:lang w:val="pt-PT"/>
        </w:rPr>
      </w:pPr>
      <w:r w:rsidRPr="002606DB">
        <w:rPr>
          <w:snapToGrid w:val="0"/>
          <w:sz w:val="18"/>
          <w:szCs w:val="18"/>
          <w:lang w:val="pt-PT"/>
        </w:rPr>
        <w:lastRenderedPageBreak/>
        <w:t>* análise primária</w:t>
      </w:r>
    </w:p>
    <w:p w14:paraId="23EB13AC" w14:textId="77777777" w:rsidR="00162CE2" w:rsidRPr="002606DB" w:rsidRDefault="00162CE2" w:rsidP="00056F35">
      <w:pPr>
        <w:pStyle w:val="a3"/>
        <w:adjustRightInd w:val="0"/>
        <w:snapToGrid w:val="0"/>
        <w:rPr>
          <w:snapToGrid w:val="0"/>
          <w:lang w:val="pt-PT"/>
        </w:rPr>
      </w:pPr>
    </w:p>
    <w:p w14:paraId="0C5E7711" w14:textId="3230EE7F" w:rsidR="00162CE2" w:rsidRPr="002606DB" w:rsidRDefault="00162CE2" w:rsidP="00056F35">
      <w:pPr>
        <w:pStyle w:val="a3"/>
        <w:adjustRightInd w:val="0"/>
        <w:snapToGrid w:val="0"/>
        <w:rPr>
          <w:snapToGrid w:val="0"/>
          <w:lang w:val="pt-PT"/>
        </w:rPr>
      </w:pPr>
      <w:r w:rsidRPr="002606DB">
        <w:rPr>
          <w:snapToGrid w:val="0"/>
          <w:lang w:val="pt-PT"/>
        </w:rPr>
        <w:t xml:space="preserve">O benefício clínico do </w:t>
      </w:r>
      <w:r w:rsidRPr="007155C0">
        <w:rPr>
          <w:color w:val="000000"/>
          <w:lang w:val="pt-PT"/>
        </w:rPr>
        <w:t>bevacizumab</w:t>
      </w:r>
      <w:r w:rsidRPr="002606DB">
        <w:rPr>
          <w:snapToGrid w:val="0"/>
          <w:lang w:val="pt-PT"/>
        </w:rPr>
        <w:t>, medido pela sobrevivência livre de progressão, foi observado em todos os subgrupos testados pré</w:t>
      </w:r>
      <w:r w:rsidR="00D61458" w:rsidRPr="002606DB">
        <w:rPr>
          <w:snapToGrid w:val="0"/>
          <w:lang w:val="pt-PT"/>
        </w:rPr>
        <w:noBreakHyphen/>
      </w:r>
      <w:r w:rsidRPr="002606DB">
        <w:rPr>
          <w:snapToGrid w:val="0"/>
          <w:lang w:val="pt-PT"/>
        </w:rPr>
        <w:t xml:space="preserve">especificados (incluindo intervalo livre de doença, número de locais metastizados, tratamento anterior com quimioterapia adjuvante e </w:t>
      </w:r>
      <w:r w:rsidRPr="002606DB">
        <w:rPr>
          <w:i/>
          <w:snapToGrid w:val="0"/>
          <w:lang w:val="pt-PT"/>
        </w:rPr>
        <w:t xml:space="preserve">status </w:t>
      </w:r>
      <w:r w:rsidRPr="002606DB">
        <w:rPr>
          <w:snapToGrid w:val="0"/>
          <w:lang w:val="pt-PT"/>
        </w:rPr>
        <w:t>do recetor de estrogénio).</w:t>
      </w:r>
    </w:p>
    <w:p w14:paraId="1F0A88E4" w14:textId="77777777" w:rsidR="00162CE2" w:rsidRPr="002606DB" w:rsidRDefault="00162CE2" w:rsidP="00056F35">
      <w:pPr>
        <w:pStyle w:val="a3"/>
        <w:adjustRightInd w:val="0"/>
        <w:snapToGrid w:val="0"/>
        <w:rPr>
          <w:snapToGrid w:val="0"/>
          <w:lang w:val="pt-PT"/>
        </w:rPr>
      </w:pPr>
    </w:p>
    <w:p w14:paraId="723251C4" w14:textId="77777777" w:rsidR="00162CE2" w:rsidRPr="002606DB" w:rsidRDefault="00162CE2" w:rsidP="00056F35">
      <w:pPr>
        <w:adjustRightInd w:val="0"/>
        <w:snapToGrid w:val="0"/>
        <w:rPr>
          <w:i/>
          <w:snapToGrid w:val="0"/>
          <w:lang w:val="pt-PT"/>
        </w:rPr>
      </w:pPr>
      <w:r w:rsidRPr="002606DB">
        <w:rPr>
          <w:i/>
          <w:snapToGrid w:val="0"/>
          <w:lang w:val="pt-PT"/>
        </w:rPr>
        <w:t>AVF3694g</w:t>
      </w:r>
    </w:p>
    <w:p w14:paraId="0F77BC39" w14:textId="1EED725F" w:rsidR="00162CE2" w:rsidRPr="002606DB" w:rsidRDefault="00162CE2" w:rsidP="00056F35">
      <w:pPr>
        <w:pStyle w:val="a3"/>
        <w:adjustRightInd w:val="0"/>
        <w:snapToGrid w:val="0"/>
        <w:rPr>
          <w:snapToGrid w:val="0"/>
          <w:lang w:val="pt-PT"/>
        </w:rPr>
      </w:pPr>
      <w:r w:rsidRPr="002606DB">
        <w:rPr>
          <w:snapToGrid w:val="0"/>
          <w:lang w:val="pt-PT"/>
        </w:rPr>
        <w:t xml:space="preserve">O estudo AVF3694g foi um ensaio de Fase III, multicêntrico, aleatorizado, controlado por placebo, desenhado para avaliar a eficácia e a segurança de </w:t>
      </w:r>
      <w:r w:rsidR="00010102" w:rsidRPr="007155C0">
        <w:rPr>
          <w:color w:val="000000"/>
          <w:lang w:val="pt-PT"/>
        </w:rPr>
        <w:t>bevacizumab</w:t>
      </w:r>
      <w:r w:rsidRPr="002606DB">
        <w:rPr>
          <w:snapToGrid w:val="0"/>
          <w:lang w:val="pt-PT"/>
        </w:rPr>
        <w:t xml:space="preserve"> em associação com quimioterapia, em comparação com placebo mais quimioterapia, como tratamento de primeira linha para doentes com cancro da mama HER2 negativo metastizado ou localmente avançado.</w:t>
      </w:r>
    </w:p>
    <w:p w14:paraId="7F7C9F75" w14:textId="77777777" w:rsidR="00162CE2" w:rsidRPr="002606DB" w:rsidRDefault="00162CE2" w:rsidP="00056F35">
      <w:pPr>
        <w:pStyle w:val="a3"/>
        <w:adjustRightInd w:val="0"/>
        <w:snapToGrid w:val="0"/>
        <w:rPr>
          <w:snapToGrid w:val="0"/>
          <w:lang w:val="pt-PT"/>
        </w:rPr>
      </w:pPr>
    </w:p>
    <w:p w14:paraId="6AFE5A04" w14:textId="5F1BDC92" w:rsidR="00162CE2" w:rsidRPr="002606DB" w:rsidRDefault="00162CE2" w:rsidP="00056F35">
      <w:pPr>
        <w:pStyle w:val="a3"/>
        <w:adjustRightInd w:val="0"/>
        <w:snapToGrid w:val="0"/>
        <w:rPr>
          <w:snapToGrid w:val="0"/>
          <w:lang w:val="pt-PT"/>
        </w:rPr>
      </w:pPr>
      <w:r w:rsidRPr="002606DB">
        <w:rPr>
          <w:snapToGrid w:val="0"/>
          <w:lang w:val="pt-PT"/>
        </w:rPr>
        <w:t xml:space="preserve">A quimioterapia foi escolhida de acordo com o critério do investigador antes da aleatorização num rácio de 2:1 para receber </w:t>
      </w:r>
      <w:r w:rsidRPr="007155C0">
        <w:rPr>
          <w:color w:val="000000"/>
          <w:lang w:val="pt-PT"/>
        </w:rPr>
        <w:t xml:space="preserve">bevacizumab </w:t>
      </w:r>
      <w:r w:rsidRPr="002606DB">
        <w:rPr>
          <w:snapToGrid w:val="0"/>
          <w:lang w:val="pt-PT"/>
        </w:rPr>
        <w:t>mais quimioterapia ou placebo mais quimioterapia. As escolhas da quimioterapia incluíram capecitabina, taxano (docetaxel, paclitaxel com ligação a proteína), regimes com base em antraciclina (doxorrubicina/ ciclofosfamida, epirrubicina/ ciclofosfamida, 5</w:t>
      </w:r>
      <w:r w:rsidR="00D61458" w:rsidRPr="002606DB">
        <w:rPr>
          <w:snapToGrid w:val="0"/>
          <w:lang w:val="pt-PT"/>
        </w:rPr>
        <w:noBreakHyphen/>
      </w:r>
      <w:r w:rsidRPr="002606DB">
        <w:rPr>
          <w:snapToGrid w:val="0"/>
          <w:lang w:val="pt-PT"/>
        </w:rPr>
        <w:t>fluorouracilo/ doxorrubicina/ ciclofosfamida, 5</w:t>
      </w:r>
      <w:r w:rsidR="00D61458" w:rsidRPr="002606DB">
        <w:rPr>
          <w:snapToGrid w:val="0"/>
          <w:lang w:val="pt-PT"/>
        </w:rPr>
        <w:noBreakHyphen/>
      </w:r>
      <w:r w:rsidRPr="002606DB">
        <w:rPr>
          <w:snapToGrid w:val="0"/>
          <w:lang w:val="pt-PT"/>
        </w:rPr>
        <w:t xml:space="preserve">fluorouracilo/epirrubicina/ciclofosfamida) administrada a cada 3 semanas (q3w). O </w:t>
      </w:r>
      <w:r w:rsidRPr="007155C0">
        <w:rPr>
          <w:color w:val="000000"/>
          <w:lang w:val="pt-PT"/>
        </w:rPr>
        <w:t xml:space="preserve">bevacizumab </w:t>
      </w:r>
      <w:r w:rsidRPr="002606DB">
        <w:rPr>
          <w:snapToGrid w:val="0"/>
          <w:lang w:val="pt-PT"/>
        </w:rPr>
        <w:t>ou o placebo foram administrados numa dose de 15 mg/kg q3w.</w:t>
      </w:r>
    </w:p>
    <w:p w14:paraId="3AD037E0" w14:textId="77777777" w:rsidR="00162CE2" w:rsidRPr="002606DB" w:rsidRDefault="00162CE2" w:rsidP="00056F35">
      <w:pPr>
        <w:pStyle w:val="a3"/>
        <w:adjustRightInd w:val="0"/>
        <w:snapToGrid w:val="0"/>
        <w:rPr>
          <w:snapToGrid w:val="0"/>
          <w:lang w:val="pt-PT"/>
        </w:rPr>
      </w:pPr>
    </w:p>
    <w:p w14:paraId="60FC5FEB" w14:textId="05DCAC07" w:rsidR="00162CE2" w:rsidRPr="002606DB" w:rsidRDefault="00162CE2" w:rsidP="00056F35">
      <w:pPr>
        <w:pStyle w:val="a3"/>
        <w:adjustRightInd w:val="0"/>
        <w:snapToGrid w:val="0"/>
        <w:rPr>
          <w:snapToGrid w:val="0"/>
          <w:lang w:val="pt-PT"/>
        </w:rPr>
      </w:pPr>
      <w:r w:rsidRPr="002606DB">
        <w:rPr>
          <w:snapToGrid w:val="0"/>
          <w:lang w:val="pt-PT"/>
        </w:rPr>
        <w:t>Este estudo incluiu uma fase cega de tratamento, uma fase pós</w:t>
      </w:r>
      <w:r w:rsidR="00D61458" w:rsidRPr="002606DB">
        <w:rPr>
          <w:snapToGrid w:val="0"/>
          <w:lang w:val="pt-PT"/>
        </w:rPr>
        <w:noBreakHyphen/>
      </w:r>
      <w:r w:rsidRPr="002606DB">
        <w:rPr>
          <w:snapToGrid w:val="0"/>
          <w:lang w:val="pt-PT"/>
        </w:rPr>
        <w:t>progressão em regime aberto opcional e uma fase de acompanhamento da sobrevivência. Durante a fase cega de tratamento os doentes receberam quimioterapia e medicamento (</w:t>
      </w:r>
      <w:r w:rsidRPr="007155C0">
        <w:rPr>
          <w:color w:val="000000"/>
          <w:lang w:val="fr-CA"/>
        </w:rPr>
        <w:t xml:space="preserve">bevacizumab </w:t>
      </w:r>
      <w:r w:rsidRPr="002606DB">
        <w:rPr>
          <w:snapToGrid w:val="0"/>
          <w:lang w:val="pt-PT"/>
        </w:rPr>
        <w:t>ou placebo) a cada 3 semanas até à progressão da doença, toxicidade limitativa de tratamento ou morte. Face a progressão da doença documentada os</w:t>
      </w:r>
    </w:p>
    <w:p w14:paraId="4CF8A884" w14:textId="7DC0313A" w:rsidR="00162CE2" w:rsidRPr="002606DB" w:rsidRDefault="00162CE2" w:rsidP="00056F35">
      <w:pPr>
        <w:pStyle w:val="a3"/>
        <w:adjustRightInd w:val="0"/>
        <w:snapToGrid w:val="0"/>
        <w:rPr>
          <w:snapToGrid w:val="0"/>
          <w:lang w:val="pt-PT"/>
        </w:rPr>
      </w:pPr>
      <w:r w:rsidRPr="002606DB">
        <w:rPr>
          <w:snapToGrid w:val="0"/>
          <w:lang w:val="pt-PT"/>
        </w:rPr>
        <w:t xml:space="preserve">doentes que entraram na fase opcional aberta podiam receber </w:t>
      </w:r>
      <w:r w:rsidRPr="007155C0">
        <w:rPr>
          <w:color w:val="000000"/>
          <w:lang w:val="pt-PT"/>
        </w:rPr>
        <w:t xml:space="preserve">bevacizumab </w:t>
      </w:r>
      <w:r w:rsidRPr="002606DB">
        <w:rPr>
          <w:snapToGrid w:val="0"/>
          <w:lang w:val="pt-PT"/>
        </w:rPr>
        <w:t>em regime aberto em associação com diversas terapêuticas de segunda linha.</w:t>
      </w:r>
    </w:p>
    <w:p w14:paraId="7A65AA3D" w14:textId="77777777" w:rsidR="00162CE2" w:rsidRPr="002606DB" w:rsidRDefault="00162CE2" w:rsidP="00056F35">
      <w:pPr>
        <w:pStyle w:val="a3"/>
        <w:adjustRightInd w:val="0"/>
        <w:snapToGrid w:val="0"/>
        <w:rPr>
          <w:snapToGrid w:val="0"/>
          <w:lang w:val="pt-PT"/>
        </w:rPr>
      </w:pPr>
    </w:p>
    <w:p w14:paraId="2940E1A5" w14:textId="5732CDB1" w:rsidR="00162CE2" w:rsidRPr="002606DB" w:rsidRDefault="00162CE2" w:rsidP="00056F35">
      <w:pPr>
        <w:pStyle w:val="a3"/>
        <w:adjustRightInd w:val="0"/>
        <w:snapToGrid w:val="0"/>
        <w:rPr>
          <w:snapToGrid w:val="0"/>
          <w:lang w:val="pt-PT"/>
        </w:rPr>
      </w:pPr>
      <w:r w:rsidRPr="002606DB">
        <w:rPr>
          <w:snapToGrid w:val="0"/>
          <w:lang w:val="pt-PT"/>
        </w:rPr>
        <w:t xml:space="preserve">Foram realizadas análises estatísticas independentes para 1) os doentes que receberam capecitabina em associação com </w:t>
      </w:r>
      <w:r w:rsidRPr="007155C0">
        <w:rPr>
          <w:color w:val="000000"/>
          <w:lang w:val="pt-PT"/>
        </w:rPr>
        <w:t xml:space="preserve">bevacizumab </w:t>
      </w:r>
      <w:r w:rsidRPr="002606DB">
        <w:rPr>
          <w:snapToGrid w:val="0"/>
          <w:lang w:val="pt-PT"/>
        </w:rPr>
        <w:t xml:space="preserve">ou placebo; 2) os doentes que receberam quimioterapia baseada em taxanos ou baseada em antraciclina em combinação com </w:t>
      </w:r>
      <w:r w:rsidRPr="007155C0">
        <w:rPr>
          <w:color w:val="000000"/>
          <w:lang w:val="pt-PT"/>
        </w:rPr>
        <w:t xml:space="preserve">bevacizumab </w:t>
      </w:r>
      <w:r w:rsidRPr="002606DB">
        <w:rPr>
          <w:snapToGrid w:val="0"/>
          <w:lang w:val="pt-PT"/>
        </w:rPr>
        <w:t>ou placebo. O objetivo primário do estudo foi a PFS baseada na avaliação do investigador. Adicionalmente, foi também realizada uma avaliação do objetivo primário por um comité de avaliação independente (IRC).</w:t>
      </w:r>
    </w:p>
    <w:p w14:paraId="391D379B" w14:textId="77777777" w:rsidR="00162CE2" w:rsidRPr="002606DB" w:rsidRDefault="00162CE2" w:rsidP="00056F35">
      <w:pPr>
        <w:pStyle w:val="a3"/>
        <w:adjustRightInd w:val="0"/>
        <w:snapToGrid w:val="0"/>
        <w:rPr>
          <w:snapToGrid w:val="0"/>
          <w:lang w:val="pt-PT"/>
        </w:rPr>
      </w:pPr>
    </w:p>
    <w:p w14:paraId="30EB05C8" w14:textId="4C0F2E4A" w:rsidR="00162CE2" w:rsidRPr="002606DB" w:rsidRDefault="00162CE2" w:rsidP="00530675">
      <w:pPr>
        <w:pStyle w:val="a3"/>
        <w:adjustRightInd w:val="0"/>
        <w:snapToGrid w:val="0"/>
        <w:rPr>
          <w:snapToGrid w:val="0"/>
          <w:lang w:val="pt-PT"/>
        </w:rPr>
      </w:pPr>
      <w:r w:rsidRPr="002606DB">
        <w:rPr>
          <w:snapToGrid w:val="0"/>
          <w:lang w:val="pt-PT"/>
        </w:rPr>
        <w:t xml:space="preserve">Os resultados da análise final definida no protocolo deste estudo para </w:t>
      </w:r>
      <w:r w:rsidR="004C3061">
        <w:rPr>
          <w:snapToGrid w:val="0"/>
          <w:lang w:val="pt-PT"/>
        </w:rPr>
        <w:t>PFS</w:t>
      </w:r>
      <w:r w:rsidRPr="002606DB">
        <w:rPr>
          <w:snapToGrid w:val="0"/>
          <w:lang w:val="pt-PT"/>
        </w:rPr>
        <w:t xml:space="preserve"> e taxas de resposta da coorte de capecitabina do Estudo AVF3694g com poder independente são apresentados na Tabela 11. São também apresentados os resultados de uma análise exploratória da </w:t>
      </w:r>
      <w:r w:rsidR="004C3061">
        <w:rPr>
          <w:snapToGrid w:val="0"/>
          <w:lang w:val="pt-PT"/>
        </w:rPr>
        <w:t>OS</w:t>
      </w:r>
      <w:r w:rsidRPr="002606DB">
        <w:rPr>
          <w:snapToGrid w:val="0"/>
          <w:lang w:val="pt-PT"/>
        </w:rPr>
        <w:t xml:space="preserve">, que inclui 7 meses de acompanhamento adicional (aproximadamente 46% dos doentes tinha morrido). A percentagem de doentes que recebeu </w:t>
      </w:r>
      <w:r w:rsidRPr="007155C0">
        <w:rPr>
          <w:color w:val="000000"/>
          <w:lang w:val="pt-PT"/>
        </w:rPr>
        <w:t xml:space="preserve">bevacizumab </w:t>
      </w:r>
      <w:r w:rsidRPr="002606DB">
        <w:rPr>
          <w:snapToGrid w:val="0"/>
          <w:lang w:val="pt-PT"/>
        </w:rPr>
        <w:t xml:space="preserve">na fase em regime aberto foi de 62,1% no </w:t>
      </w:r>
      <w:r w:rsidR="00B72472">
        <w:rPr>
          <w:snapToGrid w:val="0"/>
          <w:lang w:val="pt-PT"/>
        </w:rPr>
        <w:t>grupo</w:t>
      </w:r>
      <w:r w:rsidRPr="002606DB">
        <w:rPr>
          <w:snapToGrid w:val="0"/>
          <w:lang w:val="pt-PT"/>
        </w:rPr>
        <w:t xml:space="preserve"> capecitabina + placebo e 49,9% no </w:t>
      </w:r>
      <w:r w:rsidR="00B72472">
        <w:rPr>
          <w:snapToGrid w:val="0"/>
          <w:lang w:val="pt-PT"/>
        </w:rPr>
        <w:t>grupo</w:t>
      </w:r>
      <w:r w:rsidRPr="002606DB">
        <w:rPr>
          <w:snapToGrid w:val="0"/>
          <w:lang w:val="pt-PT"/>
        </w:rPr>
        <w:t xml:space="preserve"> capecitabina + </w:t>
      </w:r>
      <w:r w:rsidRPr="007155C0">
        <w:rPr>
          <w:color w:val="000000"/>
          <w:lang w:val="pt-PT"/>
        </w:rPr>
        <w:t>bevacizumab</w:t>
      </w:r>
      <w:r w:rsidRPr="002606DB">
        <w:rPr>
          <w:snapToGrid w:val="0"/>
          <w:lang w:val="pt-PT"/>
        </w:rPr>
        <w:t>.</w:t>
      </w:r>
    </w:p>
    <w:p w14:paraId="4349A6A4" w14:textId="77777777" w:rsidR="00162CE2" w:rsidRPr="002606DB" w:rsidRDefault="00162CE2" w:rsidP="00056F35">
      <w:pPr>
        <w:pStyle w:val="a3"/>
        <w:adjustRightInd w:val="0"/>
        <w:snapToGrid w:val="0"/>
        <w:rPr>
          <w:snapToGrid w:val="0"/>
          <w:lang w:val="pt-PT"/>
        </w:rPr>
      </w:pPr>
    </w:p>
    <w:p w14:paraId="7B8ACB60" w14:textId="208B8D3B"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 xml:space="preserve">Tabela 11 </w:t>
      </w:r>
      <w:r w:rsidRPr="00730741">
        <w:rPr>
          <w:b/>
          <w:bCs/>
          <w:snapToGrid w:val="0"/>
          <w:lang w:val="pt-PT"/>
        </w:rPr>
        <w:tab/>
        <w:t>Resultados de eficácia do estudo AVF3694g: Capecitabina</w:t>
      </w:r>
      <w:r w:rsidRPr="00730741">
        <w:rPr>
          <w:b/>
          <w:bCs/>
          <w:snapToGrid w:val="0"/>
          <w:vertAlign w:val="superscript"/>
          <w:lang w:val="pt-PT"/>
        </w:rPr>
        <w:t>a</w:t>
      </w:r>
      <w:r w:rsidRPr="00730741">
        <w:rPr>
          <w:b/>
          <w:bCs/>
          <w:snapToGrid w:val="0"/>
          <w:lang w:val="pt-PT"/>
        </w:rPr>
        <w:t xml:space="preserve"> e B</w:t>
      </w:r>
      <w:r w:rsidRPr="00730741">
        <w:rPr>
          <w:b/>
          <w:bCs/>
          <w:color w:val="000000"/>
          <w:lang w:val="pt-PT"/>
        </w:rPr>
        <w:t>evacizumab</w:t>
      </w:r>
      <w:r w:rsidRPr="00730741">
        <w:rPr>
          <w:b/>
          <w:bCs/>
          <w:snapToGrid w:val="0"/>
          <w:lang w:val="pt-PT"/>
        </w:rPr>
        <w:t xml:space="preserve">/Placebo (Cap + </w:t>
      </w:r>
      <w:r w:rsidR="00C17DE7" w:rsidRPr="00730741">
        <w:rPr>
          <w:b/>
          <w:bCs/>
          <w:snapToGrid w:val="0"/>
          <w:lang w:val="pt-PT"/>
        </w:rPr>
        <w:t>B</w:t>
      </w:r>
      <w:r w:rsidR="00C17DE7" w:rsidRPr="00730741">
        <w:rPr>
          <w:b/>
          <w:bCs/>
          <w:color w:val="000000"/>
          <w:lang w:val="pt-PT"/>
        </w:rPr>
        <w:t>evacizumab</w:t>
      </w:r>
      <w:r w:rsidRPr="00730741">
        <w:rPr>
          <w:b/>
          <w:bCs/>
          <w:snapToGrid w:val="0"/>
          <w:lang w:val="pt-PT"/>
        </w:rPr>
        <w:t>/Pl)</w:t>
      </w:r>
    </w:p>
    <w:p w14:paraId="16A90E00" w14:textId="77777777" w:rsidR="00162CE2" w:rsidRPr="002606DB" w:rsidRDefault="00162CE2" w:rsidP="009228C4">
      <w:pPr>
        <w:pStyle w:val="a3"/>
        <w:keepNext/>
        <w:keepLines/>
        <w:widowControl/>
        <w:adjustRightInd w:val="0"/>
        <w:snapToGrid w:val="0"/>
        <w:rPr>
          <w:b/>
          <w:snapToGrid w:val="0"/>
          <w:lang w:val="pt-PT"/>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91"/>
        <w:gridCol w:w="1444"/>
        <w:gridCol w:w="1629"/>
        <w:gridCol w:w="1606"/>
        <w:gridCol w:w="1790"/>
      </w:tblGrid>
      <w:tr w:rsidR="00162CE2" w:rsidRPr="002606DB" w14:paraId="5E0117C0" w14:textId="77777777" w:rsidTr="009228C4">
        <w:trPr>
          <w:cantSplit/>
        </w:trPr>
        <w:tc>
          <w:tcPr>
            <w:tcW w:w="9292" w:type="dxa"/>
            <w:gridSpan w:val="5"/>
          </w:tcPr>
          <w:p w14:paraId="6E8ACDAB" w14:textId="77777777" w:rsidR="00162CE2" w:rsidRPr="002606DB" w:rsidRDefault="00162CE2" w:rsidP="00056F35">
            <w:pPr>
              <w:pStyle w:val="TableParagraph"/>
              <w:adjustRightInd w:val="0"/>
              <w:snapToGrid w:val="0"/>
              <w:rPr>
                <w:b/>
                <w:bCs/>
                <w:snapToGrid w:val="0"/>
                <w:sz w:val="20"/>
                <w:szCs w:val="20"/>
                <w:lang w:val="pt-PT"/>
              </w:rPr>
            </w:pPr>
            <w:r w:rsidRPr="002606DB">
              <w:rPr>
                <w:b/>
                <w:bCs/>
                <w:snapToGrid w:val="0"/>
                <w:sz w:val="20"/>
                <w:szCs w:val="20"/>
                <w:lang w:val="pt-PT"/>
              </w:rPr>
              <w:t>Sobrevivência livre de progressão</w:t>
            </w:r>
            <w:r w:rsidRPr="002606DB">
              <w:rPr>
                <w:b/>
                <w:bCs/>
                <w:snapToGrid w:val="0"/>
                <w:sz w:val="20"/>
                <w:szCs w:val="20"/>
                <w:vertAlign w:val="superscript"/>
                <w:lang w:val="pt-PT"/>
              </w:rPr>
              <w:t>b</w:t>
            </w:r>
          </w:p>
        </w:tc>
      </w:tr>
      <w:tr w:rsidR="00162CE2" w:rsidRPr="002606DB" w14:paraId="67B715EE" w14:textId="77777777" w:rsidTr="009228C4">
        <w:trPr>
          <w:cantSplit/>
        </w:trPr>
        <w:tc>
          <w:tcPr>
            <w:tcW w:w="2660" w:type="dxa"/>
          </w:tcPr>
          <w:p w14:paraId="6AF8F9B0" w14:textId="77777777" w:rsidR="00162CE2" w:rsidRPr="002606DB" w:rsidRDefault="00162CE2" w:rsidP="00056F35">
            <w:pPr>
              <w:pStyle w:val="TableParagraph"/>
              <w:adjustRightInd w:val="0"/>
              <w:snapToGrid w:val="0"/>
              <w:rPr>
                <w:b/>
                <w:bCs/>
                <w:snapToGrid w:val="0"/>
                <w:sz w:val="20"/>
                <w:szCs w:val="20"/>
                <w:lang w:val="pt-PT"/>
              </w:rPr>
            </w:pPr>
          </w:p>
        </w:tc>
        <w:tc>
          <w:tcPr>
            <w:tcW w:w="3150" w:type="dxa"/>
            <w:gridSpan w:val="2"/>
          </w:tcPr>
          <w:p w14:paraId="6C8FC614" w14:textId="77777777" w:rsidR="00162CE2" w:rsidRPr="002606DB" w:rsidRDefault="00162CE2" w:rsidP="009974C0">
            <w:pPr>
              <w:pStyle w:val="TableParagraph"/>
              <w:adjustRightInd w:val="0"/>
              <w:snapToGrid w:val="0"/>
              <w:jc w:val="center"/>
              <w:rPr>
                <w:b/>
                <w:bCs/>
                <w:snapToGrid w:val="0"/>
                <w:sz w:val="20"/>
                <w:szCs w:val="20"/>
                <w:lang w:val="pt-PT"/>
              </w:rPr>
            </w:pPr>
            <w:r w:rsidRPr="002606DB">
              <w:rPr>
                <w:b/>
                <w:bCs/>
                <w:snapToGrid w:val="0"/>
                <w:sz w:val="20"/>
                <w:szCs w:val="20"/>
                <w:lang w:val="pt-PT"/>
              </w:rPr>
              <w:t>Avaliação pelo investigador</w:t>
            </w:r>
          </w:p>
        </w:tc>
        <w:tc>
          <w:tcPr>
            <w:tcW w:w="3482" w:type="dxa"/>
            <w:gridSpan w:val="2"/>
          </w:tcPr>
          <w:p w14:paraId="62AED1E4" w14:textId="77777777" w:rsidR="00162CE2" w:rsidRPr="002606DB" w:rsidRDefault="00162CE2" w:rsidP="009974C0">
            <w:pPr>
              <w:pStyle w:val="TableParagraph"/>
              <w:adjustRightInd w:val="0"/>
              <w:snapToGrid w:val="0"/>
              <w:jc w:val="center"/>
              <w:rPr>
                <w:b/>
                <w:bCs/>
                <w:snapToGrid w:val="0"/>
                <w:sz w:val="20"/>
                <w:szCs w:val="20"/>
                <w:lang w:val="pt-PT"/>
              </w:rPr>
            </w:pPr>
            <w:r w:rsidRPr="002606DB">
              <w:rPr>
                <w:b/>
                <w:bCs/>
                <w:snapToGrid w:val="0"/>
                <w:sz w:val="20"/>
                <w:szCs w:val="20"/>
                <w:lang w:val="pt-PT"/>
              </w:rPr>
              <w:t>Avaliação pelo IRC</w:t>
            </w:r>
          </w:p>
        </w:tc>
      </w:tr>
      <w:tr w:rsidR="00162CE2" w:rsidRPr="002606DB" w14:paraId="20569D46" w14:textId="77777777" w:rsidTr="009228C4">
        <w:trPr>
          <w:cantSplit/>
        </w:trPr>
        <w:tc>
          <w:tcPr>
            <w:tcW w:w="2660" w:type="dxa"/>
          </w:tcPr>
          <w:p w14:paraId="75D14032" w14:textId="77777777" w:rsidR="00162CE2" w:rsidRPr="002606DB" w:rsidRDefault="00162CE2" w:rsidP="00056F35">
            <w:pPr>
              <w:pStyle w:val="TableParagraph"/>
              <w:adjustRightInd w:val="0"/>
              <w:snapToGrid w:val="0"/>
              <w:rPr>
                <w:snapToGrid w:val="0"/>
                <w:sz w:val="20"/>
                <w:szCs w:val="20"/>
                <w:lang w:val="pt-PT"/>
              </w:rPr>
            </w:pPr>
          </w:p>
        </w:tc>
        <w:tc>
          <w:tcPr>
            <w:tcW w:w="1480" w:type="dxa"/>
          </w:tcPr>
          <w:p w14:paraId="7798BE37"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 xml:space="preserve">Cap + Pl </w:t>
            </w:r>
          </w:p>
          <w:p w14:paraId="39C62E28"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(n = 206)</w:t>
            </w:r>
          </w:p>
        </w:tc>
        <w:tc>
          <w:tcPr>
            <w:tcW w:w="1670" w:type="dxa"/>
          </w:tcPr>
          <w:p w14:paraId="02E576D9" w14:textId="7139F8FD"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 xml:space="preserve">Cap + </w:t>
            </w:r>
            <w:r w:rsidR="00C17DE7" w:rsidRPr="002606DB">
              <w:rPr>
                <w:snapToGrid w:val="0"/>
                <w:sz w:val="20"/>
                <w:szCs w:val="20"/>
                <w:lang w:val="pt-PT"/>
              </w:rPr>
              <w:t>B</w:t>
            </w:r>
            <w:r w:rsidRPr="002606DB">
              <w:rPr>
                <w:snapToGrid w:val="0"/>
                <w:sz w:val="20"/>
                <w:szCs w:val="20"/>
                <w:lang w:val="pt-PT"/>
              </w:rPr>
              <w:t xml:space="preserve">evacizumab </w:t>
            </w:r>
          </w:p>
          <w:p w14:paraId="380D0CCB"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(n = 409)</w:t>
            </w:r>
          </w:p>
        </w:tc>
        <w:tc>
          <w:tcPr>
            <w:tcW w:w="1646" w:type="dxa"/>
          </w:tcPr>
          <w:p w14:paraId="67B096CC"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 xml:space="preserve">Cap + Pl </w:t>
            </w:r>
          </w:p>
          <w:p w14:paraId="7C95F2C9"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(n = 206)</w:t>
            </w:r>
          </w:p>
        </w:tc>
        <w:tc>
          <w:tcPr>
            <w:tcW w:w="1836" w:type="dxa"/>
          </w:tcPr>
          <w:p w14:paraId="1F9011B1" w14:textId="43446299"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 xml:space="preserve">Cap + </w:t>
            </w:r>
            <w:r w:rsidR="00C17DE7" w:rsidRPr="002606DB">
              <w:rPr>
                <w:snapToGrid w:val="0"/>
                <w:sz w:val="20"/>
                <w:szCs w:val="20"/>
                <w:lang w:val="pt-PT"/>
              </w:rPr>
              <w:t>B</w:t>
            </w:r>
            <w:r w:rsidRPr="002606DB">
              <w:rPr>
                <w:snapToGrid w:val="0"/>
                <w:sz w:val="20"/>
                <w:szCs w:val="20"/>
                <w:lang w:val="pt-PT"/>
              </w:rPr>
              <w:t xml:space="preserve">evacizumab </w:t>
            </w:r>
          </w:p>
          <w:p w14:paraId="750372C3"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(n = 409)</w:t>
            </w:r>
          </w:p>
        </w:tc>
      </w:tr>
      <w:tr w:rsidR="00162CE2" w:rsidRPr="002606DB" w14:paraId="3D079E3D" w14:textId="77777777" w:rsidTr="009228C4">
        <w:trPr>
          <w:cantSplit/>
        </w:trPr>
        <w:tc>
          <w:tcPr>
            <w:tcW w:w="2660" w:type="dxa"/>
          </w:tcPr>
          <w:p w14:paraId="35DC58C7"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PFS Mediana (meses)</w:t>
            </w:r>
          </w:p>
        </w:tc>
        <w:tc>
          <w:tcPr>
            <w:tcW w:w="1480" w:type="dxa"/>
          </w:tcPr>
          <w:p w14:paraId="614695AB"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5,7</w:t>
            </w:r>
          </w:p>
        </w:tc>
        <w:tc>
          <w:tcPr>
            <w:tcW w:w="1670" w:type="dxa"/>
          </w:tcPr>
          <w:p w14:paraId="6BE8B6FB"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8,6</w:t>
            </w:r>
          </w:p>
        </w:tc>
        <w:tc>
          <w:tcPr>
            <w:tcW w:w="1646" w:type="dxa"/>
          </w:tcPr>
          <w:p w14:paraId="59C0B0AB"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6,2</w:t>
            </w:r>
          </w:p>
        </w:tc>
        <w:tc>
          <w:tcPr>
            <w:tcW w:w="1836" w:type="dxa"/>
          </w:tcPr>
          <w:p w14:paraId="50468921"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9,8</w:t>
            </w:r>
          </w:p>
        </w:tc>
      </w:tr>
      <w:tr w:rsidR="00162CE2" w:rsidRPr="002606DB" w14:paraId="05BD6ED4" w14:textId="77777777" w:rsidTr="009228C4">
        <w:trPr>
          <w:cantSplit/>
        </w:trPr>
        <w:tc>
          <w:tcPr>
            <w:tcW w:w="2660" w:type="dxa"/>
          </w:tcPr>
          <w:p w14:paraId="684E6F89" w14:textId="7D6FA18C" w:rsidR="00162CE2" w:rsidRPr="002606DB" w:rsidRDefault="00162CE2" w:rsidP="00056F35">
            <w:pPr>
              <w:pStyle w:val="TableParagraph"/>
              <w:adjustRightInd w:val="0"/>
              <w:snapToGrid w:val="0"/>
              <w:rPr>
                <w:snapToGrid w:val="0"/>
                <w:sz w:val="20"/>
                <w:szCs w:val="20"/>
                <w:lang w:val="pt-PT"/>
              </w:rPr>
            </w:pPr>
            <w:r w:rsidRPr="002606DB">
              <w:rPr>
                <w:i/>
                <w:snapToGrid w:val="0"/>
                <w:sz w:val="20"/>
                <w:szCs w:val="20"/>
                <w:lang w:val="pt-PT"/>
              </w:rPr>
              <w:t xml:space="preserve">Hazard ratio </w:t>
            </w:r>
            <w:r w:rsidRPr="002606DB">
              <w:rPr>
                <w:snapToGrid w:val="0"/>
                <w:sz w:val="20"/>
                <w:szCs w:val="20"/>
                <w:lang w:val="pt-PT"/>
              </w:rPr>
              <w:t xml:space="preserve">(taxa de risco) </w:t>
            </w:r>
            <w:r w:rsidRPr="002606DB">
              <w:rPr>
                <w:i/>
                <w:snapToGrid w:val="0"/>
                <w:sz w:val="20"/>
                <w:szCs w:val="20"/>
                <w:lang w:val="pt-PT"/>
              </w:rPr>
              <w:t xml:space="preserve">vs </w:t>
            </w:r>
            <w:r w:rsidR="00B72472">
              <w:rPr>
                <w:snapToGrid w:val="0"/>
                <w:sz w:val="20"/>
                <w:szCs w:val="20"/>
                <w:lang w:val="pt-PT"/>
              </w:rPr>
              <w:t>grupo</w:t>
            </w:r>
            <w:r w:rsidRPr="002606DB">
              <w:rPr>
                <w:snapToGrid w:val="0"/>
                <w:sz w:val="20"/>
                <w:szCs w:val="20"/>
                <w:lang w:val="pt-PT"/>
              </w:rPr>
              <w:t xml:space="preserve"> placebo (IC 95%)</w:t>
            </w:r>
          </w:p>
        </w:tc>
        <w:tc>
          <w:tcPr>
            <w:tcW w:w="3150" w:type="dxa"/>
            <w:gridSpan w:val="2"/>
          </w:tcPr>
          <w:p w14:paraId="2419D1C2"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0,69 (0,56; 0,84)</w:t>
            </w:r>
          </w:p>
        </w:tc>
        <w:tc>
          <w:tcPr>
            <w:tcW w:w="3482" w:type="dxa"/>
            <w:gridSpan w:val="2"/>
          </w:tcPr>
          <w:p w14:paraId="0D90C40A"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0,68 (0,54; 0,86)</w:t>
            </w:r>
          </w:p>
        </w:tc>
      </w:tr>
      <w:tr w:rsidR="00162CE2" w:rsidRPr="002606DB" w14:paraId="40A86790" w14:textId="77777777" w:rsidTr="009228C4">
        <w:trPr>
          <w:cantSplit/>
        </w:trPr>
        <w:tc>
          <w:tcPr>
            <w:tcW w:w="2660" w:type="dxa"/>
          </w:tcPr>
          <w:p w14:paraId="4F518186"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valor de p</w:t>
            </w:r>
          </w:p>
        </w:tc>
        <w:tc>
          <w:tcPr>
            <w:tcW w:w="3150" w:type="dxa"/>
            <w:gridSpan w:val="2"/>
          </w:tcPr>
          <w:p w14:paraId="04E2C89A"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0,0002</w:t>
            </w:r>
          </w:p>
        </w:tc>
        <w:tc>
          <w:tcPr>
            <w:tcW w:w="3482" w:type="dxa"/>
            <w:gridSpan w:val="2"/>
          </w:tcPr>
          <w:p w14:paraId="0B366409"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0,0011</w:t>
            </w:r>
          </w:p>
        </w:tc>
      </w:tr>
      <w:tr w:rsidR="00162CE2" w:rsidRPr="00730741" w14:paraId="05FE29E5" w14:textId="77777777" w:rsidTr="009228C4">
        <w:trPr>
          <w:cantSplit/>
        </w:trPr>
        <w:tc>
          <w:tcPr>
            <w:tcW w:w="9292" w:type="dxa"/>
            <w:gridSpan w:val="5"/>
          </w:tcPr>
          <w:p w14:paraId="1799E54B"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Taxa de resposta (para doentes com doença mensurável)</w:t>
            </w:r>
            <w:r w:rsidRPr="002606DB">
              <w:rPr>
                <w:snapToGrid w:val="0"/>
                <w:sz w:val="20"/>
                <w:szCs w:val="20"/>
                <w:vertAlign w:val="superscript"/>
                <w:lang w:val="pt-PT"/>
              </w:rPr>
              <w:t>b</w:t>
            </w:r>
          </w:p>
        </w:tc>
      </w:tr>
      <w:tr w:rsidR="00162CE2" w:rsidRPr="002606DB" w14:paraId="027B0FF6" w14:textId="77777777" w:rsidTr="009228C4">
        <w:trPr>
          <w:cantSplit/>
        </w:trPr>
        <w:tc>
          <w:tcPr>
            <w:tcW w:w="2660" w:type="dxa"/>
          </w:tcPr>
          <w:p w14:paraId="0299D9C9" w14:textId="77777777" w:rsidR="00162CE2" w:rsidRPr="002606DB" w:rsidRDefault="00162CE2" w:rsidP="00056F35">
            <w:pPr>
              <w:pStyle w:val="TableParagraph"/>
              <w:adjustRightInd w:val="0"/>
              <w:snapToGrid w:val="0"/>
              <w:rPr>
                <w:snapToGrid w:val="0"/>
                <w:sz w:val="20"/>
                <w:szCs w:val="20"/>
                <w:lang w:val="pt-PT"/>
              </w:rPr>
            </w:pPr>
          </w:p>
        </w:tc>
        <w:tc>
          <w:tcPr>
            <w:tcW w:w="3150" w:type="dxa"/>
            <w:gridSpan w:val="2"/>
          </w:tcPr>
          <w:p w14:paraId="6344B235" w14:textId="77777777"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Cap + Pl (n = 161)</w:t>
            </w:r>
          </w:p>
        </w:tc>
        <w:tc>
          <w:tcPr>
            <w:tcW w:w="3482" w:type="dxa"/>
            <w:gridSpan w:val="2"/>
          </w:tcPr>
          <w:p w14:paraId="5D759251" w14:textId="33074E84" w:rsidR="00162CE2" w:rsidRPr="002606DB" w:rsidRDefault="00162CE2" w:rsidP="009974C0">
            <w:pPr>
              <w:pStyle w:val="TableParagraph"/>
              <w:adjustRightInd w:val="0"/>
              <w:snapToGrid w:val="0"/>
              <w:jc w:val="center"/>
              <w:rPr>
                <w:snapToGrid w:val="0"/>
                <w:sz w:val="20"/>
                <w:szCs w:val="20"/>
                <w:lang w:val="pt-PT"/>
              </w:rPr>
            </w:pPr>
            <w:r w:rsidRPr="002606DB">
              <w:rPr>
                <w:snapToGrid w:val="0"/>
                <w:sz w:val="20"/>
                <w:szCs w:val="20"/>
                <w:lang w:val="pt-PT"/>
              </w:rPr>
              <w:t xml:space="preserve">Cap + </w:t>
            </w:r>
            <w:r w:rsidR="00C17DE7" w:rsidRPr="002606DB">
              <w:rPr>
                <w:snapToGrid w:val="0"/>
                <w:sz w:val="20"/>
                <w:szCs w:val="20"/>
                <w:lang w:val="pt-PT"/>
              </w:rPr>
              <w:t>B</w:t>
            </w:r>
            <w:r w:rsidRPr="002606DB">
              <w:rPr>
                <w:snapToGrid w:val="0"/>
                <w:sz w:val="20"/>
                <w:szCs w:val="20"/>
                <w:lang w:val="pt-PT"/>
              </w:rPr>
              <w:t>evacizumab (n = 325)</w:t>
            </w:r>
          </w:p>
        </w:tc>
      </w:tr>
      <w:tr w:rsidR="00162CE2" w:rsidRPr="002606DB" w14:paraId="1585A851" w14:textId="77777777" w:rsidTr="009228C4">
        <w:trPr>
          <w:cantSplit/>
        </w:trPr>
        <w:tc>
          <w:tcPr>
            <w:tcW w:w="2660" w:type="dxa"/>
          </w:tcPr>
          <w:p w14:paraId="461FFE60"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 doentes com resposta objetiva</w:t>
            </w:r>
          </w:p>
        </w:tc>
        <w:tc>
          <w:tcPr>
            <w:tcW w:w="3150" w:type="dxa"/>
            <w:gridSpan w:val="2"/>
          </w:tcPr>
          <w:p w14:paraId="546E7095"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23,6</w:t>
            </w:r>
          </w:p>
        </w:tc>
        <w:tc>
          <w:tcPr>
            <w:tcW w:w="3482" w:type="dxa"/>
            <w:gridSpan w:val="2"/>
          </w:tcPr>
          <w:p w14:paraId="2BE1EE74"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35,4</w:t>
            </w:r>
          </w:p>
        </w:tc>
      </w:tr>
      <w:tr w:rsidR="00162CE2" w:rsidRPr="002606DB" w14:paraId="0142635A" w14:textId="77777777" w:rsidTr="009228C4">
        <w:trPr>
          <w:cantSplit/>
        </w:trPr>
        <w:tc>
          <w:tcPr>
            <w:tcW w:w="2660" w:type="dxa"/>
          </w:tcPr>
          <w:p w14:paraId="4396EC8A"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valor de p</w:t>
            </w:r>
          </w:p>
        </w:tc>
        <w:tc>
          <w:tcPr>
            <w:tcW w:w="6632" w:type="dxa"/>
            <w:gridSpan w:val="4"/>
          </w:tcPr>
          <w:p w14:paraId="0FFD3E0E"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0,0097</w:t>
            </w:r>
          </w:p>
        </w:tc>
      </w:tr>
      <w:tr w:rsidR="00162CE2" w:rsidRPr="002606DB" w14:paraId="30E85773" w14:textId="77777777" w:rsidTr="009228C4">
        <w:trPr>
          <w:cantSplit/>
        </w:trPr>
        <w:tc>
          <w:tcPr>
            <w:tcW w:w="9292" w:type="dxa"/>
            <w:gridSpan w:val="5"/>
          </w:tcPr>
          <w:p w14:paraId="6AEA1303"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Sobrevivência global</w:t>
            </w:r>
            <w:r w:rsidRPr="002606DB">
              <w:rPr>
                <w:snapToGrid w:val="0"/>
                <w:sz w:val="20"/>
                <w:szCs w:val="20"/>
                <w:vertAlign w:val="superscript"/>
                <w:lang w:val="pt-PT"/>
              </w:rPr>
              <w:t>b</w:t>
            </w:r>
          </w:p>
        </w:tc>
      </w:tr>
      <w:tr w:rsidR="00162CE2" w:rsidRPr="002606DB" w14:paraId="74F5182F" w14:textId="77777777" w:rsidTr="009228C4">
        <w:trPr>
          <w:cantSplit/>
        </w:trPr>
        <w:tc>
          <w:tcPr>
            <w:tcW w:w="2660" w:type="dxa"/>
          </w:tcPr>
          <w:p w14:paraId="5C6F9172" w14:textId="2D385F45" w:rsidR="00162CE2" w:rsidRPr="002606DB" w:rsidRDefault="00162CE2" w:rsidP="00056F35">
            <w:pPr>
              <w:pStyle w:val="TableParagraph"/>
              <w:adjustRightInd w:val="0"/>
              <w:snapToGrid w:val="0"/>
              <w:rPr>
                <w:snapToGrid w:val="0"/>
                <w:sz w:val="20"/>
                <w:szCs w:val="20"/>
                <w:lang w:val="pt-PT"/>
              </w:rPr>
            </w:pPr>
            <w:r w:rsidRPr="002606DB">
              <w:rPr>
                <w:i/>
                <w:snapToGrid w:val="0"/>
                <w:sz w:val="20"/>
                <w:szCs w:val="20"/>
                <w:lang w:val="pt-PT"/>
              </w:rPr>
              <w:lastRenderedPageBreak/>
              <w:t xml:space="preserve">Hazard </w:t>
            </w:r>
            <w:r w:rsidR="00E85F34">
              <w:rPr>
                <w:i/>
                <w:snapToGrid w:val="0"/>
                <w:sz w:val="20"/>
                <w:szCs w:val="20"/>
                <w:lang w:val="pt-PT"/>
              </w:rPr>
              <w:t>r</w:t>
            </w:r>
            <w:r w:rsidRPr="002606DB">
              <w:rPr>
                <w:i/>
                <w:snapToGrid w:val="0"/>
                <w:sz w:val="20"/>
                <w:szCs w:val="20"/>
                <w:lang w:val="pt-PT"/>
              </w:rPr>
              <w:t xml:space="preserve">atio </w:t>
            </w:r>
            <w:r w:rsidRPr="002606DB">
              <w:rPr>
                <w:snapToGrid w:val="0"/>
                <w:sz w:val="20"/>
                <w:szCs w:val="20"/>
                <w:lang w:val="pt-PT"/>
              </w:rPr>
              <w:t>(taxa de risco)</w:t>
            </w:r>
          </w:p>
          <w:p w14:paraId="3F2BA4DF"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(IC 95%)</w:t>
            </w:r>
          </w:p>
        </w:tc>
        <w:tc>
          <w:tcPr>
            <w:tcW w:w="6632" w:type="dxa"/>
            <w:gridSpan w:val="4"/>
          </w:tcPr>
          <w:p w14:paraId="0860CC6B" w14:textId="77777777" w:rsidR="00162CE2" w:rsidRPr="002606DB" w:rsidRDefault="00162CE2" w:rsidP="00056F35">
            <w:pPr>
              <w:pStyle w:val="TableParagraph"/>
              <w:adjustRightInd w:val="0"/>
              <w:snapToGrid w:val="0"/>
              <w:rPr>
                <w:b/>
                <w:snapToGrid w:val="0"/>
                <w:sz w:val="20"/>
                <w:szCs w:val="20"/>
                <w:lang w:val="pt-PT"/>
              </w:rPr>
            </w:pPr>
          </w:p>
          <w:p w14:paraId="048ECA57"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0,88 (0,69; 1,13)</w:t>
            </w:r>
          </w:p>
        </w:tc>
      </w:tr>
      <w:tr w:rsidR="00162CE2" w:rsidRPr="002606DB" w14:paraId="0A272C2D" w14:textId="77777777" w:rsidTr="009228C4">
        <w:trPr>
          <w:cantSplit/>
        </w:trPr>
        <w:tc>
          <w:tcPr>
            <w:tcW w:w="2660" w:type="dxa"/>
          </w:tcPr>
          <w:p w14:paraId="79ADC632" w14:textId="77777777" w:rsidR="00162CE2" w:rsidRPr="002606DB" w:rsidRDefault="00162CE2" w:rsidP="00056F35">
            <w:pPr>
              <w:pStyle w:val="TableParagraph"/>
              <w:adjustRightInd w:val="0"/>
              <w:snapToGrid w:val="0"/>
              <w:rPr>
                <w:snapToGrid w:val="0"/>
                <w:sz w:val="20"/>
                <w:szCs w:val="20"/>
                <w:lang w:val="pt-PT"/>
              </w:rPr>
            </w:pPr>
            <w:r w:rsidRPr="002606DB">
              <w:rPr>
                <w:snapToGrid w:val="0"/>
                <w:sz w:val="20"/>
                <w:szCs w:val="20"/>
                <w:lang w:val="pt-PT"/>
              </w:rPr>
              <w:t>valor de p (exploratório)</w:t>
            </w:r>
          </w:p>
        </w:tc>
        <w:tc>
          <w:tcPr>
            <w:tcW w:w="6632" w:type="dxa"/>
            <w:gridSpan w:val="4"/>
          </w:tcPr>
          <w:p w14:paraId="1A996793" w14:textId="77777777" w:rsidR="00162CE2" w:rsidRPr="002606DB" w:rsidRDefault="00162CE2" w:rsidP="00056F35">
            <w:pPr>
              <w:pStyle w:val="TableParagraph"/>
              <w:adjustRightInd w:val="0"/>
              <w:snapToGrid w:val="0"/>
              <w:jc w:val="center"/>
              <w:rPr>
                <w:snapToGrid w:val="0"/>
                <w:sz w:val="20"/>
                <w:szCs w:val="20"/>
                <w:lang w:val="pt-PT"/>
              </w:rPr>
            </w:pPr>
            <w:r w:rsidRPr="002606DB">
              <w:rPr>
                <w:snapToGrid w:val="0"/>
                <w:sz w:val="20"/>
                <w:szCs w:val="20"/>
                <w:lang w:val="pt-PT"/>
              </w:rPr>
              <w:t>0,33</w:t>
            </w:r>
          </w:p>
        </w:tc>
      </w:tr>
    </w:tbl>
    <w:p w14:paraId="1BD66F8D" w14:textId="3A5BFFA9" w:rsidR="00162CE2" w:rsidRPr="002606DB" w:rsidRDefault="00162CE2" w:rsidP="00056F35">
      <w:pPr>
        <w:adjustRightInd w:val="0"/>
        <w:snapToGrid w:val="0"/>
        <w:rPr>
          <w:snapToGrid w:val="0"/>
          <w:sz w:val="20"/>
          <w:szCs w:val="20"/>
          <w:lang w:val="pt-PT"/>
        </w:rPr>
      </w:pPr>
      <w:r w:rsidRPr="002606DB">
        <w:rPr>
          <w:snapToGrid w:val="0"/>
          <w:sz w:val="20"/>
          <w:szCs w:val="20"/>
          <w:vertAlign w:val="superscript"/>
          <w:lang w:val="pt-PT"/>
        </w:rPr>
        <w:t>a</w:t>
      </w:r>
      <w:r w:rsidR="00D61458" w:rsidRPr="002606DB">
        <w:rPr>
          <w:snapToGrid w:val="0"/>
          <w:sz w:val="20"/>
          <w:szCs w:val="20"/>
          <w:lang w:val="pt-PT"/>
        </w:rPr>
        <w:t xml:space="preserve"> </w:t>
      </w:r>
      <w:r w:rsidRPr="002606DB">
        <w:rPr>
          <w:snapToGrid w:val="0"/>
          <w:sz w:val="20"/>
          <w:szCs w:val="20"/>
          <w:lang w:val="pt-PT"/>
        </w:rPr>
        <w:t>1000 mg/m</w:t>
      </w:r>
      <w:r w:rsidRPr="002606DB">
        <w:rPr>
          <w:snapToGrid w:val="0"/>
          <w:sz w:val="20"/>
          <w:szCs w:val="20"/>
          <w:vertAlign w:val="superscript"/>
          <w:lang w:val="pt-PT"/>
        </w:rPr>
        <w:t>2</w:t>
      </w:r>
      <w:r w:rsidRPr="002606DB">
        <w:rPr>
          <w:snapToGrid w:val="0"/>
          <w:sz w:val="20"/>
          <w:szCs w:val="20"/>
          <w:lang w:val="pt-PT"/>
        </w:rPr>
        <w:t xml:space="preserve"> oral duas vezes por dia durante 14 dias, administrados a cada 3 semanas</w:t>
      </w:r>
    </w:p>
    <w:p w14:paraId="0C82265A" w14:textId="75A7F78A" w:rsidR="00162CE2" w:rsidRPr="002606DB" w:rsidRDefault="00162CE2" w:rsidP="00056F35">
      <w:pPr>
        <w:adjustRightInd w:val="0"/>
        <w:snapToGrid w:val="0"/>
        <w:rPr>
          <w:snapToGrid w:val="0"/>
          <w:sz w:val="20"/>
          <w:szCs w:val="20"/>
          <w:lang w:val="pt-PT"/>
        </w:rPr>
      </w:pPr>
      <w:r w:rsidRPr="002606DB">
        <w:rPr>
          <w:snapToGrid w:val="0"/>
          <w:sz w:val="20"/>
          <w:szCs w:val="20"/>
          <w:vertAlign w:val="superscript"/>
          <w:lang w:val="pt-PT"/>
        </w:rPr>
        <w:t>b</w:t>
      </w:r>
      <w:r w:rsidR="00D61458" w:rsidRPr="002606DB">
        <w:rPr>
          <w:snapToGrid w:val="0"/>
          <w:sz w:val="20"/>
          <w:szCs w:val="20"/>
          <w:lang w:val="pt-PT"/>
        </w:rPr>
        <w:t xml:space="preserve"> </w:t>
      </w:r>
      <w:r w:rsidRPr="002606DB">
        <w:rPr>
          <w:snapToGrid w:val="0"/>
          <w:sz w:val="20"/>
          <w:szCs w:val="20"/>
          <w:lang w:val="pt-PT"/>
        </w:rPr>
        <w:t>A análise estratificada incluiu todos os acontecimentos de progressão e morte, exceto os relacionados com a terapêutica fora do protocolo (NPT) iniciada antes de progressão documentada; os dados desses doentes foram censurados durante a última avaliação do tumor anterior ao início da NPT.</w:t>
      </w:r>
    </w:p>
    <w:p w14:paraId="78061206" w14:textId="77777777" w:rsidR="00162CE2" w:rsidRPr="002606DB" w:rsidRDefault="00162CE2" w:rsidP="00056F35">
      <w:pPr>
        <w:adjustRightInd w:val="0"/>
        <w:snapToGrid w:val="0"/>
        <w:rPr>
          <w:snapToGrid w:val="0"/>
          <w:lang w:val="pt-PT"/>
        </w:rPr>
      </w:pPr>
    </w:p>
    <w:p w14:paraId="1BEE6D63" w14:textId="77777777" w:rsidR="00162CE2" w:rsidRPr="002606DB" w:rsidRDefault="00162CE2" w:rsidP="00056F35">
      <w:pPr>
        <w:pStyle w:val="a3"/>
        <w:adjustRightInd w:val="0"/>
        <w:snapToGrid w:val="0"/>
        <w:rPr>
          <w:snapToGrid w:val="0"/>
          <w:lang w:val="pt-PT"/>
        </w:rPr>
      </w:pPr>
      <w:r w:rsidRPr="002606DB">
        <w:rPr>
          <w:snapToGrid w:val="0"/>
          <w:lang w:val="pt-PT"/>
        </w:rPr>
        <w:t>Foi realizada uma análise não estratificada da PFS (efetuada pelo investigador) que não censurou a terapêutica fora do protocolo (NPT) antes da progressão da doença. Os resultados destas análises foram muito semelhantes aos resultados primários da PFS.</w:t>
      </w:r>
    </w:p>
    <w:p w14:paraId="24E73686" w14:textId="77777777" w:rsidR="00162CE2" w:rsidRPr="002606DB" w:rsidRDefault="00162CE2" w:rsidP="00056F35">
      <w:pPr>
        <w:pStyle w:val="a3"/>
        <w:adjustRightInd w:val="0"/>
        <w:snapToGrid w:val="0"/>
        <w:rPr>
          <w:snapToGrid w:val="0"/>
          <w:lang w:val="pt-PT"/>
        </w:rPr>
      </w:pPr>
    </w:p>
    <w:p w14:paraId="55237810" w14:textId="77777777" w:rsidR="00162CE2" w:rsidRPr="002606DB" w:rsidRDefault="00162CE2" w:rsidP="00056F35">
      <w:pPr>
        <w:adjustRightInd w:val="0"/>
        <w:snapToGrid w:val="0"/>
        <w:rPr>
          <w:i/>
          <w:snapToGrid w:val="0"/>
          <w:lang w:val="pt-PT"/>
        </w:rPr>
      </w:pPr>
      <w:r w:rsidRPr="002606DB">
        <w:rPr>
          <w:i/>
          <w:snapToGrid w:val="0"/>
          <w:u w:val="single"/>
          <w:lang w:val="pt-PT"/>
        </w:rPr>
        <w:t>Cancro do pulmão de células não pequenas (NSCLC)</w:t>
      </w:r>
    </w:p>
    <w:p w14:paraId="4CC1DF4B" w14:textId="77777777" w:rsidR="00162CE2" w:rsidRPr="002606DB" w:rsidRDefault="00162CE2" w:rsidP="00056F35">
      <w:pPr>
        <w:pStyle w:val="a3"/>
        <w:adjustRightInd w:val="0"/>
        <w:snapToGrid w:val="0"/>
        <w:rPr>
          <w:i/>
          <w:snapToGrid w:val="0"/>
          <w:lang w:val="pt-PT"/>
        </w:rPr>
      </w:pPr>
    </w:p>
    <w:p w14:paraId="44A02626" w14:textId="3E9581CE" w:rsidR="00162CE2" w:rsidRPr="002606DB" w:rsidRDefault="00162CE2" w:rsidP="00056F35">
      <w:pPr>
        <w:adjustRightInd w:val="0"/>
        <w:snapToGrid w:val="0"/>
        <w:rPr>
          <w:i/>
          <w:snapToGrid w:val="0"/>
          <w:lang w:val="pt-PT"/>
        </w:rPr>
      </w:pPr>
      <w:r w:rsidRPr="002606DB">
        <w:rPr>
          <w:i/>
          <w:snapToGrid w:val="0"/>
          <w:lang w:val="pt-PT"/>
        </w:rPr>
        <w:t xml:space="preserve">Tratamento de primeira linha de NSCLC não </w:t>
      </w:r>
      <w:r w:rsidR="00013970" w:rsidRPr="00013970">
        <w:rPr>
          <w:i/>
          <w:snapToGrid w:val="0"/>
          <w:lang w:val="pt-PT"/>
        </w:rPr>
        <w:t>pavimentocelular</w:t>
      </w:r>
      <w:r w:rsidRPr="002606DB">
        <w:rPr>
          <w:i/>
          <w:snapToGrid w:val="0"/>
          <w:lang w:val="pt-PT"/>
        </w:rPr>
        <w:t xml:space="preserve"> em associação com quimioterapia baseada em platina</w:t>
      </w:r>
    </w:p>
    <w:p w14:paraId="4EE45AD8" w14:textId="77777777" w:rsidR="00162CE2" w:rsidRPr="002606DB" w:rsidRDefault="00162CE2" w:rsidP="00056F35">
      <w:pPr>
        <w:pStyle w:val="a3"/>
        <w:adjustRightInd w:val="0"/>
        <w:snapToGrid w:val="0"/>
        <w:rPr>
          <w:i/>
          <w:snapToGrid w:val="0"/>
          <w:lang w:val="pt-PT"/>
        </w:rPr>
      </w:pPr>
    </w:p>
    <w:p w14:paraId="297DDE8C" w14:textId="36884718" w:rsidR="00162CE2" w:rsidRPr="002606DB" w:rsidRDefault="00162CE2" w:rsidP="00056F35">
      <w:pPr>
        <w:pStyle w:val="a3"/>
        <w:adjustRightInd w:val="0"/>
        <w:snapToGrid w:val="0"/>
        <w:rPr>
          <w:snapToGrid w:val="0"/>
          <w:lang w:val="pt-PT"/>
        </w:rPr>
      </w:pPr>
      <w:r w:rsidRPr="002606DB">
        <w:rPr>
          <w:snapToGrid w:val="0"/>
          <w:lang w:val="pt-PT"/>
        </w:rPr>
        <w:t xml:space="preserve">A segurança e eficácia de </w:t>
      </w:r>
      <w:r w:rsidRPr="007155C0">
        <w:rPr>
          <w:color w:val="000000"/>
          <w:lang w:val="pt-PT"/>
        </w:rPr>
        <w:t xml:space="preserve">bevacizumab </w:t>
      </w:r>
      <w:r w:rsidRPr="002606DB">
        <w:rPr>
          <w:snapToGrid w:val="0"/>
          <w:lang w:val="pt-PT"/>
        </w:rPr>
        <w:t xml:space="preserve">em associação a quimioterapia com base em platina, no tratamento em primeira linha de doentes com </w:t>
      </w:r>
      <w:r w:rsidR="00D61458" w:rsidRPr="002606DB">
        <w:rPr>
          <w:snapToGrid w:val="0"/>
          <w:lang w:val="pt-PT"/>
        </w:rPr>
        <w:t xml:space="preserve">NSCLC </w:t>
      </w:r>
      <w:r w:rsidRPr="002606DB">
        <w:rPr>
          <w:snapToGrid w:val="0"/>
          <w:lang w:val="pt-PT"/>
        </w:rPr>
        <w:t xml:space="preserve">não </w:t>
      </w:r>
      <w:r w:rsidR="00013970" w:rsidRPr="00013970">
        <w:rPr>
          <w:snapToGrid w:val="0"/>
          <w:lang w:val="pt-PT"/>
        </w:rPr>
        <w:t>pavimentocelular</w:t>
      </w:r>
      <w:r w:rsidRPr="002606DB">
        <w:rPr>
          <w:snapToGrid w:val="0"/>
          <w:lang w:val="pt-PT"/>
        </w:rPr>
        <w:t xml:space="preserve">, foram estudadas nos ensaios E4599 e BO17704. No estudo E4599 foi demonstrado um benefício em termos de </w:t>
      </w:r>
      <w:r w:rsidR="004C3061">
        <w:rPr>
          <w:snapToGrid w:val="0"/>
          <w:lang w:val="pt-PT"/>
        </w:rPr>
        <w:t>OS</w:t>
      </w:r>
      <w:r w:rsidRPr="002606DB">
        <w:rPr>
          <w:snapToGrid w:val="0"/>
          <w:lang w:val="pt-PT"/>
        </w:rPr>
        <w:t xml:space="preserve"> com uma dose de bevacizumab de 15 mg/kg, administrada cada 3 semanas. O ensaio BO17704 demonstrou o aumento da </w:t>
      </w:r>
      <w:r w:rsidR="004C3061">
        <w:rPr>
          <w:snapToGrid w:val="0"/>
          <w:lang w:val="pt-PT"/>
        </w:rPr>
        <w:t>PFS</w:t>
      </w:r>
      <w:r w:rsidRPr="002606DB">
        <w:rPr>
          <w:snapToGrid w:val="0"/>
          <w:lang w:val="pt-PT"/>
        </w:rPr>
        <w:t xml:space="preserve"> e da taxa de resposta com ambas as doses de bevacizumab, 7,5 mg/kg, administrada cada 3 semanas e 15 mg/kg, administrada cada 3 semanas.</w:t>
      </w:r>
    </w:p>
    <w:p w14:paraId="5CCF5EAC" w14:textId="77777777" w:rsidR="00162CE2" w:rsidRPr="002606DB" w:rsidRDefault="00162CE2" w:rsidP="00056F35">
      <w:pPr>
        <w:pStyle w:val="a3"/>
        <w:adjustRightInd w:val="0"/>
        <w:snapToGrid w:val="0"/>
        <w:rPr>
          <w:snapToGrid w:val="0"/>
          <w:lang w:val="pt-PT"/>
        </w:rPr>
      </w:pPr>
    </w:p>
    <w:p w14:paraId="1A6FE712" w14:textId="77777777" w:rsidR="00162CE2" w:rsidRPr="002606DB" w:rsidRDefault="00162CE2" w:rsidP="00056F35">
      <w:pPr>
        <w:adjustRightInd w:val="0"/>
        <w:snapToGrid w:val="0"/>
        <w:rPr>
          <w:i/>
          <w:snapToGrid w:val="0"/>
          <w:lang w:val="pt-PT"/>
        </w:rPr>
      </w:pPr>
      <w:r w:rsidRPr="002606DB">
        <w:rPr>
          <w:i/>
          <w:snapToGrid w:val="0"/>
          <w:lang w:val="pt-PT"/>
        </w:rPr>
        <w:t>E4599</w:t>
      </w:r>
    </w:p>
    <w:p w14:paraId="5200574F" w14:textId="46A371EF" w:rsidR="00162CE2" w:rsidRPr="002606DB" w:rsidRDefault="00162CE2" w:rsidP="00056F35">
      <w:pPr>
        <w:pStyle w:val="a3"/>
        <w:adjustRightInd w:val="0"/>
        <w:snapToGrid w:val="0"/>
        <w:rPr>
          <w:snapToGrid w:val="0"/>
          <w:lang w:val="pt-PT"/>
        </w:rPr>
      </w:pPr>
      <w:r w:rsidRPr="002606DB">
        <w:rPr>
          <w:snapToGrid w:val="0"/>
          <w:lang w:val="pt-PT"/>
        </w:rPr>
        <w:t xml:space="preserve">O estudo E4599 foi um estudo aberto, aleatorizado, controlado ativamente, multicêntrico para avaliação de </w:t>
      </w:r>
      <w:r w:rsidRPr="007155C0">
        <w:rPr>
          <w:color w:val="000000"/>
          <w:lang w:val="pt-PT"/>
        </w:rPr>
        <w:t xml:space="preserve">bevacizumab </w:t>
      </w:r>
      <w:r w:rsidRPr="002606DB">
        <w:rPr>
          <w:snapToGrid w:val="0"/>
          <w:lang w:val="pt-PT"/>
        </w:rPr>
        <w:t xml:space="preserve">no tratamento de primeira linha de doentes com </w:t>
      </w:r>
      <w:r w:rsidR="00013970">
        <w:rPr>
          <w:snapToGrid w:val="0"/>
          <w:lang w:val="pt-PT"/>
        </w:rPr>
        <w:t>NSCLC</w:t>
      </w:r>
      <w:r w:rsidRPr="002606DB">
        <w:rPr>
          <w:snapToGrid w:val="0"/>
          <w:lang w:val="pt-PT"/>
        </w:rPr>
        <w:t xml:space="preserve"> localmente avançado (estádio IIIb com derrame pleural maligno), metastizado ou recidivante, excluindo histologia com predomínio de células escamosas.</w:t>
      </w:r>
    </w:p>
    <w:p w14:paraId="72224D42" w14:textId="77777777" w:rsidR="00162CE2" w:rsidRPr="002606DB" w:rsidRDefault="00162CE2" w:rsidP="00056F35">
      <w:pPr>
        <w:pStyle w:val="a3"/>
        <w:adjustRightInd w:val="0"/>
        <w:snapToGrid w:val="0"/>
        <w:rPr>
          <w:snapToGrid w:val="0"/>
          <w:lang w:val="pt-PT"/>
        </w:rPr>
      </w:pPr>
    </w:p>
    <w:p w14:paraId="3AD041C9" w14:textId="3F252521" w:rsidR="00162CE2" w:rsidRPr="002606DB" w:rsidRDefault="00162CE2" w:rsidP="00056F35">
      <w:pPr>
        <w:pStyle w:val="a3"/>
        <w:adjustRightInd w:val="0"/>
        <w:snapToGrid w:val="0"/>
        <w:rPr>
          <w:snapToGrid w:val="0"/>
          <w:lang w:val="pt-PT"/>
        </w:rPr>
      </w:pPr>
      <w:r w:rsidRPr="002606DB">
        <w:rPr>
          <w:snapToGrid w:val="0"/>
          <w:lang w:val="pt-PT"/>
        </w:rPr>
        <w:t xml:space="preserve">Os doentes foram aleatoriamente distribuídos para o </w:t>
      </w:r>
      <w:r w:rsidR="00B72472">
        <w:rPr>
          <w:snapToGrid w:val="0"/>
          <w:lang w:val="pt-PT"/>
        </w:rPr>
        <w:t>grupo</w:t>
      </w:r>
      <w:r w:rsidRPr="002606DB">
        <w:rPr>
          <w:snapToGrid w:val="0"/>
          <w:lang w:val="pt-PT"/>
        </w:rPr>
        <w:t xml:space="preserve"> de quimioterapia à base de platina (200 mg/m</w:t>
      </w:r>
      <w:r w:rsidRPr="002606DB">
        <w:rPr>
          <w:snapToGrid w:val="0"/>
          <w:vertAlign w:val="superscript"/>
          <w:lang w:val="pt-PT"/>
        </w:rPr>
        <w:t>2</w:t>
      </w:r>
      <w:r w:rsidRPr="002606DB">
        <w:rPr>
          <w:snapToGrid w:val="0"/>
          <w:lang w:val="pt-PT"/>
        </w:rPr>
        <w:t xml:space="preserve"> de paclitaxel e carboplatina AUC = 6,0; ambos administrados por perfusão intravenosa) (PC), administrada no dia 1 de cada ciclo de 3 semanas até um total de 6 ciclos ou para o </w:t>
      </w:r>
      <w:r w:rsidR="00B72472">
        <w:rPr>
          <w:snapToGrid w:val="0"/>
          <w:lang w:val="pt-PT"/>
        </w:rPr>
        <w:t>grupo</w:t>
      </w:r>
      <w:r w:rsidRPr="002606DB">
        <w:rPr>
          <w:snapToGrid w:val="0"/>
          <w:lang w:val="pt-PT"/>
        </w:rPr>
        <w:t xml:space="preserve"> com PC em associação com </w:t>
      </w:r>
      <w:r w:rsidRPr="007155C0">
        <w:rPr>
          <w:color w:val="000000"/>
          <w:lang w:val="fr-CA"/>
        </w:rPr>
        <w:t xml:space="preserve">bevacizumab </w:t>
      </w:r>
      <w:r w:rsidRPr="002606DB">
        <w:rPr>
          <w:snapToGrid w:val="0"/>
          <w:lang w:val="pt-PT"/>
        </w:rPr>
        <w:t xml:space="preserve">na dose de 15 mg/kg, administrado por perfusão intravenosa, no dia 1 de cada ciclo de 3 semanas. Após a conclusão dos seis ciclos de quimioterapia com carboplatina - paclitaxel ou após descontinuação prematura da quimioterapia, os doentes no </w:t>
      </w:r>
      <w:r w:rsidR="00B72472">
        <w:rPr>
          <w:snapToGrid w:val="0"/>
          <w:lang w:val="pt-PT"/>
        </w:rPr>
        <w:t>grupo</w:t>
      </w:r>
      <w:r w:rsidRPr="002606DB">
        <w:rPr>
          <w:snapToGrid w:val="0"/>
          <w:lang w:val="pt-PT"/>
        </w:rPr>
        <w:t xml:space="preserve"> de </w:t>
      </w:r>
      <w:r w:rsidRPr="007155C0">
        <w:rPr>
          <w:color w:val="000000"/>
          <w:lang w:val="pt-PT"/>
        </w:rPr>
        <w:t xml:space="preserve">bevacizumab </w:t>
      </w:r>
      <w:r w:rsidRPr="002606DB">
        <w:rPr>
          <w:snapToGrid w:val="0"/>
          <w:lang w:val="pt-PT"/>
        </w:rPr>
        <w:t>+ carboplatina</w:t>
      </w:r>
      <w:r w:rsidR="00D61458" w:rsidRPr="002606DB">
        <w:rPr>
          <w:snapToGrid w:val="0"/>
          <w:lang w:val="pt-PT"/>
        </w:rPr>
        <w:noBreakHyphen/>
      </w:r>
      <w:r w:rsidRPr="002606DB">
        <w:rPr>
          <w:snapToGrid w:val="0"/>
          <w:lang w:val="pt-PT"/>
        </w:rPr>
        <w:t xml:space="preserve">paclitaxel continuaram a receber </w:t>
      </w:r>
      <w:r w:rsidRPr="007155C0">
        <w:rPr>
          <w:color w:val="000000"/>
          <w:lang w:val="pt-PT"/>
        </w:rPr>
        <w:t xml:space="preserve">bevacizumab </w:t>
      </w:r>
      <w:r w:rsidRPr="002606DB">
        <w:rPr>
          <w:snapToGrid w:val="0"/>
          <w:lang w:val="pt-PT"/>
        </w:rPr>
        <w:t xml:space="preserve">em monoterapia cada 3 semanas até progressão da doença. Foram randomizados para os dois </w:t>
      </w:r>
      <w:r w:rsidR="00B72472">
        <w:rPr>
          <w:snapToGrid w:val="0"/>
          <w:lang w:val="pt-PT"/>
        </w:rPr>
        <w:t>grupo</w:t>
      </w:r>
      <w:r w:rsidRPr="002606DB">
        <w:rPr>
          <w:snapToGrid w:val="0"/>
          <w:lang w:val="pt-PT"/>
        </w:rPr>
        <w:t>s de tratamento 878 doentes.</w:t>
      </w:r>
    </w:p>
    <w:p w14:paraId="627899D4" w14:textId="77777777" w:rsidR="00162CE2" w:rsidRPr="002606DB" w:rsidRDefault="00162CE2" w:rsidP="00056F35">
      <w:pPr>
        <w:pStyle w:val="a3"/>
        <w:adjustRightInd w:val="0"/>
        <w:snapToGrid w:val="0"/>
        <w:rPr>
          <w:snapToGrid w:val="0"/>
          <w:lang w:val="pt-PT"/>
        </w:rPr>
      </w:pPr>
    </w:p>
    <w:p w14:paraId="47B243BD" w14:textId="67FF4828" w:rsidR="00162CE2" w:rsidRPr="002606DB" w:rsidRDefault="00162CE2" w:rsidP="009228C4">
      <w:pPr>
        <w:pStyle w:val="a3"/>
        <w:keepNext/>
        <w:keepLines/>
        <w:widowControl/>
        <w:adjustRightInd w:val="0"/>
        <w:snapToGrid w:val="0"/>
        <w:rPr>
          <w:snapToGrid w:val="0"/>
          <w:lang w:val="pt-PT"/>
        </w:rPr>
      </w:pPr>
      <w:r w:rsidRPr="002606DB">
        <w:rPr>
          <w:snapToGrid w:val="0"/>
          <w:lang w:val="pt-PT"/>
        </w:rPr>
        <w:t xml:space="preserve">Durante o ensaio, dos doentes que receberam medicação de ensaio, 32,2% (136/422) receberam 7-12 administrações de </w:t>
      </w:r>
      <w:r w:rsidRPr="007155C0">
        <w:rPr>
          <w:color w:val="000000"/>
          <w:lang w:val="fr-CA"/>
        </w:rPr>
        <w:t xml:space="preserve">bevacizumab </w:t>
      </w:r>
      <w:r w:rsidRPr="002606DB">
        <w:rPr>
          <w:snapToGrid w:val="0"/>
          <w:lang w:val="pt-PT"/>
        </w:rPr>
        <w:t xml:space="preserve">e 21,1% (89/422) receberam 13 ou mais administrações de </w:t>
      </w:r>
      <w:r w:rsidRPr="007155C0">
        <w:rPr>
          <w:color w:val="000000"/>
          <w:lang w:val="fr-CA"/>
        </w:rPr>
        <w:t>bevacizumab</w:t>
      </w:r>
      <w:r w:rsidRPr="002606DB">
        <w:rPr>
          <w:snapToGrid w:val="0"/>
          <w:lang w:val="pt-PT"/>
        </w:rPr>
        <w:t>.</w:t>
      </w:r>
    </w:p>
    <w:p w14:paraId="1CDD8ED1" w14:textId="77777777" w:rsidR="00162CE2" w:rsidRPr="002606DB" w:rsidRDefault="00162CE2" w:rsidP="00056F35">
      <w:pPr>
        <w:pStyle w:val="a3"/>
        <w:adjustRightInd w:val="0"/>
        <w:snapToGrid w:val="0"/>
        <w:rPr>
          <w:snapToGrid w:val="0"/>
          <w:lang w:val="pt-PT"/>
        </w:rPr>
      </w:pPr>
    </w:p>
    <w:p w14:paraId="7ABCA3A4" w14:textId="77777777" w:rsidR="00162CE2" w:rsidRPr="002606DB" w:rsidRDefault="00162CE2" w:rsidP="00056F35">
      <w:pPr>
        <w:pStyle w:val="a3"/>
        <w:adjustRightInd w:val="0"/>
        <w:snapToGrid w:val="0"/>
        <w:rPr>
          <w:snapToGrid w:val="0"/>
          <w:lang w:val="pt-PT"/>
        </w:rPr>
      </w:pPr>
      <w:r w:rsidRPr="002606DB">
        <w:rPr>
          <w:snapToGrid w:val="0"/>
          <w:lang w:val="pt-PT"/>
        </w:rPr>
        <w:t>O objetivo primário foi a duração da sobrevivência. Os resultados são apresentados na Tabela 12.</w:t>
      </w:r>
    </w:p>
    <w:p w14:paraId="31DEC1DD" w14:textId="77777777" w:rsidR="00162CE2" w:rsidRPr="002606DB" w:rsidRDefault="00162CE2" w:rsidP="00056F35">
      <w:pPr>
        <w:adjustRightInd w:val="0"/>
        <w:snapToGrid w:val="0"/>
        <w:rPr>
          <w:snapToGrid w:val="0"/>
          <w:lang w:val="pt-PT"/>
        </w:rPr>
      </w:pPr>
    </w:p>
    <w:p w14:paraId="49C01BB8" w14:textId="5181E3DB" w:rsidR="00162CE2" w:rsidRPr="00730741" w:rsidRDefault="00F71117"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12</w:t>
      </w:r>
      <w:r w:rsidR="00162CE2" w:rsidRPr="00730741">
        <w:rPr>
          <w:b/>
          <w:bCs/>
          <w:snapToGrid w:val="0"/>
          <w:lang w:val="pt-PT"/>
        </w:rPr>
        <w:tab/>
        <w:t>Resultados de eficácia do ensaio E4599</w:t>
      </w:r>
    </w:p>
    <w:p w14:paraId="69F432EA" w14:textId="77777777" w:rsidR="00162CE2" w:rsidRPr="002606DB" w:rsidRDefault="00162CE2" w:rsidP="00056F35">
      <w:pPr>
        <w:pStyle w:val="a3"/>
        <w:adjustRightInd w:val="0"/>
        <w:snapToGrid w:val="0"/>
        <w:rPr>
          <w:b/>
          <w:snapToGrid w:val="0"/>
          <w:lang w:val="pt-PT"/>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0"/>
        <w:gridCol w:w="2570"/>
        <w:gridCol w:w="2570"/>
      </w:tblGrid>
      <w:tr w:rsidR="00162CE2" w:rsidRPr="002606DB" w14:paraId="551FEDA7" w14:textId="77777777" w:rsidTr="009974C0">
        <w:trPr>
          <w:cantSplit/>
          <w:tblHeader/>
        </w:trPr>
        <w:tc>
          <w:tcPr>
            <w:tcW w:w="3031" w:type="dxa"/>
          </w:tcPr>
          <w:p w14:paraId="58522960" w14:textId="77777777" w:rsidR="00162CE2" w:rsidRPr="002606DB" w:rsidRDefault="00162CE2" w:rsidP="00056F35">
            <w:pPr>
              <w:pStyle w:val="TableParagraph"/>
              <w:adjustRightInd w:val="0"/>
              <w:snapToGrid w:val="0"/>
              <w:rPr>
                <w:snapToGrid w:val="0"/>
                <w:sz w:val="20"/>
                <w:lang w:val="pt-PT"/>
              </w:rPr>
            </w:pPr>
          </w:p>
        </w:tc>
        <w:tc>
          <w:tcPr>
            <w:tcW w:w="1987" w:type="dxa"/>
          </w:tcPr>
          <w:p w14:paraId="630A3711" w14:textId="0F0E3018" w:rsidR="00162CE2" w:rsidRPr="002606DB" w:rsidRDefault="00B72472" w:rsidP="00056F35">
            <w:pPr>
              <w:pStyle w:val="TableParagraph"/>
              <w:adjustRightInd w:val="0"/>
              <w:snapToGrid w:val="0"/>
              <w:jc w:val="center"/>
              <w:rPr>
                <w:b/>
                <w:bCs/>
                <w:snapToGrid w:val="0"/>
                <w:sz w:val="20"/>
                <w:lang w:val="pt-PT"/>
              </w:rPr>
            </w:pPr>
            <w:r>
              <w:rPr>
                <w:b/>
                <w:bCs/>
                <w:snapToGrid w:val="0"/>
                <w:sz w:val="20"/>
                <w:lang w:val="pt-PT"/>
              </w:rPr>
              <w:t>Grupo</w:t>
            </w:r>
            <w:r w:rsidR="00162CE2" w:rsidRPr="002606DB">
              <w:rPr>
                <w:b/>
                <w:bCs/>
                <w:snapToGrid w:val="0"/>
                <w:sz w:val="20"/>
                <w:lang w:val="pt-PT"/>
              </w:rPr>
              <w:t xml:space="preserve"> 1</w:t>
            </w:r>
          </w:p>
          <w:p w14:paraId="19EF764C" w14:textId="77777777" w:rsidR="00162CE2" w:rsidRPr="002606DB" w:rsidRDefault="00162CE2" w:rsidP="00056F35">
            <w:pPr>
              <w:pStyle w:val="TableParagraph"/>
              <w:adjustRightInd w:val="0"/>
              <w:snapToGrid w:val="0"/>
              <w:rPr>
                <w:b/>
                <w:bCs/>
                <w:snapToGrid w:val="0"/>
                <w:sz w:val="20"/>
                <w:lang w:val="pt-PT"/>
              </w:rPr>
            </w:pPr>
          </w:p>
          <w:p w14:paraId="129A0366" w14:textId="77777777" w:rsidR="00162CE2" w:rsidRPr="002606DB" w:rsidRDefault="00162CE2" w:rsidP="00056F35">
            <w:pPr>
              <w:pStyle w:val="TableParagraph"/>
              <w:adjustRightInd w:val="0"/>
              <w:snapToGrid w:val="0"/>
              <w:jc w:val="center"/>
              <w:rPr>
                <w:b/>
                <w:bCs/>
                <w:snapToGrid w:val="0"/>
                <w:sz w:val="20"/>
                <w:lang w:val="pt-PT"/>
              </w:rPr>
            </w:pPr>
            <w:r w:rsidRPr="002606DB">
              <w:rPr>
                <w:b/>
                <w:bCs/>
                <w:snapToGrid w:val="0"/>
                <w:sz w:val="20"/>
                <w:lang w:val="pt-PT"/>
              </w:rPr>
              <w:t>Carboplatina/ Paclitaxel</w:t>
            </w:r>
          </w:p>
        </w:tc>
        <w:tc>
          <w:tcPr>
            <w:tcW w:w="1987" w:type="dxa"/>
          </w:tcPr>
          <w:p w14:paraId="398125F7" w14:textId="2E57B8AD" w:rsidR="00162CE2" w:rsidRPr="002606DB" w:rsidRDefault="00B72472" w:rsidP="00056F35">
            <w:pPr>
              <w:pStyle w:val="TableParagraph"/>
              <w:adjustRightInd w:val="0"/>
              <w:snapToGrid w:val="0"/>
              <w:jc w:val="center"/>
              <w:rPr>
                <w:b/>
                <w:bCs/>
                <w:snapToGrid w:val="0"/>
                <w:sz w:val="20"/>
                <w:lang w:val="pt-PT"/>
              </w:rPr>
            </w:pPr>
            <w:r>
              <w:rPr>
                <w:b/>
                <w:bCs/>
                <w:snapToGrid w:val="0"/>
                <w:sz w:val="20"/>
                <w:lang w:val="pt-PT"/>
              </w:rPr>
              <w:t>Grupo</w:t>
            </w:r>
            <w:r w:rsidR="00162CE2" w:rsidRPr="002606DB">
              <w:rPr>
                <w:b/>
                <w:bCs/>
                <w:snapToGrid w:val="0"/>
                <w:sz w:val="20"/>
                <w:lang w:val="pt-PT"/>
              </w:rPr>
              <w:t xml:space="preserve"> 2</w:t>
            </w:r>
          </w:p>
          <w:p w14:paraId="2A9A3A44" w14:textId="77777777" w:rsidR="00162CE2" w:rsidRPr="002606DB" w:rsidRDefault="00162CE2" w:rsidP="00056F35">
            <w:pPr>
              <w:pStyle w:val="TableParagraph"/>
              <w:adjustRightInd w:val="0"/>
              <w:snapToGrid w:val="0"/>
              <w:rPr>
                <w:b/>
                <w:bCs/>
                <w:snapToGrid w:val="0"/>
                <w:sz w:val="20"/>
                <w:lang w:val="pt-PT"/>
              </w:rPr>
            </w:pPr>
          </w:p>
          <w:p w14:paraId="79BA0BC1" w14:textId="478019D9" w:rsidR="00162CE2" w:rsidRPr="002606DB" w:rsidRDefault="00162CE2" w:rsidP="00056F35">
            <w:pPr>
              <w:pStyle w:val="TableParagraph"/>
              <w:adjustRightInd w:val="0"/>
              <w:snapToGrid w:val="0"/>
              <w:jc w:val="center"/>
              <w:rPr>
                <w:b/>
                <w:bCs/>
                <w:snapToGrid w:val="0"/>
                <w:sz w:val="20"/>
                <w:lang w:val="pt-PT"/>
              </w:rPr>
            </w:pPr>
            <w:r w:rsidRPr="002606DB">
              <w:rPr>
                <w:b/>
                <w:bCs/>
                <w:snapToGrid w:val="0"/>
                <w:sz w:val="20"/>
                <w:lang w:val="pt-PT"/>
              </w:rPr>
              <w:t>Carboplatina/ Paclitaxel + Bevacizumab</w:t>
            </w:r>
          </w:p>
          <w:p w14:paraId="7161EF22" w14:textId="186C6237" w:rsidR="00162CE2" w:rsidRPr="002606DB" w:rsidRDefault="00162CE2" w:rsidP="00056F35">
            <w:pPr>
              <w:pStyle w:val="TableParagraph"/>
              <w:adjustRightInd w:val="0"/>
              <w:snapToGrid w:val="0"/>
              <w:jc w:val="center"/>
              <w:rPr>
                <w:b/>
                <w:bCs/>
                <w:snapToGrid w:val="0"/>
                <w:sz w:val="20"/>
                <w:lang w:val="pt-PT"/>
              </w:rPr>
            </w:pPr>
            <w:r w:rsidRPr="002606DB">
              <w:rPr>
                <w:b/>
                <w:bCs/>
                <w:snapToGrid w:val="0"/>
                <w:sz w:val="20"/>
                <w:lang w:val="pt-PT"/>
              </w:rPr>
              <w:t>15 mg/kg cada 3 semanas</w:t>
            </w:r>
          </w:p>
        </w:tc>
      </w:tr>
      <w:tr w:rsidR="00162CE2" w:rsidRPr="002606DB" w14:paraId="3CCD9E2A" w14:textId="77777777" w:rsidTr="009974C0">
        <w:trPr>
          <w:cantSplit/>
        </w:trPr>
        <w:tc>
          <w:tcPr>
            <w:tcW w:w="3031" w:type="dxa"/>
            <w:tcBorders>
              <w:bottom w:val="single" w:sz="4" w:space="0" w:color="000000"/>
            </w:tcBorders>
          </w:tcPr>
          <w:p w14:paraId="44ECF4B6" w14:textId="77777777" w:rsidR="00162CE2" w:rsidRPr="002606DB" w:rsidRDefault="00162CE2" w:rsidP="009974C0">
            <w:pPr>
              <w:pStyle w:val="TableParagraph"/>
              <w:adjustRightInd w:val="0"/>
              <w:snapToGrid w:val="0"/>
              <w:rPr>
                <w:snapToGrid w:val="0"/>
                <w:sz w:val="20"/>
                <w:lang w:val="pt-PT"/>
              </w:rPr>
            </w:pPr>
            <w:r w:rsidRPr="002606DB">
              <w:rPr>
                <w:snapToGrid w:val="0"/>
                <w:sz w:val="20"/>
                <w:lang w:val="pt-PT"/>
              </w:rPr>
              <w:t>Número de doentes</w:t>
            </w:r>
          </w:p>
        </w:tc>
        <w:tc>
          <w:tcPr>
            <w:tcW w:w="1987" w:type="dxa"/>
            <w:tcBorders>
              <w:bottom w:val="single" w:sz="4" w:space="0" w:color="000000"/>
            </w:tcBorders>
          </w:tcPr>
          <w:p w14:paraId="5174CA2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444</w:t>
            </w:r>
          </w:p>
        </w:tc>
        <w:tc>
          <w:tcPr>
            <w:tcW w:w="1987" w:type="dxa"/>
            <w:tcBorders>
              <w:bottom w:val="single" w:sz="4" w:space="0" w:color="000000"/>
            </w:tcBorders>
          </w:tcPr>
          <w:p w14:paraId="087CF4F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434</w:t>
            </w:r>
          </w:p>
        </w:tc>
      </w:tr>
      <w:tr w:rsidR="00162CE2" w:rsidRPr="002606DB" w14:paraId="32C5B058" w14:textId="77777777" w:rsidTr="009974C0">
        <w:trPr>
          <w:cantSplit/>
        </w:trPr>
        <w:tc>
          <w:tcPr>
            <w:tcW w:w="7005" w:type="dxa"/>
            <w:gridSpan w:val="3"/>
            <w:tcBorders>
              <w:top w:val="single" w:sz="4" w:space="0" w:color="000000"/>
              <w:bottom w:val="single" w:sz="4" w:space="0" w:color="000000"/>
            </w:tcBorders>
          </w:tcPr>
          <w:p w14:paraId="37397837"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Sobrevivência global</w:t>
            </w:r>
          </w:p>
        </w:tc>
      </w:tr>
      <w:tr w:rsidR="00162CE2" w:rsidRPr="002606DB" w14:paraId="5F1C3ACD" w14:textId="77777777" w:rsidTr="009974C0">
        <w:trPr>
          <w:cantSplit/>
        </w:trPr>
        <w:tc>
          <w:tcPr>
            <w:tcW w:w="3031" w:type="dxa"/>
            <w:tcBorders>
              <w:top w:val="single" w:sz="4" w:space="0" w:color="000000"/>
              <w:bottom w:val="single" w:sz="4" w:space="0" w:color="000000"/>
            </w:tcBorders>
          </w:tcPr>
          <w:p w14:paraId="650AFC0E"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Mediana (meses)</w:t>
            </w:r>
          </w:p>
        </w:tc>
        <w:tc>
          <w:tcPr>
            <w:tcW w:w="1987" w:type="dxa"/>
            <w:tcBorders>
              <w:top w:val="single" w:sz="4" w:space="0" w:color="000000"/>
              <w:bottom w:val="single" w:sz="4" w:space="0" w:color="000000"/>
            </w:tcBorders>
          </w:tcPr>
          <w:p w14:paraId="717487FD"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10,3</w:t>
            </w:r>
          </w:p>
        </w:tc>
        <w:tc>
          <w:tcPr>
            <w:tcW w:w="1987" w:type="dxa"/>
            <w:tcBorders>
              <w:top w:val="single" w:sz="4" w:space="0" w:color="000000"/>
              <w:bottom w:val="single" w:sz="4" w:space="0" w:color="000000"/>
            </w:tcBorders>
          </w:tcPr>
          <w:p w14:paraId="1E91EC20"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12,3</w:t>
            </w:r>
          </w:p>
        </w:tc>
      </w:tr>
      <w:tr w:rsidR="00162CE2" w:rsidRPr="002606DB" w14:paraId="67E4A772" w14:textId="77777777" w:rsidTr="009974C0">
        <w:trPr>
          <w:cantSplit/>
        </w:trPr>
        <w:tc>
          <w:tcPr>
            <w:tcW w:w="3031" w:type="dxa"/>
            <w:tcBorders>
              <w:top w:val="single" w:sz="4" w:space="0" w:color="000000"/>
              <w:bottom w:val="single" w:sz="4" w:space="0" w:color="000000"/>
            </w:tcBorders>
          </w:tcPr>
          <w:p w14:paraId="5908A6A2" w14:textId="3DEBE1BA" w:rsidR="00162CE2" w:rsidRPr="002606DB" w:rsidRDefault="00162CE2" w:rsidP="004E23F3">
            <w:pPr>
              <w:pStyle w:val="TableParagraph"/>
              <w:adjustRightInd w:val="0"/>
              <w:snapToGrid w:val="0"/>
              <w:ind w:left="270"/>
              <w:rPr>
                <w:snapToGrid w:val="0"/>
                <w:sz w:val="20"/>
                <w:lang w:val="pt-PT"/>
              </w:rPr>
            </w:pPr>
            <w:r w:rsidRPr="002606DB">
              <w:rPr>
                <w:i/>
                <w:snapToGrid w:val="0"/>
                <w:sz w:val="20"/>
                <w:lang w:val="pt-PT"/>
              </w:rPr>
              <w:t xml:space="preserve">Hazard </w:t>
            </w:r>
            <w:r w:rsidR="004C3061">
              <w:rPr>
                <w:i/>
                <w:snapToGrid w:val="0"/>
                <w:sz w:val="20"/>
                <w:lang w:val="pt-PT"/>
              </w:rPr>
              <w:t>r</w:t>
            </w:r>
            <w:r w:rsidRPr="002606DB">
              <w:rPr>
                <w:i/>
                <w:snapToGrid w:val="0"/>
                <w:sz w:val="20"/>
                <w:lang w:val="pt-PT"/>
              </w:rPr>
              <w:t xml:space="preserve">atio </w:t>
            </w:r>
            <w:r w:rsidRPr="002606DB">
              <w:rPr>
                <w:snapToGrid w:val="0"/>
                <w:sz w:val="20"/>
                <w:lang w:val="pt-PT"/>
              </w:rPr>
              <w:t>(taxa de risco)</w:t>
            </w:r>
          </w:p>
        </w:tc>
        <w:tc>
          <w:tcPr>
            <w:tcW w:w="3974" w:type="dxa"/>
            <w:gridSpan w:val="2"/>
            <w:tcBorders>
              <w:top w:val="single" w:sz="4" w:space="0" w:color="000000"/>
              <w:bottom w:val="single" w:sz="4" w:space="0" w:color="000000"/>
            </w:tcBorders>
          </w:tcPr>
          <w:p w14:paraId="3BED7EBA"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0,80 (p = 0,003)</w:t>
            </w:r>
          </w:p>
          <w:p w14:paraId="2123724D"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IC 95% (0,69; 0,93)</w:t>
            </w:r>
          </w:p>
        </w:tc>
      </w:tr>
      <w:tr w:rsidR="00162CE2" w:rsidRPr="002606DB" w14:paraId="65C8ED2A" w14:textId="77777777" w:rsidTr="009974C0">
        <w:trPr>
          <w:cantSplit/>
        </w:trPr>
        <w:tc>
          <w:tcPr>
            <w:tcW w:w="7005" w:type="dxa"/>
            <w:gridSpan w:val="3"/>
            <w:tcBorders>
              <w:top w:val="single" w:sz="4" w:space="0" w:color="000000"/>
              <w:bottom w:val="single" w:sz="4" w:space="0" w:color="000000"/>
            </w:tcBorders>
          </w:tcPr>
          <w:p w14:paraId="49F8B873"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Sobrevivência livre de progressão</w:t>
            </w:r>
          </w:p>
        </w:tc>
      </w:tr>
      <w:tr w:rsidR="00162CE2" w:rsidRPr="002606DB" w14:paraId="3BF3D27A" w14:textId="77777777" w:rsidTr="009974C0">
        <w:trPr>
          <w:cantSplit/>
        </w:trPr>
        <w:tc>
          <w:tcPr>
            <w:tcW w:w="3031" w:type="dxa"/>
            <w:tcBorders>
              <w:top w:val="single" w:sz="4" w:space="0" w:color="000000"/>
              <w:bottom w:val="single" w:sz="4" w:space="0" w:color="000000"/>
            </w:tcBorders>
          </w:tcPr>
          <w:p w14:paraId="683F58D8"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Mediana (meses)</w:t>
            </w:r>
          </w:p>
        </w:tc>
        <w:tc>
          <w:tcPr>
            <w:tcW w:w="1987" w:type="dxa"/>
            <w:tcBorders>
              <w:top w:val="single" w:sz="4" w:space="0" w:color="000000"/>
              <w:bottom w:val="single" w:sz="4" w:space="0" w:color="000000"/>
            </w:tcBorders>
          </w:tcPr>
          <w:p w14:paraId="61404895"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4,8</w:t>
            </w:r>
          </w:p>
        </w:tc>
        <w:tc>
          <w:tcPr>
            <w:tcW w:w="1987" w:type="dxa"/>
            <w:tcBorders>
              <w:top w:val="single" w:sz="4" w:space="0" w:color="000000"/>
              <w:bottom w:val="single" w:sz="4" w:space="0" w:color="000000"/>
            </w:tcBorders>
          </w:tcPr>
          <w:p w14:paraId="7A2D6E77"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6,4</w:t>
            </w:r>
          </w:p>
        </w:tc>
      </w:tr>
      <w:tr w:rsidR="00162CE2" w:rsidRPr="002606DB" w14:paraId="28F27236" w14:textId="77777777" w:rsidTr="009974C0">
        <w:trPr>
          <w:cantSplit/>
        </w:trPr>
        <w:tc>
          <w:tcPr>
            <w:tcW w:w="3031" w:type="dxa"/>
            <w:tcBorders>
              <w:top w:val="single" w:sz="4" w:space="0" w:color="000000"/>
              <w:bottom w:val="single" w:sz="4" w:space="0" w:color="000000"/>
            </w:tcBorders>
          </w:tcPr>
          <w:p w14:paraId="13DE66EB" w14:textId="1D3F5F7C" w:rsidR="00162CE2" w:rsidRPr="002606DB" w:rsidRDefault="00162CE2" w:rsidP="004E23F3">
            <w:pPr>
              <w:pStyle w:val="TableParagraph"/>
              <w:adjustRightInd w:val="0"/>
              <w:snapToGrid w:val="0"/>
              <w:ind w:left="270"/>
              <w:rPr>
                <w:snapToGrid w:val="0"/>
                <w:sz w:val="20"/>
                <w:lang w:val="pt-PT"/>
              </w:rPr>
            </w:pPr>
            <w:r w:rsidRPr="002606DB">
              <w:rPr>
                <w:i/>
                <w:snapToGrid w:val="0"/>
                <w:sz w:val="20"/>
                <w:lang w:val="pt-PT"/>
              </w:rPr>
              <w:t xml:space="preserve">Hazard </w:t>
            </w:r>
            <w:r w:rsidR="004C3061">
              <w:rPr>
                <w:i/>
                <w:snapToGrid w:val="0"/>
                <w:sz w:val="20"/>
                <w:lang w:val="pt-PT"/>
              </w:rPr>
              <w:t>r</w:t>
            </w:r>
            <w:r w:rsidRPr="002606DB">
              <w:rPr>
                <w:i/>
                <w:snapToGrid w:val="0"/>
                <w:sz w:val="20"/>
                <w:lang w:val="pt-PT"/>
              </w:rPr>
              <w:t xml:space="preserve">atio </w:t>
            </w:r>
            <w:r w:rsidRPr="002606DB">
              <w:rPr>
                <w:snapToGrid w:val="0"/>
                <w:sz w:val="20"/>
                <w:lang w:val="pt-PT"/>
              </w:rPr>
              <w:t>(taxa de risco)</w:t>
            </w:r>
          </w:p>
        </w:tc>
        <w:tc>
          <w:tcPr>
            <w:tcW w:w="3974" w:type="dxa"/>
            <w:gridSpan w:val="2"/>
            <w:tcBorders>
              <w:top w:val="single" w:sz="4" w:space="0" w:color="000000"/>
              <w:bottom w:val="single" w:sz="4" w:space="0" w:color="000000"/>
            </w:tcBorders>
          </w:tcPr>
          <w:p w14:paraId="561EFB9E"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0,65 (p &lt; 0,0001)</w:t>
            </w:r>
          </w:p>
          <w:p w14:paraId="7DA7C9B7"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IC 95% (0,56; 0,76)</w:t>
            </w:r>
          </w:p>
        </w:tc>
      </w:tr>
      <w:tr w:rsidR="00162CE2" w:rsidRPr="002606DB" w14:paraId="3AA1A741" w14:textId="77777777" w:rsidTr="009974C0">
        <w:trPr>
          <w:cantSplit/>
        </w:trPr>
        <w:tc>
          <w:tcPr>
            <w:tcW w:w="7005" w:type="dxa"/>
            <w:gridSpan w:val="3"/>
            <w:tcBorders>
              <w:top w:val="single" w:sz="4" w:space="0" w:color="000000"/>
              <w:bottom w:val="single" w:sz="4" w:space="0" w:color="000000"/>
            </w:tcBorders>
          </w:tcPr>
          <w:p w14:paraId="7814377D"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Taxa de resposta global</w:t>
            </w:r>
          </w:p>
        </w:tc>
      </w:tr>
      <w:tr w:rsidR="00162CE2" w:rsidRPr="002606DB" w14:paraId="20BFB9A3" w14:textId="77777777" w:rsidTr="009974C0">
        <w:trPr>
          <w:cantSplit/>
        </w:trPr>
        <w:tc>
          <w:tcPr>
            <w:tcW w:w="3031" w:type="dxa"/>
            <w:tcBorders>
              <w:top w:val="single" w:sz="4" w:space="0" w:color="000000"/>
            </w:tcBorders>
          </w:tcPr>
          <w:p w14:paraId="669A315E"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Taxa (percentagem)</w:t>
            </w:r>
          </w:p>
        </w:tc>
        <w:tc>
          <w:tcPr>
            <w:tcW w:w="1987" w:type="dxa"/>
            <w:tcBorders>
              <w:top w:val="single" w:sz="4" w:space="0" w:color="000000"/>
            </w:tcBorders>
          </w:tcPr>
          <w:p w14:paraId="4464CB4C"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12,9</w:t>
            </w:r>
          </w:p>
        </w:tc>
        <w:tc>
          <w:tcPr>
            <w:tcW w:w="1987" w:type="dxa"/>
            <w:tcBorders>
              <w:top w:val="single" w:sz="4" w:space="0" w:color="000000"/>
            </w:tcBorders>
          </w:tcPr>
          <w:p w14:paraId="69D80EE1" w14:textId="77777777" w:rsidR="00162CE2" w:rsidRPr="002606DB" w:rsidRDefault="00162CE2" w:rsidP="004E23F3">
            <w:pPr>
              <w:pStyle w:val="TableParagraph"/>
              <w:adjustRightInd w:val="0"/>
              <w:snapToGrid w:val="0"/>
              <w:ind w:left="270"/>
              <w:jc w:val="center"/>
              <w:rPr>
                <w:snapToGrid w:val="0"/>
                <w:sz w:val="20"/>
                <w:lang w:val="pt-PT"/>
              </w:rPr>
            </w:pPr>
            <w:r w:rsidRPr="002606DB">
              <w:rPr>
                <w:snapToGrid w:val="0"/>
                <w:sz w:val="20"/>
                <w:lang w:val="pt-PT"/>
              </w:rPr>
              <w:t>29,0 (p &lt; 0,0001)</w:t>
            </w:r>
          </w:p>
        </w:tc>
      </w:tr>
    </w:tbl>
    <w:p w14:paraId="76416B44" w14:textId="77777777" w:rsidR="00162CE2" w:rsidRPr="002606DB" w:rsidRDefault="00162CE2" w:rsidP="00056F35">
      <w:pPr>
        <w:pStyle w:val="a3"/>
        <w:adjustRightInd w:val="0"/>
        <w:snapToGrid w:val="0"/>
        <w:rPr>
          <w:b/>
          <w:snapToGrid w:val="0"/>
          <w:lang w:val="pt-PT"/>
        </w:rPr>
      </w:pPr>
    </w:p>
    <w:p w14:paraId="46BD13BA" w14:textId="233ED364" w:rsidR="00162CE2" w:rsidRPr="002606DB" w:rsidRDefault="00162CE2" w:rsidP="00056F35">
      <w:pPr>
        <w:pStyle w:val="a3"/>
        <w:adjustRightInd w:val="0"/>
        <w:snapToGrid w:val="0"/>
        <w:rPr>
          <w:snapToGrid w:val="0"/>
          <w:lang w:val="pt-PT"/>
        </w:rPr>
      </w:pPr>
      <w:r w:rsidRPr="002606DB">
        <w:rPr>
          <w:snapToGrid w:val="0"/>
          <w:lang w:val="pt-PT"/>
        </w:rPr>
        <w:t xml:space="preserve">Numa análise exploratória, a magnitude do benefício de </w:t>
      </w:r>
      <w:r w:rsidRPr="007155C0">
        <w:rPr>
          <w:color w:val="000000"/>
          <w:lang w:val="pt-PT"/>
        </w:rPr>
        <w:t xml:space="preserve">bevacizumab </w:t>
      </w:r>
      <w:r w:rsidRPr="002606DB">
        <w:rPr>
          <w:snapToGrid w:val="0"/>
          <w:lang w:val="pt-PT"/>
        </w:rPr>
        <w:t xml:space="preserve">na </w:t>
      </w:r>
      <w:r w:rsidR="004C3061">
        <w:rPr>
          <w:snapToGrid w:val="0"/>
          <w:lang w:val="pt-PT"/>
        </w:rPr>
        <w:t>OS</w:t>
      </w:r>
      <w:r w:rsidRPr="002606DB">
        <w:rPr>
          <w:snapToGrid w:val="0"/>
          <w:lang w:val="pt-PT"/>
        </w:rPr>
        <w:t xml:space="preserve"> foi menos pronunciada no subgrupo de doentes que não apresentava histologia de adenocarcinoma.</w:t>
      </w:r>
    </w:p>
    <w:p w14:paraId="5EAAA281" w14:textId="77777777" w:rsidR="00162CE2" w:rsidRPr="002606DB" w:rsidRDefault="00162CE2" w:rsidP="00056F35">
      <w:pPr>
        <w:pStyle w:val="a3"/>
        <w:adjustRightInd w:val="0"/>
        <w:snapToGrid w:val="0"/>
        <w:rPr>
          <w:snapToGrid w:val="0"/>
          <w:lang w:val="pt-PT"/>
        </w:rPr>
      </w:pPr>
    </w:p>
    <w:p w14:paraId="53292A32" w14:textId="77777777" w:rsidR="00162CE2" w:rsidRPr="002606DB" w:rsidRDefault="00162CE2" w:rsidP="00914003">
      <w:pPr>
        <w:keepNext/>
        <w:keepLines/>
        <w:adjustRightInd w:val="0"/>
        <w:snapToGrid w:val="0"/>
        <w:rPr>
          <w:i/>
          <w:snapToGrid w:val="0"/>
          <w:lang w:val="pt-PT"/>
        </w:rPr>
      </w:pPr>
      <w:r w:rsidRPr="002606DB">
        <w:rPr>
          <w:i/>
          <w:snapToGrid w:val="0"/>
          <w:lang w:val="pt-PT"/>
        </w:rPr>
        <w:t>BO17704</w:t>
      </w:r>
    </w:p>
    <w:p w14:paraId="6D449940" w14:textId="231E3F33" w:rsidR="00162CE2" w:rsidRPr="002606DB" w:rsidRDefault="00162CE2" w:rsidP="00914003">
      <w:pPr>
        <w:pStyle w:val="a3"/>
        <w:keepNext/>
        <w:keepLines/>
        <w:adjustRightInd w:val="0"/>
        <w:snapToGrid w:val="0"/>
        <w:rPr>
          <w:snapToGrid w:val="0"/>
          <w:lang w:val="pt-PT"/>
        </w:rPr>
      </w:pPr>
      <w:r w:rsidRPr="002606DB">
        <w:rPr>
          <w:snapToGrid w:val="0"/>
          <w:lang w:val="pt-PT"/>
        </w:rPr>
        <w:t xml:space="preserve">O ensaio BO17704 foi um ensaio de fase III, aleatorizado, duplamente cego, com </w:t>
      </w:r>
      <w:r w:rsidRPr="007155C0">
        <w:rPr>
          <w:color w:val="000000"/>
          <w:lang w:val="pt-PT"/>
        </w:rPr>
        <w:t xml:space="preserve">bevacizumab </w:t>
      </w:r>
      <w:r w:rsidRPr="002606DB">
        <w:rPr>
          <w:snapToGrid w:val="0"/>
          <w:lang w:val="pt-PT"/>
        </w:rPr>
        <w:t xml:space="preserve">em associação a cisplatina e gemcitabina </w:t>
      </w:r>
      <w:r w:rsidRPr="002606DB">
        <w:rPr>
          <w:i/>
          <w:snapToGrid w:val="0"/>
          <w:lang w:val="pt-PT"/>
        </w:rPr>
        <w:t xml:space="preserve">versus </w:t>
      </w:r>
      <w:r w:rsidRPr="002606DB">
        <w:rPr>
          <w:snapToGrid w:val="0"/>
          <w:lang w:val="pt-PT"/>
        </w:rPr>
        <w:t xml:space="preserve">placebo, cisplatina e gemcitabina, em doentes com </w:t>
      </w:r>
      <w:r w:rsidR="00013970">
        <w:rPr>
          <w:snapToGrid w:val="0"/>
          <w:lang w:val="pt-PT"/>
        </w:rPr>
        <w:t>NSCLC</w:t>
      </w:r>
      <w:r w:rsidRPr="002606DB">
        <w:rPr>
          <w:snapToGrid w:val="0"/>
          <w:lang w:val="pt-PT"/>
        </w:rPr>
        <w:t xml:space="preserve"> não </w:t>
      </w:r>
      <w:r w:rsidR="00CB410D" w:rsidRPr="00CB410D">
        <w:rPr>
          <w:snapToGrid w:val="0"/>
          <w:lang w:val="pt-PT"/>
        </w:rPr>
        <w:t>pavimentocelular</w:t>
      </w:r>
      <w:r w:rsidR="00CB410D">
        <w:rPr>
          <w:snapToGrid w:val="0"/>
          <w:lang w:val="pt-PT"/>
        </w:rPr>
        <w:t>es</w:t>
      </w:r>
      <w:r w:rsidRPr="002606DB">
        <w:rPr>
          <w:snapToGrid w:val="0"/>
          <w:lang w:val="pt-PT"/>
        </w:rPr>
        <w:t xml:space="preserve">, localmente avançado (estádio IIIb com metástases no gânglio linfático supraclavicular ou com derrame pleural ou pericárdico maligno), metastizado ou recidivante, que não foram previamente tratados com quimioterapia. O objetivo primário foi a </w:t>
      </w:r>
      <w:r w:rsidR="004C3061">
        <w:rPr>
          <w:snapToGrid w:val="0"/>
          <w:lang w:val="pt-PT"/>
        </w:rPr>
        <w:t>PFS</w:t>
      </w:r>
      <w:r w:rsidRPr="002606DB">
        <w:rPr>
          <w:snapToGrid w:val="0"/>
          <w:lang w:val="pt-PT"/>
        </w:rPr>
        <w:t xml:space="preserve">; os objetivos secundários do ensaio incluíram a duração da </w:t>
      </w:r>
      <w:r w:rsidR="004C3061">
        <w:rPr>
          <w:snapToGrid w:val="0"/>
          <w:lang w:val="pt-PT"/>
        </w:rPr>
        <w:t>OS</w:t>
      </w:r>
      <w:r w:rsidRPr="002606DB">
        <w:rPr>
          <w:snapToGrid w:val="0"/>
          <w:lang w:val="pt-PT"/>
        </w:rPr>
        <w:t>.</w:t>
      </w:r>
    </w:p>
    <w:p w14:paraId="7BB82B53" w14:textId="77777777" w:rsidR="00162CE2" w:rsidRPr="002606DB" w:rsidRDefault="00162CE2" w:rsidP="00056F35">
      <w:pPr>
        <w:pStyle w:val="a3"/>
        <w:adjustRightInd w:val="0"/>
        <w:snapToGrid w:val="0"/>
        <w:rPr>
          <w:snapToGrid w:val="0"/>
          <w:lang w:val="pt-PT"/>
        </w:rPr>
      </w:pPr>
    </w:p>
    <w:p w14:paraId="636311C0" w14:textId="07106247" w:rsidR="00162CE2" w:rsidRPr="002606DB" w:rsidRDefault="00162CE2" w:rsidP="00056F35">
      <w:pPr>
        <w:pStyle w:val="a3"/>
        <w:adjustRightInd w:val="0"/>
        <w:snapToGrid w:val="0"/>
        <w:rPr>
          <w:snapToGrid w:val="0"/>
          <w:lang w:val="pt-PT"/>
        </w:rPr>
      </w:pPr>
      <w:r w:rsidRPr="002606DB">
        <w:rPr>
          <w:snapToGrid w:val="0"/>
          <w:lang w:val="pt-PT"/>
        </w:rPr>
        <w:t xml:space="preserve">Os doentes foram aleatoriamente distribuídos para o </w:t>
      </w:r>
      <w:r w:rsidR="00B72472">
        <w:rPr>
          <w:snapToGrid w:val="0"/>
          <w:lang w:val="pt-PT"/>
        </w:rPr>
        <w:t>grupo</w:t>
      </w:r>
      <w:r w:rsidRPr="002606DB">
        <w:rPr>
          <w:snapToGrid w:val="0"/>
          <w:lang w:val="pt-PT"/>
        </w:rPr>
        <w:t xml:space="preserve"> de quimioterapia à base de platina, cisplatina 80 mg/m</w:t>
      </w:r>
      <w:r w:rsidRPr="002606DB">
        <w:rPr>
          <w:snapToGrid w:val="0"/>
          <w:vertAlign w:val="superscript"/>
          <w:lang w:val="pt-PT"/>
        </w:rPr>
        <w:t>2</w:t>
      </w:r>
      <w:r w:rsidRPr="002606DB">
        <w:rPr>
          <w:snapToGrid w:val="0"/>
          <w:lang w:val="pt-PT"/>
        </w:rPr>
        <w:t>, administrada por perfusão intravenosa no dia 1 e 1250 mg/m</w:t>
      </w:r>
      <w:r w:rsidRPr="002606DB">
        <w:rPr>
          <w:snapToGrid w:val="0"/>
          <w:vertAlign w:val="superscript"/>
          <w:lang w:val="pt-PT"/>
        </w:rPr>
        <w:t>2</w:t>
      </w:r>
      <w:r w:rsidRPr="002606DB">
        <w:rPr>
          <w:snapToGrid w:val="0"/>
          <w:lang w:val="pt-PT"/>
        </w:rPr>
        <w:t xml:space="preserve"> de gemcitabina, administrada por perfusão intravenosa, nos dias 1 e 8 de cada ciclo de 3 semanas até um total de 6 ciclos (CG) com placebo ou para o </w:t>
      </w:r>
      <w:r w:rsidR="00B72472">
        <w:rPr>
          <w:snapToGrid w:val="0"/>
          <w:lang w:val="pt-PT"/>
        </w:rPr>
        <w:t>grupo</w:t>
      </w:r>
      <w:r w:rsidRPr="002606DB">
        <w:rPr>
          <w:snapToGrid w:val="0"/>
          <w:lang w:val="pt-PT"/>
        </w:rPr>
        <w:t xml:space="preserve"> de CG com </w:t>
      </w:r>
      <w:r w:rsidRPr="007155C0">
        <w:rPr>
          <w:color w:val="000000"/>
          <w:lang w:val="fr-CA"/>
        </w:rPr>
        <w:t xml:space="preserve">bevacizumab </w:t>
      </w:r>
      <w:r w:rsidRPr="002606DB">
        <w:rPr>
          <w:snapToGrid w:val="0"/>
          <w:lang w:val="pt-PT"/>
        </w:rPr>
        <w:t xml:space="preserve">na dose de 7,5 mg/kg ou 15 mg/kg, administrado por perfusão intravenosa, no dia 1 de cada ciclo de 3 semanas. Nos </w:t>
      </w:r>
      <w:r w:rsidR="00B72472">
        <w:rPr>
          <w:snapToGrid w:val="0"/>
          <w:lang w:val="pt-PT"/>
        </w:rPr>
        <w:t>grupo</w:t>
      </w:r>
      <w:r w:rsidRPr="002606DB">
        <w:rPr>
          <w:snapToGrid w:val="0"/>
          <w:lang w:val="pt-PT"/>
        </w:rPr>
        <w:t xml:space="preserve">s contendo </w:t>
      </w:r>
      <w:r w:rsidRPr="007155C0">
        <w:rPr>
          <w:color w:val="000000"/>
          <w:lang w:val="pt-PT"/>
        </w:rPr>
        <w:t>bevacizumab</w:t>
      </w:r>
      <w:r w:rsidRPr="002606DB">
        <w:rPr>
          <w:snapToGrid w:val="0"/>
          <w:lang w:val="pt-PT"/>
        </w:rPr>
        <w:t xml:space="preserve">, os doentes podiam receber </w:t>
      </w:r>
      <w:r w:rsidRPr="007155C0">
        <w:rPr>
          <w:color w:val="000000"/>
          <w:lang w:val="pt-PT"/>
        </w:rPr>
        <w:t xml:space="preserve">bevacizumab </w:t>
      </w:r>
      <w:r w:rsidRPr="002606DB">
        <w:rPr>
          <w:snapToGrid w:val="0"/>
          <w:lang w:val="pt-PT"/>
        </w:rPr>
        <w:t xml:space="preserve">em monoterapia cada 3 semanas até progressão de doença ou toxicidade inaceitável. Os resultados do ensaio mostram que 94% (277/296) dos doentes elegíveis continuaram a receber bevacizumab em monoterapia no ciclo 7. Uma maior proporção de doentes (aproximadamente 62%) continuou a receber uma variedade de terapêuticas anti-neoplásicas específicas fora do protocolo do ensaio, o que poderá ter afetado a análise da </w:t>
      </w:r>
      <w:r w:rsidR="004C3061">
        <w:rPr>
          <w:snapToGrid w:val="0"/>
          <w:lang w:val="pt-PT"/>
        </w:rPr>
        <w:t>OS</w:t>
      </w:r>
      <w:r w:rsidRPr="002606DB">
        <w:rPr>
          <w:snapToGrid w:val="0"/>
          <w:lang w:val="pt-PT"/>
        </w:rPr>
        <w:t>.</w:t>
      </w:r>
    </w:p>
    <w:p w14:paraId="6AACE3AA" w14:textId="77777777" w:rsidR="00162CE2" w:rsidRPr="002606DB" w:rsidRDefault="00162CE2" w:rsidP="00056F35">
      <w:pPr>
        <w:pStyle w:val="a3"/>
        <w:adjustRightInd w:val="0"/>
        <w:snapToGrid w:val="0"/>
        <w:rPr>
          <w:snapToGrid w:val="0"/>
          <w:lang w:val="pt-PT"/>
        </w:rPr>
      </w:pPr>
    </w:p>
    <w:p w14:paraId="05A6E6B3" w14:textId="77777777" w:rsidR="00162CE2" w:rsidRPr="002606DB" w:rsidRDefault="00162CE2" w:rsidP="00056F35">
      <w:pPr>
        <w:pStyle w:val="a3"/>
        <w:adjustRightInd w:val="0"/>
        <w:snapToGrid w:val="0"/>
        <w:rPr>
          <w:snapToGrid w:val="0"/>
          <w:lang w:val="pt-PT"/>
        </w:rPr>
      </w:pPr>
      <w:r w:rsidRPr="002606DB">
        <w:rPr>
          <w:snapToGrid w:val="0"/>
          <w:lang w:val="pt-PT"/>
        </w:rPr>
        <w:t>Os resultados de eficácia são apresentados na Tabela 13.</w:t>
      </w:r>
    </w:p>
    <w:p w14:paraId="6EED10C1" w14:textId="77777777" w:rsidR="00162CE2" w:rsidRPr="002606DB" w:rsidRDefault="00162CE2" w:rsidP="00056F35">
      <w:pPr>
        <w:adjustRightInd w:val="0"/>
        <w:snapToGrid w:val="0"/>
        <w:rPr>
          <w:snapToGrid w:val="0"/>
          <w:lang w:val="pt-PT"/>
        </w:rPr>
      </w:pPr>
    </w:p>
    <w:p w14:paraId="17A8B101" w14:textId="36D38824" w:rsidR="00162CE2" w:rsidRPr="00730741" w:rsidRDefault="003A27CE"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13</w:t>
      </w:r>
      <w:r w:rsidR="00162CE2" w:rsidRPr="00730741">
        <w:rPr>
          <w:b/>
          <w:bCs/>
          <w:snapToGrid w:val="0"/>
          <w:lang w:val="pt-PT"/>
        </w:rPr>
        <w:tab/>
        <w:t>Resultados de eficácia do ensaio BO17704</w:t>
      </w:r>
    </w:p>
    <w:p w14:paraId="3D9B34A0" w14:textId="77777777" w:rsidR="00162CE2" w:rsidRPr="002606DB" w:rsidRDefault="00162CE2" w:rsidP="009228C4">
      <w:pPr>
        <w:pStyle w:val="a3"/>
        <w:keepNext/>
        <w:keepLines/>
        <w:widowControl/>
        <w:adjustRightInd w:val="0"/>
        <w:snapToGrid w:val="0"/>
        <w:rPr>
          <w:b/>
          <w:snapToGrid w:val="0"/>
          <w:lang w:val="pt-PT"/>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2"/>
        <w:gridCol w:w="2332"/>
        <w:gridCol w:w="2377"/>
        <w:gridCol w:w="2339"/>
      </w:tblGrid>
      <w:tr w:rsidR="00162CE2" w:rsidRPr="002606DB" w14:paraId="54B44726" w14:textId="77777777" w:rsidTr="009974C0">
        <w:trPr>
          <w:cantSplit/>
          <w:tblHeader/>
        </w:trPr>
        <w:tc>
          <w:tcPr>
            <w:tcW w:w="2026" w:type="dxa"/>
          </w:tcPr>
          <w:p w14:paraId="063EBFFC" w14:textId="77777777" w:rsidR="00162CE2" w:rsidRPr="002606DB" w:rsidRDefault="00162CE2" w:rsidP="009228C4">
            <w:pPr>
              <w:pStyle w:val="TableParagraph"/>
              <w:keepNext/>
              <w:keepLines/>
              <w:widowControl/>
              <w:adjustRightInd w:val="0"/>
              <w:snapToGrid w:val="0"/>
              <w:jc w:val="center"/>
              <w:rPr>
                <w:b/>
                <w:bCs/>
                <w:snapToGrid w:val="0"/>
                <w:sz w:val="20"/>
                <w:lang w:val="pt-PT"/>
              </w:rPr>
            </w:pPr>
          </w:p>
        </w:tc>
        <w:tc>
          <w:tcPr>
            <w:tcW w:w="2406" w:type="dxa"/>
          </w:tcPr>
          <w:p w14:paraId="3057E291" w14:textId="77777777"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Cisplatina/Gemcitabina</w:t>
            </w:r>
          </w:p>
          <w:p w14:paraId="369B9B1C" w14:textId="77777777"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 placebo</w:t>
            </w:r>
          </w:p>
        </w:tc>
        <w:tc>
          <w:tcPr>
            <w:tcW w:w="2446" w:type="dxa"/>
          </w:tcPr>
          <w:p w14:paraId="0A9A5120" w14:textId="77777777"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Cisplatina/Gemcitabina</w:t>
            </w:r>
          </w:p>
          <w:p w14:paraId="5D26E4D5" w14:textId="329ACCBF"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 Bevacizumab</w:t>
            </w:r>
          </w:p>
          <w:p w14:paraId="38259FAA" w14:textId="77777777"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7,5 mg/kg cada 3 semanas</w:t>
            </w:r>
          </w:p>
        </w:tc>
        <w:tc>
          <w:tcPr>
            <w:tcW w:w="2414" w:type="dxa"/>
          </w:tcPr>
          <w:p w14:paraId="166AFFE5" w14:textId="77777777"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Cisplatina/Gemcitabina</w:t>
            </w:r>
          </w:p>
          <w:p w14:paraId="21E7C471" w14:textId="77AD8D5B"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 Bevacizumab</w:t>
            </w:r>
          </w:p>
          <w:p w14:paraId="5367EB22" w14:textId="77777777" w:rsidR="00162CE2" w:rsidRPr="002606DB" w:rsidRDefault="00162CE2" w:rsidP="00126C22">
            <w:pPr>
              <w:pStyle w:val="TableParagraph"/>
              <w:adjustRightInd w:val="0"/>
              <w:snapToGrid w:val="0"/>
              <w:jc w:val="center"/>
              <w:rPr>
                <w:b/>
                <w:bCs/>
                <w:snapToGrid w:val="0"/>
                <w:sz w:val="20"/>
                <w:lang w:val="pt-PT"/>
              </w:rPr>
            </w:pPr>
            <w:r w:rsidRPr="002606DB">
              <w:rPr>
                <w:b/>
                <w:bCs/>
                <w:snapToGrid w:val="0"/>
                <w:sz w:val="20"/>
                <w:lang w:val="pt-PT"/>
              </w:rPr>
              <w:t>15 mg/kg cada 3 semanas</w:t>
            </w:r>
          </w:p>
        </w:tc>
      </w:tr>
      <w:tr w:rsidR="00162CE2" w:rsidRPr="002606DB" w14:paraId="6EB215E7" w14:textId="77777777" w:rsidTr="009974C0">
        <w:trPr>
          <w:cantSplit/>
        </w:trPr>
        <w:tc>
          <w:tcPr>
            <w:tcW w:w="2026" w:type="dxa"/>
            <w:tcBorders>
              <w:bottom w:val="single" w:sz="4" w:space="0" w:color="000000"/>
            </w:tcBorders>
          </w:tcPr>
          <w:p w14:paraId="231A67CE" w14:textId="77777777" w:rsidR="00162CE2" w:rsidRPr="002606DB" w:rsidRDefault="00162CE2" w:rsidP="00126C22">
            <w:pPr>
              <w:pStyle w:val="TableParagraph"/>
              <w:keepNext/>
              <w:keepLines/>
              <w:widowControl/>
              <w:adjustRightInd w:val="0"/>
              <w:snapToGrid w:val="0"/>
              <w:rPr>
                <w:snapToGrid w:val="0"/>
                <w:sz w:val="20"/>
                <w:lang w:val="pt-PT"/>
              </w:rPr>
            </w:pPr>
            <w:r w:rsidRPr="002606DB">
              <w:rPr>
                <w:snapToGrid w:val="0"/>
                <w:sz w:val="20"/>
                <w:lang w:val="pt-PT"/>
              </w:rPr>
              <w:t>Número de doentes</w:t>
            </w:r>
          </w:p>
        </w:tc>
        <w:tc>
          <w:tcPr>
            <w:tcW w:w="2406" w:type="dxa"/>
            <w:tcBorders>
              <w:bottom w:val="single" w:sz="4" w:space="0" w:color="000000"/>
            </w:tcBorders>
          </w:tcPr>
          <w:p w14:paraId="470D0BF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347</w:t>
            </w:r>
          </w:p>
        </w:tc>
        <w:tc>
          <w:tcPr>
            <w:tcW w:w="2446" w:type="dxa"/>
            <w:tcBorders>
              <w:bottom w:val="single" w:sz="4" w:space="0" w:color="000000"/>
            </w:tcBorders>
          </w:tcPr>
          <w:p w14:paraId="5A921E6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345</w:t>
            </w:r>
          </w:p>
        </w:tc>
        <w:tc>
          <w:tcPr>
            <w:tcW w:w="2414" w:type="dxa"/>
            <w:tcBorders>
              <w:bottom w:val="single" w:sz="4" w:space="0" w:color="000000"/>
            </w:tcBorders>
          </w:tcPr>
          <w:p w14:paraId="32A4934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351</w:t>
            </w:r>
          </w:p>
        </w:tc>
      </w:tr>
      <w:tr w:rsidR="00F71117" w:rsidRPr="002606DB" w14:paraId="2D600AC2" w14:textId="77777777" w:rsidTr="00333AAA">
        <w:trPr>
          <w:cantSplit/>
        </w:trPr>
        <w:tc>
          <w:tcPr>
            <w:tcW w:w="9292" w:type="dxa"/>
            <w:gridSpan w:val="4"/>
            <w:tcBorders>
              <w:bottom w:val="single" w:sz="4" w:space="0" w:color="000000"/>
            </w:tcBorders>
          </w:tcPr>
          <w:p w14:paraId="38F1C003" w14:textId="436E58F0" w:rsidR="00F71117" w:rsidRPr="00A03389" w:rsidRDefault="00F71117" w:rsidP="00A03389">
            <w:pPr>
              <w:pStyle w:val="TableParagraph"/>
              <w:adjustRightInd w:val="0"/>
              <w:snapToGrid w:val="0"/>
              <w:rPr>
                <w:b/>
                <w:bCs/>
                <w:snapToGrid w:val="0"/>
                <w:sz w:val="20"/>
                <w:lang w:val="pt-PT"/>
              </w:rPr>
            </w:pPr>
            <w:r w:rsidRPr="00A03389">
              <w:rPr>
                <w:b/>
                <w:bCs/>
                <w:snapToGrid w:val="0"/>
                <w:sz w:val="20"/>
                <w:lang w:val="pt-PT"/>
              </w:rPr>
              <w:t>Sobrevivência livre de progressão</w:t>
            </w:r>
          </w:p>
        </w:tc>
      </w:tr>
      <w:tr w:rsidR="00126C22" w:rsidRPr="002606DB" w14:paraId="19BCA366" w14:textId="77777777" w:rsidTr="00126C22">
        <w:trPr>
          <w:cantSplit/>
        </w:trPr>
        <w:tc>
          <w:tcPr>
            <w:tcW w:w="2026" w:type="dxa"/>
            <w:tcBorders>
              <w:bottom w:val="single" w:sz="4" w:space="0" w:color="000000"/>
            </w:tcBorders>
          </w:tcPr>
          <w:p w14:paraId="1B4C1F37" w14:textId="4AC2B835" w:rsidR="00126C22" w:rsidRPr="002606DB" w:rsidRDefault="00126C22" w:rsidP="00126C22">
            <w:pPr>
              <w:pStyle w:val="TableParagraph"/>
              <w:adjustRightInd w:val="0"/>
              <w:snapToGrid w:val="0"/>
              <w:ind w:left="270"/>
              <w:rPr>
                <w:snapToGrid w:val="0"/>
                <w:sz w:val="20"/>
                <w:lang w:val="pt-PT"/>
              </w:rPr>
            </w:pPr>
            <w:r w:rsidRPr="002606DB">
              <w:rPr>
                <w:snapToGrid w:val="0"/>
                <w:sz w:val="20"/>
                <w:lang w:val="pt-PT"/>
              </w:rPr>
              <w:t>Mediana (meses)</w:t>
            </w:r>
          </w:p>
        </w:tc>
        <w:tc>
          <w:tcPr>
            <w:tcW w:w="2406" w:type="dxa"/>
            <w:tcBorders>
              <w:bottom w:val="single" w:sz="4" w:space="0" w:color="000000"/>
            </w:tcBorders>
          </w:tcPr>
          <w:p w14:paraId="5256320F" w14:textId="11384C1F" w:rsidR="00126C22" w:rsidRPr="002606DB" w:rsidRDefault="00126C22" w:rsidP="00056F35">
            <w:pPr>
              <w:pStyle w:val="TableParagraph"/>
              <w:adjustRightInd w:val="0"/>
              <w:snapToGrid w:val="0"/>
              <w:jc w:val="center"/>
              <w:rPr>
                <w:snapToGrid w:val="0"/>
                <w:sz w:val="20"/>
                <w:lang w:val="pt-PT"/>
              </w:rPr>
            </w:pPr>
            <w:r w:rsidRPr="002606DB">
              <w:rPr>
                <w:snapToGrid w:val="0"/>
                <w:sz w:val="20"/>
                <w:lang w:val="pt-PT"/>
              </w:rPr>
              <w:t>6,1</w:t>
            </w:r>
          </w:p>
        </w:tc>
        <w:tc>
          <w:tcPr>
            <w:tcW w:w="2446" w:type="dxa"/>
            <w:tcBorders>
              <w:bottom w:val="single" w:sz="4" w:space="0" w:color="000000"/>
            </w:tcBorders>
          </w:tcPr>
          <w:p w14:paraId="758A4856" w14:textId="77777777" w:rsidR="00126C22" w:rsidRPr="002606DB" w:rsidRDefault="00126C22" w:rsidP="00126C22">
            <w:pPr>
              <w:pStyle w:val="TableParagraph"/>
              <w:adjustRightInd w:val="0"/>
              <w:snapToGrid w:val="0"/>
              <w:jc w:val="center"/>
              <w:rPr>
                <w:snapToGrid w:val="0"/>
                <w:sz w:val="20"/>
                <w:lang w:val="pt-PT"/>
              </w:rPr>
            </w:pPr>
            <w:r w:rsidRPr="002606DB">
              <w:rPr>
                <w:snapToGrid w:val="0"/>
                <w:sz w:val="20"/>
                <w:lang w:val="pt-PT"/>
              </w:rPr>
              <w:t>6,7</w:t>
            </w:r>
          </w:p>
          <w:p w14:paraId="4FCB4250" w14:textId="5505F08B" w:rsidR="00126C22" w:rsidRPr="002606DB" w:rsidRDefault="00126C22" w:rsidP="00126C22">
            <w:pPr>
              <w:pStyle w:val="TableParagraph"/>
              <w:adjustRightInd w:val="0"/>
              <w:snapToGrid w:val="0"/>
              <w:jc w:val="center"/>
              <w:rPr>
                <w:snapToGrid w:val="0"/>
                <w:sz w:val="20"/>
                <w:lang w:val="pt-PT"/>
              </w:rPr>
            </w:pPr>
            <w:r w:rsidRPr="002606DB">
              <w:rPr>
                <w:snapToGrid w:val="0"/>
                <w:sz w:val="20"/>
                <w:lang w:val="pt-PT"/>
              </w:rPr>
              <w:t>(p = 0,0026)</w:t>
            </w:r>
          </w:p>
        </w:tc>
        <w:tc>
          <w:tcPr>
            <w:tcW w:w="2414" w:type="dxa"/>
            <w:tcBorders>
              <w:bottom w:val="single" w:sz="4" w:space="0" w:color="000000"/>
            </w:tcBorders>
          </w:tcPr>
          <w:p w14:paraId="10773930" w14:textId="77777777" w:rsidR="00126C22" w:rsidRPr="002606DB" w:rsidRDefault="00126C22" w:rsidP="00126C22">
            <w:pPr>
              <w:pStyle w:val="TableParagraph"/>
              <w:adjustRightInd w:val="0"/>
              <w:snapToGrid w:val="0"/>
              <w:jc w:val="center"/>
              <w:rPr>
                <w:snapToGrid w:val="0"/>
                <w:sz w:val="20"/>
                <w:lang w:val="pt-PT"/>
              </w:rPr>
            </w:pPr>
            <w:r w:rsidRPr="002606DB">
              <w:rPr>
                <w:snapToGrid w:val="0"/>
                <w:sz w:val="20"/>
                <w:lang w:val="pt-PT"/>
              </w:rPr>
              <w:t>6,5</w:t>
            </w:r>
          </w:p>
          <w:p w14:paraId="43BBE13C" w14:textId="48D9A1E5" w:rsidR="00126C22" w:rsidRPr="002606DB" w:rsidRDefault="00126C22" w:rsidP="00126C22">
            <w:pPr>
              <w:pStyle w:val="TableParagraph"/>
              <w:adjustRightInd w:val="0"/>
              <w:snapToGrid w:val="0"/>
              <w:jc w:val="center"/>
              <w:rPr>
                <w:snapToGrid w:val="0"/>
                <w:sz w:val="20"/>
                <w:lang w:val="pt-PT"/>
              </w:rPr>
            </w:pPr>
            <w:r w:rsidRPr="002606DB">
              <w:rPr>
                <w:snapToGrid w:val="0"/>
                <w:sz w:val="20"/>
                <w:lang w:val="pt-PT"/>
              </w:rPr>
              <w:t>(p = 0,0301)</w:t>
            </w:r>
          </w:p>
        </w:tc>
      </w:tr>
      <w:tr w:rsidR="00162CE2" w:rsidRPr="002606DB" w14:paraId="13369874" w14:textId="77777777" w:rsidTr="009974C0">
        <w:trPr>
          <w:cantSplit/>
        </w:trPr>
        <w:tc>
          <w:tcPr>
            <w:tcW w:w="2026" w:type="dxa"/>
            <w:tcBorders>
              <w:top w:val="nil"/>
              <w:bottom w:val="single" w:sz="4" w:space="0" w:color="000000"/>
            </w:tcBorders>
          </w:tcPr>
          <w:p w14:paraId="006C50B9" w14:textId="77777777" w:rsidR="00162CE2" w:rsidRPr="002606DB" w:rsidRDefault="00162CE2" w:rsidP="00126C22">
            <w:pPr>
              <w:pStyle w:val="TableParagraph"/>
              <w:adjustRightInd w:val="0"/>
              <w:snapToGrid w:val="0"/>
              <w:ind w:left="504"/>
              <w:rPr>
                <w:i/>
                <w:snapToGrid w:val="0"/>
                <w:sz w:val="20"/>
                <w:lang w:val="pt-PT"/>
              </w:rPr>
            </w:pPr>
            <w:r w:rsidRPr="002606DB">
              <w:rPr>
                <w:i/>
                <w:snapToGrid w:val="0"/>
                <w:sz w:val="20"/>
                <w:lang w:val="pt-PT"/>
              </w:rPr>
              <w:t>Hazard Ratio</w:t>
            </w:r>
          </w:p>
          <w:p w14:paraId="566172B7" w14:textId="77777777" w:rsidR="00162CE2" w:rsidRPr="002606DB" w:rsidRDefault="00162CE2" w:rsidP="00126C22">
            <w:pPr>
              <w:pStyle w:val="TableParagraph"/>
              <w:adjustRightInd w:val="0"/>
              <w:snapToGrid w:val="0"/>
              <w:ind w:left="504"/>
              <w:rPr>
                <w:snapToGrid w:val="0"/>
                <w:sz w:val="20"/>
                <w:lang w:val="pt-PT"/>
              </w:rPr>
            </w:pPr>
            <w:r w:rsidRPr="002606DB">
              <w:rPr>
                <w:snapToGrid w:val="0"/>
                <w:sz w:val="20"/>
                <w:lang w:val="pt-PT"/>
              </w:rPr>
              <w:t>(taxa de risco)</w:t>
            </w:r>
          </w:p>
        </w:tc>
        <w:tc>
          <w:tcPr>
            <w:tcW w:w="2406" w:type="dxa"/>
            <w:tcBorders>
              <w:top w:val="nil"/>
              <w:bottom w:val="single" w:sz="4" w:space="0" w:color="000000"/>
            </w:tcBorders>
          </w:tcPr>
          <w:p w14:paraId="737AC872" w14:textId="77777777" w:rsidR="00162CE2" w:rsidRPr="002606DB" w:rsidRDefault="00162CE2" w:rsidP="00056F35">
            <w:pPr>
              <w:adjustRightInd w:val="0"/>
              <w:snapToGrid w:val="0"/>
              <w:rPr>
                <w:snapToGrid w:val="0"/>
                <w:sz w:val="20"/>
                <w:szCs w:val="2"/>
                <w:lang w:val="pt-PT"/>
              </w:rPr>
            </w:pPr>
          </w:p>
        </w:tc>
        <w:tc>
          <w:tcPr>
            <w:tcW w:w="2446" w:type="dxa"/>
            <w:tcBorders>
              <w:top w:val="nil"/>
              <w:bottom w:val="single" w:sz="4" w:space="0" w:color="000000"/>
            </w:tcBorders>
          </w:tcPr>
          <w:p w14:paraId="4868AD4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0,75</w:t>
            </w:r>
          </w:p>
          <w:p w14:paraId="72CC845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[0,62; 0,91]</w:t>
            </w:r>
          </w:p>
        </w:tc>
        <w:tc>
          <w:tcPr>
            <w:tcW w:w="2414" w:type="dxa"/>
            <w:tcBorders>
              <w:top w:val="nil"/>
              <w:bottom w:val="single" w:sz="4" w:space="0" w:color="000000"/>
            </w:tcBorders>
          </w:tcPr>
          <w:p w14:paraId="2AFDC7A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0,82</w:t>
            </w:r>
          </w:p>
          <w:p w14:paraId="64E07D5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[0,68; 0,98]</w:t>
            </w:r>
          </w:p>
        </w:tc>
      </w:tr>
      <w:tr w:rsidR="00162CE2" w:rsidRPr="002606DB" w14:paraId="0F3B8EE7" w14:textId="77777777" w:rsidTr="009974C0">
        <w:trPr>
          <w:cantSplit/>
        </w:trPr>
        <w:tc>
          <w:tcPr>
            <w:tcW w:w="2026" w:type="dxa"/>
            <w:tcBorders>
              <w:top w:val="single" w:sz="4" w:space="0" w:color="000000"/>
              <w:bottom w:val="single" w:sz="4" w:space="0" w:color="000000"/>
            </w:tcBorders>
          </w:tcPr>
          <w:p w14:paraId="3083660B"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Melhor taxa de resposta global </w:t>
            </w:r>
            <w:r w:rsidRPr="002606DB">
              <w:rPr>
                <w:snapToGrid w:val="0"/>
                <w:sz w:val="20"/>
                <w:vertAlign w:val="superscript"/>
                <w:lang w:val="pt-PT"/>
              </w:rPr>
              <w:t>a</w:t>
            </w:r>
          </w:p>
        </w:tc>
        <w:tc>
          <w:tcPr>
            <w:tcW w:w="2406" w:type="dxa"/>
            <w:tcBorders>
              <w:top w:val="single" w:sz="4" w:space="0" w:color="000000"/>
              <w:bottom w:val="single" w:sz="4" w:space="0" w:color="000000"/>
            </w:tcBorders>
          </w:tcPr>
          <w:p w14:paraId="3BEE8DE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20,1%</w:t>
            </w:r>
          </w:p>
        </w:tc>
        <w:tc>
          <w:tcPr>
            <w:tcW w:w="2446" w:type="dxa"/>
            <w:tcBorders>
              <w:top w:val="single" w:sz="4" w:space="0" w:color="000000"/>
              <w:bottom w:val="single" w:sz="4" w:space="0" w:color="000000"/>
            </w:tcBorders>
          </w:tcPr>
          <w:p w14:paraId="49C6FC4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34,1%</w:t>
            </w:r>
          </w:p>
          <w:p w14:paraId="71C951C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(p &lt; 0,0001)</w:t>
            </w:r>
          </w:p>
        </w:tc>
        <w:tc>
          <w:tcPr>
            <w:tcW w:w="2414" w:type="dxa"/>
            <w:tcBorders>
              <w:top w:val="single" w:sz="4" w:space="0" w:color="000000"/>
              <w:bottom w:val="single" w:sz="4" w:space="0" w:color="000000"/>
            </w:tcBorders>
          </w:tcPr>
          <w:p w14:paraId="535380F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30,4%</w:t>
            </w:r>
          </w:p>
          <w:p w14:paraId="45880BD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(p = 0,0023)</w:t>
            </w:r>
          </w:p>
        </w:tc>
      </w:tr>
      <w:tr w:rsidR="00162CE2" w:rsidRPr="002606DB" w14:paraId="61A2D716" w14:textId="77777777" w:rsidTr="00126C22">
        <w:trPr>
          <w:cantSplit/>
        </w:trPr>
        <w:tc>
          <w:tcPr>
            <w:tcW w:w="9292" w:type="dxa"/>
            <w:gridSpan w:val="4"/>
            <w:tcBorders>
              <w:bottom w:val="single" w:sz="4" w:space="0" w:color="000000"/>
            </w:tcBorders>
          </w:tcPr>
          <w:p w14:paraId="7AE5EC30" w14:textId="77777777" w:rsidR="00162CE2" w:rsidRPr="002606DB" w:rsidRDefault="00162CE2" w:rsidP="00A03389">
            <w:pPr>
              <w:pStyle w:val="TableParagraph"/>
              <w:adjustRightInd w:val="0"/>
              <w:snapToGrid w:val="0"/>
              <w:rPr>
                <w:b/>
                <w:bCs/>
                <w:snapToGrid w:val="0"/>
                <w:sz w:val="20"/>
                <w:lang w:val="pt-PT"/>
              </w:rPr>
            </w:pPr>
            <w:r w:rsidRPr="002606DB">
              <w:rPr>
                <w:b/>
                <w:bCs/>
                <w:snapToGrid w:val="0"/>
                <w:sz w:val="20"/>
                <w:lang w:val="pt-PT"/>
              </w:rPr>
              <w:t>Sobrevivência global</w:t>
            </w:r>
          </w:p>
        </w:tc>
      </w:tr>
      <w:tr w:rsidR="00126C22" w:rsidRPr="002606DB" w14:paraId="38F38102" w14:textId="77777777" w:rsidTr="009C3F5C">
        <w:trPr>
          <w:cantSplit/>
        </w:trPr>
        <w:tc>
          <w:tcPr>
            <w:tcW w:w="2075" w:type="dxa"/>
            <w:tcBorders>
              <w:top w:val="single" w:sz="4" w:space="0" w:color="000000"/>
              <w:bottom w:val="single" w:sz="4" w:space="0" w:color="000000"/>
            </w:tcBorders>
          </w:tcPr>
          <w:p w14:paraId="20CA754B" w14:textId="77777777" w:rsidR="00126C22" w:rsidRPr="002606DB" w:rsidRDefault="00126C22" w:rsidP="004E23F3">
            <w:pPr>
              <w:pStyle w:val="TableParagraph"/>
              <w:adjustRightInd w:val="0"/>
              <w:snapToGrid w:val="0"/>
              <w:ind w:left="180"/>
              <w:rPr>
                <w:snapToGrid w:val="0"/>
                <w:sz w:val="20"/>
                <w:lang w:val="pt-PT"/>
              </w:rPr>
            </w:pPr>
            <w:r w:rsidRPr="002606DB">
              <w:rPr>
                <w:snapToGrid w:val="0"/>
                <w:sz w:val="20"/>
                <w:lang w:val="pt-PT"/>
              </w:rPr>
              <w:t>Mediana (meses)</w:t>
            </w:r>
          </w:p>
        </w:tc>
        <w:tc>
          <w:tcPr>
            <w:tcW w:w="2366" w:type="dxa"/>
            <w:tcBorders>
              <w:top w:val="single" w:sz="4" w:space="0" w:color="000000"/>
            </w:tcBorders>
          </w:tcPr>
          <w:p w14:paraId="1202868E" w14:textId="77777777" w:rsidR="00126C22" w:rsidRPr="002606DB" w:rsidRDefault="00126C22" w:rsidP="00056F35">
            <w:pPr>
              <w:pStyle w:val="TableParagraph"/>
              <w:adjustRightInd w:val="0"/>
              <w:snapToGrid w:val="0"/>
              <w:jc w:val="center"/>
              <w:rPr>
                <w:snapToGrid w:val="0"/>
                <w:sz w:val="20"/>
                <w:lang w:val="pt-PT"/>
              </w:rPr>
            </w:pPr>
            <w:r w:rsidRPr="002606DB">
              <w:rPr>
                <w:snapToGrid w:val="0"/>
                <w:sz w:val="20"/>
                <w:lang w:val="pt-PT"/>
              </w:rPr>
              <w:t>13,1</w:t>
            </w:r>
          </w:p>
        </w:tc>
        <w:tc>
          <w:tcPr>
            <w:tcW w:w="2453" w:type="dxa"/>
            <w:tcBorders>
              <w:top w:val="single" w:sz="4" w:space="0" w:color="000000"/>
              <w:bottom w:val="single" w:sz="4" w:space="0" w:color="000000"/>
            </w:tcBorders>
          </w:tcPr>
          <w:p w14:paraId="7E3369BB" w14:textId="5DA1A958" w:rsidR="00126C22" w:rsidRPr="002606DB" w:rsidRDefault="00126C22" w:rsidP="00126C22">
            <w:pPr>
              <w:pStyle w:val="TableParagraph"/>
              <w:adjustRightInd w:val="0"/>
              <w:snapToGrid w:val="0"/>
              <w:jc w:val="center"/>
              <w:rPr>
                <w:snapToGrid w:val="0"/>
                <w:sz w:val="20"/>
                <w:lang w:val="pt-PT"/>
              </w:rPr>
            </w:pPr>
            <w:r w:rsidRPr="002606DB">
              <w:rPr>
                <w:snapToGrid w:val="0"/>
                <w:sz w:val="20"/>
                <w:lang w:val="pt-PT"/>
              </w:rPr>
              <w:t>13,6 (p = 0,4203)</w:t>
            </w:r>
          </w:p>
        </w:tc>
        <w:tc>
          <w:tcPr>
            <w:tcW w:w="2398" w:type="dxa"/>
            <w:tcBorders>
              <w:top w:val="single" w:sz="4" w:space="0" w:color="000000"/>
              <w:bottom w:val="single" w:sz="4" w:space="0" w:color="000000"/>
            </w:tcBorders>
          </w:tcPr>
          <w:p w14:paraId="6E5E7676" w14:textId="4A109A2D" w:rsidR="00126C22" w:rsidRPr="002606DB" w:rsidRDefault="00126C22" w:rsidP="00126C22">
            <w:pPr>
              <w:pStyle w:val="TableParagraph"/>
              <w:adjustRightInd w:val="0"/>
              <w:snapToGrid w:val="0"/>
              <w:jc w:val="center"/>
              <w:rPr>
                <w:snapToGrid w:val="0"/>
                <w:sz w:val="20"/>
                <w:lang w:val="pt-PT"/>
              </w:rPr>
            </w:pPr>
            <w:r w:rsidRPr="002606DB">
              <w:rPr>
                <w:snapToGrid w:val="0"/>
                <w:sz w:val="20"/>
                <w:lang w:val="pt-PT"/>
              </w:rPr>
              <w:t>13,4 (p = 0,7613)</w:t>
            </w:r>
          </w:p>
        </w:tc>
      </w:tr>
      <w:tr w:rsidR="00126C22" w:rsidRPr="002606DB" w14:paraId="4BFF0707" w14:textId="77777777" w:rsidTr="009C3F5C">
        <w:trPr>
          <w:cantSplit/>
        </w:trPr>
        <w:tc>
          <w:tcPr>
            <w:tcW w:w="2075" w:type="dxa"/>
            <w:tcBorders>
              <w:top w:val="single" w:sz="4" w:space="0" w:color="000000"/>
              <w:bottom w:val="single" w:sz="4" w:space="0" w:color="000000"/>
            </w:tcBorders>
          </w:tcPr>
          <w:p w14:paraId="70A8F22E" w14:textId="77777777" w:rsidR="00126C22" w:rsidRPr="002606DB" w:rsidRDefault="00126C22" w:rsidP="00126C22">
            <w:pPr>
              <w:pStyle w:val="TableParagraph"/>
              <w:adjustRightInd w:val="0"/>
              <w:snapToGrid w:val="0"/>
              <w:ind w:left="504"/>
              <w:rPr>
                <w:i/>
                <w:snapToGrid w:val="0"/>
                <w:sz w:val="20"/>
                <w:lang w:val="pt-PT"/>
              </w:rPr>
            </w:pPr>
            <w:r w:rsidRPr="002606DB">
              <w:rPr>
                <w:i/>
                <w:snapToGrid w:val="0"/>
                <w:sz w:val="20"/>
                <w:lang w:val="pt-PT"/>
              </w:rPr>
              <w:t>Hazard ratio</w:t>
            </w:r>
          </w:p>
          <w:p w14:paraId="1C5FC15B" w14:textId="77777777" w:rsidR="00126C22" w:rsidRPr="002606DB" w:rsidRDefault="00126C22" w:rsidP="00126C22">
            <w:pPr>
              <w:pStyle w:val="TableParagraph"/>
              <w:adjustRightInd w:val="0"/>
              <w:snapToGrid w:val="0"/>
              <w:ind w:left="504"/>
              <w:rPr>
                <w:snapToGrid w:val="0"/>
                <w:sz w:val="20"/>
                <w:lang w:val="pt-PT"/>
              </w:rPr>
            </w:pPr>
            <w:r w:rsidRPr="002606DB">
              <w:rPr>
                <w:snapToGrid w:val="0"/>
                <w:sz w:val="20"/>
                <w:lang w:val="pt-PT"/>
              </w:rPr>
              <w:t>(taxa de risco)</w:t>
            </w:r>
          </w:p>
        </w:tc>
        <w:tc>
          <w:tcPr>
            <w:tcW w:w="2366" w:type="dxa"/>
            <w:tcBorders>
              <w:bottom w:val="single" w:sz="4" w:space="0" w:color="000000"/>
            </w:tcBorders>
          </w:tcPr>
          <w:p w14:paraId="2089703D" w14:textId="77777777" w:rsidR="00126C22" w:rsidRPr="002606DB" w:rsidRDefault="00126C22" w:rsidP="00056F35">
            <w:pPr>
              <w:adjustRightInd w:val="0"/>
              <w:snapToGrid w:val="0"/>
              <w:rPr>
                <w:snapToGrid w:val="0"/>
                <w:sz w:val="20"/>
                <w:szCs w:val="2"/>
                <w:lang w:val="pt-PT"/>
              </w:rPr>
            </w:pPr>
          </w:p>
        </w:tc>
        <w:tc>
          <w:tcPr>
            <w:tcW w:w="2453" w:type="dxa"/>
            <w:tcBorders>
              <w:top w:val="single" w:sz="4" w:space="0" w:color="000000"/>
              <w:bottom w:val="single" w:sz="4" w:space="0" w:color="000000"/>
            </w:tcBorders>
          </w:tcPr>
          <w:p w14:paraId="53A3A621" w14:textId="77777777" w:rsidR="00126C22" w:rsidRPr="002606DB" w:rsidRDefault="00126C22" w:rsidP="00056F35">
            <w:pPr>
              <w:pStyle w:val="TableParagraph"/>
              <w:adjustRightInd w:val="0"/>
              <w:snapToGrid w:val="0"/>
              <w:jc w:val="center"/>
              <w:rPr>
                <w:snapToGrid w:val="0"/>
                <w:sz w:val="20"/>
                <w:lang w:val="pt-PT"/>
              </w:rPr>
            </w:pPr>
            <w:r w:rsidRPr="002606DB">
              <w:rPr>
                <w:snapToGrid w:val="0"/>
                <w:sz w:val="20"/>
                <w:lang w:val="pt-PT"/>
              </w:rPr>
              <w:t>0,93</w:t>
            </w:r>
          </w:p>
          <w:p w14:paraId="48293540" w14:textId="77777777" w:rsidR="00126C22" w:rsidRPr="002606DB" w:rsidRDefault="00126C22" w:rsidP="00056F35">
            <w:pPr>
              <w:pStyle w:val="TableParagraph"/>
              <w:adjustRightInd w:val="0"/>
              <w:snapToGrid w:val="0"/>
              <w:jc w:val="center"/>
              <w:rPr>
                <w:snapToGrid w:val="0"/>
                <w:sz w:val="20"/>
                <w:lang w:val="pt-PT"/>
              </w:rPr>
            </w:pPr>
            <w:r w:rsidRPr="002606DB">
              <w:rPr>
                <w:snapToGrid w:val="0"/>
                <w:sz w:val="20"/>
                <w:lang w:val="pt-PT"/>
              </w:rPr>
              <w:t>[0,78; 1,11]</w:t>
            </w:r>
          </w:p>
        </w:tc>
        <w:tc>
          <w:tcPr>
            <w:tcW w:w="2398" w:type="dxa"/>
            <w:tcBorders>
              <w:top w:val="single" w:sz="4" w:space="0" w:color="000000"/>
              <w:bottom w:val="single" w:sz="4" w:space="0" w:color="000000"/>
            </w:tcBorders>
          </w:tcPr>
          <w:p w14:paraId="6FECBC5A" w14:textId="77777777" w:rsidR="00126C22" w:rsidRPr="002606DB" w:rsidRDefault="00126C22" w:rsidP="00056F35">
            <w:pPr>
              <w:pStyle w:val="TableParagraph"/>
              <w:adjustRightInd w:val="0"/>
              <w:snapToGrid w:val="0"/>
              <w:jc w:val="center"/>
              <w:rPr>
                <w:snapToGrid w:val="0"/>
                <w:sz w:val="20"/>
                <w:lang w:val="pt-PT"/>
              </w:rPr>
            </w:pPr>
            <w:r w:rsidRPr="002606DB">
              <w:rPr>
                <w:snapToGrid w:val="0"/>
                <w:sz w:val="20"/>
                <w:lang w:val="pt-PT"/>
              </w:rPr>
              <w:t>1,03</w:t>
            </w:r>
          </w:p>
          <w:p w14:paraId="6802BC4F" w14:textId="77777777" w:rsidR="00126C22" w:rsidRPr="002606DB" w:rsidRDefault="00126C22" w:rsidP="00056F35">
            <w:pPr>
              <w:pStyle w:val="TableParagraph"/>
              <w:adjustRightInd w:val="0"/>
              <w:snapToGrid w:val="0"/>
              <w:jc w:val="center"/>
              <w:rPr>
                <w:snapToGrid w:val="0"/>
                <w:sz w:val="20"/>
                <w:lang w:val="pt-PT"/>
              </w:rPr>
            </w:pPr>
            <w:r w:rsidRPr="002606DB">
              <w:rPr>
                <w:snapToGrid w:val="0"/>
                <w:sz w:val="20"/>
                <w:lang w:val="pt-PT"/>
              </w:rPr>
              <w:t>[0,86; 1,23]</w:t>
            </w:r>
          </w:p>
        </w:tc>
      </w:tr>
    </w:tbl>
    <w:p w14:paraId="11BD79B4" w14:textId="77777777" w:rsidR="00162CE2" w:rsidRPr="002606DB" w:rsidRDefault="00162CE2" w:rsidP="009974C0">
      <w:pPr>
        <w:adjustRightInd w:val="0"/>
        <w:snapToGrid w:val="0"/>
        <w:rPr>
          <w:i/>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doentes com doença mensurável na </w:t>
      </w:r>
      <w:r w:rsidRPr="002606DB">
        <w:rPr>
          <w:i/>
          <w:snapToGrid w:val="0"/>
          <w:sz w:val="18"/>
          <w:szCs w:val="18"/>
          <w:lang w:val="pt-PT"/>
        </w:rPr>
        <w:t>linha de base</w:t>
      </w:r>
    </w:p>
    <w:p w14:paraId="2CF29FEB" w14:textId="77777777" w:rsidR="00162CE2" w:rsidRPr="002606DB" w:rsidRDefault="00162CE2" w:rsidP="00056F35">
      <w:pPr>
        <w:pStyle w:val="a3"/>
        <w:adjustRightInd w:val="0"/>
        <w:snapToGrid w:val="0"/>
        <w:rPr>
          <w:i/>
          <w:snapToGrid w:val="0"/>
          <w:lang w:val="pt-PT"/>
        </w:rPr>
      </w:pPr>
    </w:p>
    <w:p w14:paraId="72EDD6AE" w14:textId="1A96FADD" w:rsidR="00162CE2" w:rsidRPr="002606DB" w:rsidRDefault="00162CE2" w:rsidP="00056F35">
      <w:pPr>
        <w:adjustRightInd w:val="0"/>
        <w:snapToGrid w:val="0"/>
        <w:rPr>
          <w:i/>
          <w:snapToGrid w:val="0"/>
          <w:lang w:val="pt-PT"/>
        </w:rPr>
      </w:pPr>
      <w:r w:rsidRPr="002606DB">
        <w:rPr>
          <w:i/>
          <w:snapToGrid w:val="0"/>
          <w:lang w:val="pt-PT"/>
        </w:rPr>
        <w:t xml:space="preserve">Tratamento de primeira linha de NSCLC não </w:t>
      </w:r>
      <w:r w:rsidR="00013970" w:rsidRPr="00013970">
        <w:rPr>
          <w:i/>
          <w:snapToGrid w:val="0"/>
          <w:lang w:val="pt-PT"/>
        </w:rPr>
        <w:t>pavimentocelular</w:t>
      </w:r>
      <w:r w:rsidRPr="002606DB">
        <w:rPr>
          <w:i/>
          <w:snapToGrid w:val="0"/>
          <w:lang w:val="pt-PT"/>
        </w:rPr>
        <w:t xml:space="preserve"> com mutações ativadoras do EGFR em associação com erlotinib</w:t>
      </w:r>
    </w:p>
    <w:p w14:paraId="2951C906" w14:textId="77777777" w:rsidR="00162CE2" w:rsidRPr="002606DB" w:rsidRDefault="00162CE2" w:rsidP="00056F35">
      <w:pPr>
        <w:pStyle w:val="a3"/>
        <w:adjustRightInd w:val="0"/>
        <w:snapToGrid w:val="0"/>
        <w:rPr>
          <w:i/>
          <w:snapToGrid w:val="0"/>
          <w:lang w:val="pt-PT"/>
        </w:rPr>
      </w:pPr>
    </w:p>
    <w:p w14:paraId="4199AFBD" w14:textId="77777777" w:rsidR="00162CE2" w:rsidRPr="002606DB" w:rsidRDefault="00162CE2" w:rsidP="00056F35">
      <w:pPr>
        <w:adjustRightInd w:val="0"/>
        <w:snapToGrid w:val="0"/>
        <w:rPr>
          <w:i/>
          <w:snapToGrid w:val="0"/>
          <w:lang w:val="pt-PT"/>
        </w:rPr>
      </w:pPr>
      <w:r w:rsidRPr="002606DB">
        <w:rPr>
          <w:i/>
          <w:snapToGrid w:val="0"/>
          <w:lang w:val="pt-PT"/>
        </w:rPr>
        <w:t>JO25567</w:t>
      </w:r>
    </w:p>
    <w:p w14:paraId="70E0D865" w14:textId="2D22A530" w:rsidR="00D61458" w:rsidRPr="002606DB" w:rsidRDefault="00162CE2" w:rsidP="00056F35">
      <w:pPr>
        <w:pStyle w:val="a3"/>
        <w:adjustRightInd w:val="0"/>
        <w:snapToGrid w:val="0"/>
        <w:rPr>
          <w:snapToGrid w:val="0"/>
          <w:lang w:val="pt-PT"/>
        </w:rPr>
      </w:pPr>
      <w:r w:rsidRPr="002606DB">
        <w:rPr>
          <w:snapToGrid w:val="0"/>
          <w:lang w:val="pt-PT"/>
        </w:rPr>
        <w:t xml:space="preserve">O estudo JO25567 foi um estudo de fase II, aleatorizado, aberto, multicêntrico, conduzido no Japão para avaliar a eficácia e segurança de </w:t>
      </w:r>
      <w:r w:rsidRPr="001C687C">
        <w:rPr>
          <w:color w:val="000000"/>
          <w:lang w:val="pt-PT"/>
        </w:rPr>
        <w:t xml:space="preserve">bevacizumab </w:t>
      </w:r>
      <w:r w:rsidRPr="002606DB">
        <w:rPr>
          <w:snapToGrid w:val="0"/>
          <w:lang w:val="pt-PT"/>
        </w:rPr>
        <w:t xml:space="preserve">utilizado em associação a erlotinib em doentes com NSCLC não </w:t>
      </w:r>
      <w:r w:rsidR="00013970" w:rsidRPr="00013970">
        <w:rPr>
          <w:snapToGrid w:val="0"/>
          <w:lang w:val="pt-PT"/>
        </w:rPr>
        <w:t>pavimentocelular</w:t>
      </w:r>
      <w:r w:rsidRPr="002606DB">
        <w:rPr>
          <w:snapToGrid w:val="0"/>
          <w:lang w:val="pt-PT"/>
        </w:rPr>
        <w:t xml:space="preserve"> com mutações ativadoras do EGFR (deleção do exão 19 ou mutação L858R do exão 21) que não receberam terapêutica sistémica prévia no estádio IIIB/IV ou na doença recorrente.</w:t>
      </w:r>
    </w:p>
    <w:p w14:paraId="5B3077A3" w14:textId="77777777" w:rsidR="00D61458" w:rsidRPr="002606DB" w:rsidRDefault="00D61458" w:rsidP="00056F35">
      <w:pPr>
        <w:pStyle w:val="a3"/>
        <w:adjustRightInd w:val="0"/>
        <w:snapToGrid w:val="0"/>
        <w:rPr>
          <w:snapToGrid w:val="0"/>
          <w:lang w:val="pt-PT"/>
        </w:rPr>
      </w:pPr>
    </w:p>
    <w:p w14:paraId="3690031D" w14:textId="2633B6D8" w:rsidR="00162CE2" w:rsidRPr="002606DB" w:rsidRDefault="00162CE2" w:rsidP="00056F35">
      <w:pPr>
        <w:pStyle w:val="a3"/>
        <w:adjustRightInd w:val="0"/>
        <w:snapToGrid w:val="0"/>
        <w:rPr>
          <w:snapToGrid w:val="0"/>
          <w:lang w:val="pt-PT"/>
        </w:rPr>
      </w:pPr>
      <w:r w:rsidRPr="002606DB">
        <w:rPr>
          <w:snapToGrid w:val="0"/>
          <w:lang w:val="pt-PT"/>
        </w:rPr>
        <w:t xml:space="preserve">O objetivo primário foi a PFS baseada na avaliação por entidade independente. Os objetivos secundários incluíram a </w:t>
      </w:r>
      <w:r w:rsidR="004C3061">
        <w:rPr>
          <w:snapToGrid w:val="0"/>
          <w:lang w:val="pt-PT"/>
        </w:rPr>
        <w:t>OS</w:t>
      </w:r>
      <w:r w:rsidRPr="002606DB">
        <w:rPr>
          <w:snapToGrid w:val="0"/>
          <w:lang w:val="pt-PT"/>
        </w:rPr>
        <w:t>, a taxa de resposta, a taxa de controlo da doença, a duração da resposta e a segurança.</w:t>
      </w:r>
    </w:p>
    <w:p w14:paraId="4DD43DFC" w14:textId="77777777" w:rsidR="00162CE2" w:rsidRPr="002606DB" w:rsidRDefault="00162CE2" w:rsidP="00056F35">
      <w:pPr>
        <w:pStyle w:val="a3"/>
        <w:adjustRightInd w:val="0"/>
        <w:snapToGrid w:val="0"/>
        <w:rPr>
          <w:snapToGrid w:val="0"/>
          <w:lang w:val="pt-PT"/>
        </w:rPr>
      </w:pPr>
    </w:p>
    <w:p w14:paraId="625ACD34" w14:textId="2527DF0E" w:rsidR="00162CE2" w:rsidRPr="002606DB" w:rsidRDefault="00162CE2" w:rsidP="00056F35">
      <w:pPr>
        <w:pStyle w:val="a3"/>
        <w:adjustRightInd w:val="0"/>
        <w:snapToGrid w:val="0"/>
        <w:rPr>
          <w:snapToGrid w:val="0"/>
          <w:lang w:val="pt-PT"/>
        </w:rPr>
      </w:pPr>
      <w:r w:rsidRPr="002606DB">
        <w:rPr>
          <w:snapToGrid w:val="0"/>
          <w:lang w:val="pt-PT"/>
        </w:rPr>
        <w:t xml:space="preserve">O estado da mutação EGFR foi determinado para cada doente antes do rastreio dos doentes e 154 doentes foram aleatorizados para receber ou erlotinib + </w:t>
      </w:r>
      <w:r w:rsidRPr="007155C0">
        <w:rPr>
          <w:color w:val="000000"/>
          <w:lang w:val="pt-PT"/>
        </w:rPr>
        <w:t xml:space="preserve">bevacizumab </w:t>
      </w:r>
      <w:r w:rsidRPr="002606DB">
        <w:rPr>
          <w:snapToGrid w:val="0"/>
          <w:lang w:val="pt-PT"/>
        </w:rPr>
        <w:t xml:space="preserve">(erlotinib 150 mg oral diariamente + </w:t>
      </w:r>
      <w:r w:rsidRPr="007155C0">
        <w:rPr>
          <w:color w:val="000000"/>
          <w:lang w:val="pt-PT"/>
        </w:rPr>
        <w:t xml:space="preserve">bevacizumab </w:t>
      </w:r>
      <w:r w:rsidRPr="002606DB">
        <w:rPr>
          <w:snapToGrid w:val="0"/>
          <w:lang w:val="pt-PT"/>
        </w:rPr>
        <w:t>[15 mg/kg por via intravenosa</w:t>
      </w:r>
      <w:r w:rsidR="0034468E" w:rsidRPr="002606DB">
        <w:rPr>
          <w:snapToGrid w:val="0"/>
          <w:lang w:val="pt-PT"/>
        </w:rPr>
        <w:t xml:space="preserve"> </w:t>
      </w:r>
      <w:r w:rsidRPr="002606DB">
        <w:rPr>
          <w:snapToGrid w:val="0"/>
          <w:lang w:val="pt-PT"/>
        </w:rPr>
        <w:t xml:space="preserve">a cada 3 semanas]) ou erlotinib em monoterapia (150 mg oral diariamente) até à progressão da doença (PD) ou toxicidade inaceitável. Na ausência da PD, a descontinuação de um componente do tratamento do estudo no </w:t>
      </w:r>
      <w:r w:rsidR="00B72472">
        <w:rPr>
          <w:snapToGrid w:val="0"/>
          <w:lang w:val="pt-PT"/>
        </w:rPr>
        <w:t>grupo</w:t>
      </w:r>
      <w:r w:rsidRPr="002606DB">
        <w:rPr>
          <w:snapToGrid w:val="0"/>
          <w:lang w:val="pt-PT"/>
        </w:rPr>
        <w:t xml:space="preserve"> de erlotinib + </w:t>
      </w:r>
      <w:r w:rsidRPr="002606DB">
        <w:rPr>
          <w:color w:val="000000"/>
          <w:lang w:val="en-GB"/>
        </w:rPr>
        <w:t xml:space="preserve">bevacizumab </w:t>
      </w:r>
      <w:r w:rsidRPr="002606DB">
        <w:rPr>
          <w:snapToGrid w:val="0"/>
          <w:lang w:val="pt-PT"/>
        </w:rPr>
        <w:t>não conduziu à descontinuação do outro componente do tratamento do estudo, como especificado pelo protocolo do estudo.</w:t>
      </w:r>
    </w:p>
    <w:p w14:paraId="507F29DE" w14:textId="77777777" w:rsidR="00162CE2" w:rsidRPr="002606DB" w:rsidRDefault="00162CE2" w:rsidP="00056F35">
      <w:pPr>
        <w:adjustRightInd w:val="0"/>
        <w:snapToGrid w:val="0"/>
        <w:rPr>
          <w:snapToGrid w:val="0"/>
          <w:lang w:val="pt-PT"/>
        </w:rPr>
      </w:pPr>
    </w:p>
    <w:p w14:paraId="39760BA8" w14:textId="77777777" w:rsidR="00162CE2" w:rsidRPr="002606DB" w:rsidRDefault="00162CE2" w:rsidP="00056F35">
      <w:pPr>
        <w:pStyle w:val="a3"/>
        <w:adjustRightInd w:val="0"/>
        <w:snapToGrid w:val="0"/>
        <w:rPr>
          <w:snapToGrid w:val="0"/>
          <w:lang w:val="pt-PT"/>
        </w:rPr>
      </w:pPr>
      <w:r w:rsidRPr="002606DB">
        <w:rPr>
          <w:snapToGrid w:val="0"/>
          <w:lang w:val="pt-PT"/>
        </w:rPr>
        <w:t>Os resultados de eficácia do estudo são apresentados na Tabela 14.</w:t>
      </w:r>
    </w:p>
    <w:p w14:paraId="00A9F5FD" w14:textId="77777777" w:rsidR="00162CE2" w:rsidRPr="002606DB" w:rsidRDefault="00162CE2" w:rsidP="00056F35">
      <w:pPr>
        <w:pStyle w:val="a3"/>
        <w:adjustRightInd w:val="0"/>
        <w:snapToGrid w:val="0"/>
        <w:rPr>
          <w:snapToGrid w:val="0"/>
          <w:lang w:val="pt-PT"/>
        </w:rPr>
      </w:pPr>
    </w:p>
    <w:p w14:paraId="134EA91B"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14</w:t>
      </w:r>
      <w:r w:rsidRPr="00730741">
        <w:rPr>
          <w:b/>
          <w:bCs/>
          <w:snapToGrid w:val="0"/>
          <w:lang w:val="pt-PT"/>
        </w:rPr>
        <w:tab/>
        <w:t>Resultados de eficácia do estudo JO25567</w:t>
      </w:r>
    </w:p>
    <w:p w14:paraId="4BBA1B25"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0"/>
        <w:gridCol w:w="2767"/>
        <w:gridCol w:w="2599"/>
      </w:tblGrid>
      <w:tr w:rsidR="00162CE2" w:rsidRPr="002606DB" w14:paraId="37FD8C75" w14:textId="77777777" w:rsidTr="00A03389">
        <w:trPr>
          <w:cantSplit/>
        </w:trPr>
        <w:tc>
          <w:tcPr>
            <w:tcW w:w="3794" w:type="dxa"/>
          </w:tcPr>
          <w:p w14:paraId="3DB03179" w14:textId="77777777" w:rsidR="00162CE2" w:rsidRPr="002606DB" w:rsidRDefault="00162CE2" w:rsidP="00056F35">
            <w:pPr>
              <w:pStyle w:val="TableParagraph"/>
              <w:adjustRightInd w:val="0"/>
              <w:snapToGrid w:val="0"/>
              <w:rPr>
                <w:snapToGrid w:val="0"/>
                <w:sz w:val="20"/>
                <w:lang w:val="pt-PT"/>
              </w:rPr>
            </w:pPr>
          </w:p>
        </w:tc>
        <w:tc>
          <w:tcPr>
            <w:tcW w:w="2835" w:type="dxa"/>
          </w:tcPr>
          <w:p w14:paraId="2B66B4A4" w14:textId="77777777" w:rsidR="00162CE2" w:rsidRPr="002606DB" w:rsidRDefault="00162CE2" w:rsidP="009974C0">
            <w:pPr>
              <w:pStyle w:val="TableParagraph"/>
              <w:adjustRightInd w:val="0"/>
              <w:snapToGrid w:val="0"/>
              <w:jc w:val="center"/>
              <w:rPr>
                <w:b/>
                <w:snapToGrid w:val="0"/>
                <w:sz w:val="20"/>
                <w:lang w:val="pt-PT"/>
              </w:rPr>
            </w:pPr>
            <w:r w:rsidRPr="002606DB">
              <w:rPr>
                <w:b/>
                <w:snapToGrid w:val="0"/>
                <w:sz w:val="20"/>
                <w:lang w:val="pt-PT"/>
              </w:rPr>
              <w:t>Erlotinib N = 77</w:t>
            </w:r>
            <w:r w:rsidRPr="002606DB">
              <w:rPr>
                <w:b/>
                <w:snapToGrid w:val="0"/>
                <w:sz w:val="20"/>
                <w:vertAlign w:val="superscript"/>
                <w:lang w:val="pt-PT"/>
              </w:rPr>
              <w:t>#</w:t>
            </w:r>
          </w:p>
        </w:tc>
        <w:tc>
          <w:tcPr>
            <w:tcW w:w="2663" w:type="dxa"/>
          </w:tcPr>
          <w:p w14:paraId="1E2CCE92" w14:textId="75C41919" w:rsidR="00162CE2" w:rsidRPr="002606DB" w:rsidRDefault="00162CE2" w:rsidP="009974C0">
            <w:pPr>
              <w:pStyle w:val="TableParagraph"/>
              <w:adjustRightInd w:val="0"/>
              <w:snapToGrid w:val="0"/>
              <w:jc w:val="center"/>
              <w:rPr>
                <w:b/>
                <w:snapToGrid w:val="0"/>
                <w:sz w:val="20"/>
                <w:lang w:val="pt-PT"/>
              </w:rPr>
            </w:pPr>
            <w:r w:rsidRPr="002606DB">
              <w:rPr>
                <w:b/>
                <w:snapToGrid w:val="0"/>
                <w:sz w:val="20"/>
                <w:lang w:val="pt-PT"/>
              </w:rPr>
              <w:t xml:space="preserve">Erlotinib + Bevacizumab </w:t>
            </w:r>
            <w:r w:rsidR="00126C22" w:rsidRPr="002606DB">
              <w:rPr>
                <w:b/>
                <w:snapToGrid w:val="0"/>
                <w:sz w:val="20"/>
                <w:lang w:val="pt-PT"/>
              </w:rPr>
              <w:br/>
            </w:r>
            <w:r w:rsidRPr="002606DB">
              <w:rPr>
                <w:b/>
                <w:snapToGrid w:val="0"/>
                <w:sz w:val="20"/>
                <w:lang w:val="pt-PT"/>
              </w:rPr>
              <w:t>N = 75</w:t>
            </w:r>
            <w:r w:rsidRPr="002606DB">
              <w:rPr>
                <w:b/>
                <w:snapToGrid w:val="0"/>
                <w:sz w:val="20"/>
                <w:vertAlign w:val="superscript"/>
                <w:lang w:val="pt-PT"/>
              </w:rPr>
              <w:t>#</w:t>
            </w:r>
          </w:p>
        </w:tc>
      </w:tr>
      <w:tr w:rsidR="00162CE2" w:rsidRPr="002606DB" w14:paraId="5C69B52E" w14:textId="77777777" w:rsidTr="00A03389">
        <w:trPr>
          <w:cantSplit/>
        </w:trPr>
        <w:tc>
          <w:tcPr>
            <w:tcW w:w="3794" w:type="dxa"/>
          </w:tcPr>
          <w:p w14:paraId="27CAED21" w14:textId="77777777" w:rsidR="00126C22" w:rsidRPr="002606DB" w:rsidRDefault="00162CE2" w:rsidP="00056F35">
            <w:pPr>
              <w:pStyle w:val="TableParagraph"/>
              <w:adjustRightInd w:val="0"/>
              <w:snapToGrid w:val="0"/>
              <w:rPr>
                <w:snapToGrid w:val="0"/>
                <w:sz w:val="20"/>
                <w:lang w:val="pt-PT"/>
              </w:rPr>
            </w:pPr>
            <w:r w:rsidRPr="002606DB">
              <w:rPr>
                <w:b/>
                <w:snapToGrid w:val="0"/>
                <w:sz w:val="20"/>
                <w:lang w:val="pt-PT"/>
              </w:rPr>
              <w:t>PFS</w:t>
            </w:r>
            <w:r w:rsidRPr="002606DB">
              <w:rPr>
                <w:snapToGrid w:val="0"/>
                <w:sz w:val="20"/>
                <w:lang w:val="pt-PT"/>
              </w:rPr>
              <w:t xml:space="preserve">^ (meses) </w:t>
            </w:r>
          </w:p>
          <w:p w14:paraId="1502410B" w14:textId="79F7858A" w:rsidR="00162CE2" w:rsidRPr="002606DB" w:rsidRDefault="00162CE2" w:rsidP="00056F35">
            <w:pPr>
              <w:pStyle w:val="TableParagraph"/>
              <w:adjustRightInd w:val="0"/>
              <w:snapToGrid w:val="0"/>
              <w:rPr>
                <w:snapToGrid w:val="0"/>
                <w:sz w:val="20"/>
                <w:lang w:val="pt-PT"/>
              </w:rPr>
            </w:pPr>
            <w:r w:rsidRPr="002606DB">
              <w:rPr>
                <w:snapToGrid w:val="0"/>
                <w:sz w:val="20"/>
                <w:lang w:val="pt-PT"/>
              </w:rPr>
              <w:t>Mediana</w:t>
            </w:r>
          </w:p>
        </w:tc>
        <w:tc>
          <w:tcPr>
            <w:tcW w:w="2835" w:type="dxa"/>
          </w:tcPr>
          <w:p w14:paraId="128602FD" w14:textId="77777777" w:rsidR="00162CE2" w:rsidRPr="002606DB" w:rsidRDefault="00162CE2" w:rsidP="009974C0">
            <w:pPr>
              <w:pStyle w:val="TableParagraph"/>
              <w:adjustRightInd w:val="0"/>
              <w:snapToGrid w:val="0"/>
              <w:jc w:val="center"/>
              <w:rPr>
                <w:b/>
                <w:snapToGrid w:val="0"/>
                <w:sz w:val="20"/>
                <w:lang w:val="pt-PT"/>
              </w:rPr>
            </w:pPr>
          </w:p>
          <w:p w14:paraId="3A2D5C08"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9,7</w:t>
            </w:r>
          </w:p>
        </w:tc>
        <w:tc>
          <w:tcPr>
            <w:tcW w:w="2663" w:type="dxa"/>
          </w:tcPr>
          <w:p w14:paraId="79307A9E" w14:textId="77777777" w:rsidR="00162CE2" w:rsidRPr="002606DB" w:rsidRDefault="00162CE2" w:rsidP="009974C0">
            <w:pPr>
              <w:pStyle w:val="TableParagraph"/>
              <w:adjustRightInd w:val="0"/>
              <w:snapToGrid w:val="0"/>
              <w:jc w:val="center"/>
              <w:rPr>
                <w:b/>
                <w:snapToGrid w:val="0"/>
                <w:sz w:val="20"/>
                <w:lang w:val="pt-PT"/>
              </w:rPr>
            </w:pPr>
          </w:p>
          <w:p w14:paraId="53DCE5D3"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16,0</w:t>
            </w:r>
          </w:p>
        </w:tc>
      </w:tr>
      <w:tr w:rsidR="00162CE2" w:rsidRPr="002606DB" w14:paraId="4E02DAB1" w14:textId="77777777" w:rsidTr="00A03389">
        <w:trPr>
          <w:cantSplit/>
        </w:trPr>
        <w:tc>
          <w:tcPr>
            <w:tcW w:w="3794" w:type="dxa"/>
          </w:tcPr>
          <w:p w14:paraId="750D01F7" w14:textId="2272988D" w:rsidR="00162CE2" w:rsidRPr="002606DB" w:rsidRDefault="00EF51D4" w:rsidP="00056F35">
            <w:pPr>
              <w:pStyle w:val="TableParagraph"/>
              <w:adjustRightInd w:val="0"/>
              <w:snapToGrid w:val="0"/>
              <w:rPr>
                <w:snapToGrid w:val="0"/>
                <w:sz w:val="20"/>
                <w:lang w:val="pt-PT"/>
              </w:rPr>
            </w:pPr>
            <w:r>
              <w:rPr>
                <w:snapToGrid w:val="0"/>
                <w:sz w:val="20"/>
                <w:lang w:val="pt-PT"/>
              </w:rPr>
              <w:t>T</w:t>
            </w:r>
            <w:r w:rsidR="00162CE2" w:rsidRPr="002606DB">
              <w:rPr>
                <w:snapToGrid w:val="0"/>
                <w:sz w:val="20"/>
                <w:lang w:val="pt-PT"/>
              </w:rPr>
              <w:t>axa de risco (IC 95%)</w:t>
            </w:r>
          </w:p>
          <w:p w14:paraId="5E588445" w14:textId="475DDC00" w:rsidR="00126C22" w:rsidRPr="002606DB" w:rsidRDefault="00126C22" w:rsidP="00056F35">
            <w:pPr>
              <w:pStyle w:val="TableParagraph"/>
              <w:adjustRightInd w:val="0"/>
              <w:snapToGrid w:val="0"/>
              <w:rPr>
                <w:snapToGrid w:val="0"/>
                <w:sz w:val="20"/>
                <w:lang w:val="pt-PT"/>
              </w:rPr>
            </w:pPr>
            <w:r w:rsidRPr="002606DB">
              <w:rPr>
                <w:snapToGrid w:val="0"/>
                <w:sz w:val="20"/>
                <w:lang w:val="pt-PT"/>
              </w:rPr>
              <w:t>Valor de p</w:t>
            </w:r>
          </w:p>
        </w:tc>
        <w:tc>
          <w:tcPr>
            <w:tcW w:w="5498" w:type="dxa"/>
            <w:gridSpan w:val="2"/>
          </w:tcPr>
          <w:p w14:paraId="67232A7C"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0,54 (0,36; 0,79)</w:t>
            </w:r>
          </w:p>
          <w:p w14:paraId="04D72DC0" w14:textId="4B21D00E" w:rsidR="00126C22" w:rsidRPr="002606DB" w:rsidRDefault="00126C22" w:rsidP="009974C0">
            <w:pPr>
              <w:pStyle w:val="TableParagraph"/>
              <w:adjustRightInd w:val="0"/>
              <w:snapToGrid w:val="0"/>
              <w:jc w:val="center"/>
              <w:rPr>
                <w:snapToGrid w:val="0"/>
                <w:sz w:val="20"/>
                <w:lang w:val="pt-PT"/>
              </w:rPr>
            </w:pPr>
            <w:r w:rsidRPr="002606DB">
              <w:rPr>
                <w:snapToGrid w:val="0"/>
                <w:sz w:val="20"/>
                <w:lang w:val="pt-PT"/>
              </w:rPr>
              <w:t>0,0015</w:t>
            </w:r>
          </w:p>
        </w:tc>
      </w:tr>
      <w:tr w:rsidR="00162CE2" w:rsidRPr="002606DB" w14:paraId="125522C1" w14:textId="77777777" w:rsidTr="00A03389">
        <w:trPr>
          <w:cantSplit/>
        </w:trPr>
        <w:tc>
          <w:tcPr>
            <w:tcW w:w="3794" w:type="dxa"/>
          </w:tcPr>
          <w:p w14:paraId="347656BF" w14:textId="0DF21479"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 xml:space="preserve">Taxa de </w:t>
            </w:r>
            <w:r w:rsidR="00314181">
              <w:rPr>
                <w:b/>
                <w:snapToGrid w:val="0"/>
                <w:sz w:val="20"/>
                <w:lang w:val="pt-PT"/>
              </w:rPr>
              <w:t>r</w:t>
            </w:r>
            <w:r w:rsidRPr="002606DB">
              <w:rPr>
                <w:b/>
                <w:snapToGrid w:val="0"/>
                <w:sz w:val="20"/>
                <w:lang w:val="pt-PT"/>
              </w:rPr>
              <w:t xml:space="preserve">esposta </w:t>
            </w:r>
            <w:r w:rsidR="00314181">
              <w:rPr>
                <w:b/>
                <w:snapToGrid w:val="0"/>
                <w:sz w:val="20"/>
                <w:lang w:val="pt-PT"/>
              </w:rPr>
              <w:t>g</w:t>
            </w:r>
            <w:r w:rsidRPr="002606DB">
              <w:rPr>
                <w:b/>
                <w:snapToGrid w:val="0"/>
                <w:sz w:val="20"/>
                <w:lang w:val="pt-PT"/>
              </w:rPr>
              <w:t>lobal</w:t>
            </w:r>
          </w:p>
          <w:p w14:paraId="3AEAB521" w14:textId="774FCACF"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Taxa (n) </w:t>
            </w:r>
          </w:p>
        </w:tc>
        <w:tc>
          <w:tcPr>
            <w:tcW w:w="2835" w:type="dxa"/>
          </w:tcPr>
          <w:p w14:paraId="5933985D" w14:textId="77777777" w:rsidR="00162CE2" w:rsidRPr="002606DB" w:rsidRDefault="00162CE2" w:rsidP="009974C0">
            <w:pPr>
              <w:pStyle w:val="TableParagraph"/>
              <w:adjustRightInd w:val="0"/>
              <w:snapToGrid w:val="0"/>
              <w:jc w:val="center"/>
              <w:rPr>
                <w:b/>
                <w:snapToGrid w:val="0"/>
                <w:sz w:val="20"/>
                <w:lang w:val="pt-PT"/>
              </w:rPr>
            </w:pPr>
          </w:p>
          <w:p w14:paraId="2B691EC6"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63,6% (49)</w:t>
            </w:r>
          </w:p>
        </w:tc>
        <w:tc>
          <w:tcPr>
            <w:tcW w:w="2663" w:type="dxa"/>
          </w:tcPr>
          <w:p w14:paraId="7ACE567C" w14:textId="77777777" w:rsidR="00162CE2" w:rsidRPr="002606DB" w:rsidRDefault="00162CE2" w:rsidP="009974C0">
            <w:pPr>
              <w:pStyle w:val="TableParagraph"/>
              <w:adjustRightInd w:val="0"/>
              <w:snapToGrid w:val="0"/>
              <w:jc w:val="center"/>
              <w:rPr>
                <w:b/>
                <w:snapToGrid w:val="0"/>
                <w:sz w:val="20"/>
                <w:lang w:val="pt-PT"/>
              </w:rPr>
            </w:pPr>
          </w:p>
          <w:p w14:paraId="58D8DAF7"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69,3% (52)</w:t>
            </w:r>
          </w:p>
        </w:tc>
      </w:tr>
      <w:tr w:rsidR="00126C22" w:rsidRPr="002606DB" w14:paraId="60B25FD3" w14:textId="77777777" w:rsidTr="00A03389">
        <w:trPr>
          <w:cantSplit/>
        </w:trPr>
        <w:tc>
          <w:tcPr>
            <w:tcW w:w="3794" w:type="dxa"/>
          </w:tcPr>
          <w:p w14:paraId="4534BE27" w14:textId="4B24714B" w:rsidR="00126C22" w:rsidRPr="002606DB" w:rsidRDefault="00126C22" w:rsidP="00056F35">
            <w:pPr>
              <w:pStyle w:val="TableParagraph"/>
              <w:adjustRightInd w:val="0"/>
              <w:snapToGrid w:val="0"/>
              <w:rPr>
                <w:b/>
                <w:snapToGrid w:val="0"/>
                <w:sz w:val="20"/>
                <w:lang w:val="pt-PT"/>
              </w:rPr>
            </w:pPr>
            <w:r w:rsidRPr="002606DB">
              <w:rPr>
                <w:snapToGrid w:val="0"/>
                <w:sz w:val="20"/>
                <w:lang w:val="pt-PT"/>
              </w:rPr>
              <w:t>Valor de p</w:t>
            </w:r>
          </w:p>
        </w:tc>
        <w:tc>
          <w:tcPr>
            <w:tcW w:w="5498" w:type="dxa"/>
            <w:gridSpan w:val="2"/>
          </w:tcPr>
          <w:p w14:paraId="41A7E2BE" w14:textId="0EA4D346" w:rsidR="00126C22" w:rsidRPr="002606DB" w:rsidRDefault="00126C22" w:rsidP="009974C0">
            <w:pPr>
              <w:pStyle w:val="TableParagraph"/>
              <w:adjustRightInd w:val="0"/>
              <w:snapToGrid w:val="0"/>
              <w:jc w:val="center"/>
              <w:rPr>
                <w:b/>
                <w:snapToGrid w:val="0"/>
                <w:sz w:val="20"/>
                <w:lang w:val="pt-PT"/>
              </w:rPr>
            </w:pPr>
            <w:r w:rsidRPr="002606DB">
              <w:rPr>
                <w:snapToGrid w:val="0"/>
                <w:sz w:val="20"/>
                <w:lang w:val="pt-PT"/>
              </w:rPr>
              <w:t>0,4951</w:t>
            </w:r>
          </w:p>
        </w:tc>
      </w:tr>
      <w:tr w:rsidR="00162CE2" w:rsidRPr="002606DB" w14:paraId="6F57454A" w14:textId="77777777" w:rsidTr="00A03389">
        <w:trPr>
          <w:cantSplit/>
        </w:trPr>
        <w:tc>
          <w:tcPr>
            <w:tcW w:w="3794" w:type="dxa"/>
          </w:tcPr>
          <w:p w14:paraId="5D21215B"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 xml:space="preserve">Sobrevivência global* </w:t>
            </w:r>
          </w:p>
          <w:p w14:paraId="5B097F37" w14:textId="7F03CD62" w:rsidR="00162CE2" w:rsidRPr="002606DB" w:rsidRDefault="00162CE2" w:rsidP="00056F35">
            <w:pPr>
              <w:pStyle w:val="TableParagraph"/>
              <w:adjustRightInd w:val="0"/>
              <w:snapToGrid w:val="0"/>
              <w:rPr>
                <w:snapToGrid w:val="0"/>
                <w:sz w:val="20"/>
                <w:lang w:val="pt-PT"/>
              </w:rPr>
            </w:pPr>
            <w:r w:rsidRPr="002606DB">
              <w:rPr>
                <w:snapToGrid w:val="0"/>
                <w:sz w:val="20"/>
                <w:lang w:val="pt-PT"/>
              </w:rPr>
              <w:t>Mediana (meses)</w:t>
            </w:r>
          </w:p>
        </w:tc>
        <w:tc>
          <w:tcPr>
            <w:tcW w:w="2835" w:type="dxa"/>
          </w:tcPr>
          <w:p w14:paraId="1662550C" w14:textId="77777777" w:rsidR="00162CE2" w:rsidRPr="002606DB" w:rsidRDefault="00162CE2" w:rsidP="009974C0">
            <w:pPr>
              <w:pStyle w:val="TableParagraph"/>
              <w:adjustRightInd w:val="0"/>
              <w:snapToGrid w:val="0"/>
              <w:jc w:val="center"/>
              <w:rPr>
                <w:b/>
                <w:snapToGrid w:val="0"/>
                <w:sz w:val="20"/>
                <w:lang w:val="pt-PT"/>
              </w:rPr>
            </w:pPr>
          </w:p>
          <w:p w14:paraId="55656EB2"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47,4</w:t>
            </w:r>
          </w:p>
        </w:tc>
        <w:tc>
          <w:tcPr>
            <w:tcW w:w="2663" w:type="dxa"/>
          </w:tcPr>
          <w:p w14:paraId="2F548B7D" w14:textId="77777777" w:rsidR="00162CE2" w:rsidRPr="002606DB" w:rsidRDefault="00162CE2" w:rsidP="009974C0">
            <w:pPr>
              <w:pStyle w:val="TableParagraph"/>
              <w:adjustRightInd w:val="0"/>
              <w:snapToGrid w:val="0"/>
              <w:jc w:val="center"/>
              <w:rPr>
                <w:b/>
                <w:snapToGrid w:val="0"/>
                <w:sz w:val="20"/>
                <w:lang w:val="pt-PT"/>
              </w:rPr>
            </w:pPr>
          </w:p>
          <w:p w14:paraId="597818AB" w14:textId="77777777"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47,0</w:t>
            </w:r>
          </w:p>
        </w:tc>
      </w:tr>
      <w:tr w:rsidR="00162CE2" w:rsidRPr="002606DB" w14:paraId="2A9439B9" w14:textId="77777777" w:rsidTr="00A03389">
        <w:trPr>
          <w:cantSplit/>
        </w:trPr>
        <w:tc>
          <w:tcPr>
            <w:tcW w:w="3794" w:type="dxa"/>
          </w:tcPr>
          <w:p w14:paraId="020A1AAD" w14:textId="22347872" w:rsidR="00162CE2" w:rsidRPr="002606DB" w:rsidRDefault="00EF51D4" w:rsidP="00056F35">
            <w:pPr>
              <w:pStyle w:val="TableParagraph"/>
              <w:adjustRightInd w:val="0"/>
              <w:snapToGrid w:val="0"/>
              <w:rPr>
                <w:snapToGrid w:val="0"/>
                <w:sz w:val="20"/>
                <w:lang w:val="pt-PT"/>
              </w:rPr>
            </w:pPr>
            <w:r>
              <w:rPr>
                <w:snapToGrid w:val="0"/>
                <w:sz w:val="20"/>
                <w:lang w:val="pt-PT"/>
              </w:rPr>
              <w:t>T</w:t>
            </w:r>
            <w:r w:rsidR="00162CE2" w:rsidRPr="002606DB">
              <w:rPr>
                <w:snapToGrid w:val="0"/>
                <w:sz w:val="20"/>
                <w:lang w:val="pt-PT"/>
              </w:rPr>
              <w:t>axa de risco (IC 95%)</w:t>
            </w:r>
            <w:r w:rsidR="00126C22" w:rsidRPr="002606DB">
              <w:rPr>
                <w:snapToGrid w:val="0"/>
                <w:sz w:val="20"/>
                <w:lang w:val="pt-PT"/>
              </w:rPr>
              <w:br/>
              <w:t>Valor de p</w:t>
            </w:r>
          </w:p>
        </w:tc>
        <w:tc>
          <w:tcPr>
            <w:tcW w:w="5498" w:type="dxa"/>
            <w:gridSpan w:val="2"/>
          </w:tcPr>
          <w:p w14:paraId="58AE1CD0" w14:textId="4350B165" w:rsidR="00162CE2" w:rsidRPr="002606DB" w:rsidRDefault="00162CE2" w:rsidP="009974C0">
            <w:pPr>
              <w:pStyle w:val="TableParagraph"/>
              <w:adjustRightInd w:val="0"/>
              <w:snapToGrid w:val="0"/>
              <w:jc w:val="center"/>
              <w:rPr>
                <w:snapToGrid w:val="0"/>
                <w:sz w:val="20"/>
                <w:lang w:val="pt-PT"/>
              </w:rPr>
            </w:pPr>
            <w:r w:rsidRPr="002606DB">
              <w:rPr>
                <w:snapToGrid w:val="0"/>
                <w:sz w:val="20"/>
                <w:lang w:val="pt-PT"/>
              </w:rPr>
              <w:t>0,81 (0,53; 1,23)</w:t>
            </w:r>
            <w:r w:rsidR="00126C22" w:rsidRPr="002606DB">
              <w:rPr>
                <w:snapToGrid w:val="0"/>
                <w:sz w:val="20"/>
                <w:lang w:val="pt-PT"/>
              </w:rPr>
              <w:br/>
              <w:t>0,3267</w:t>
            </w:r>
          </w:p>
        </w:tc>
      </w:tr>
    </w:tbl>
    <w:p w14:paraId="5FD2A4FE" w14:textId="77777777" w:rsidR="00162CE2" w:rsidRPr="002606DB" w:rsidRDefault="00162CE2" w:rsidP="00056F35">
      <w:pPr>
        <w:adjustRightInd w:val="0"/>
        <w:snapToGrid w:val="0"/>
        <w:rPr>
          <w:snapToGrid w:val="0"/>
          <w:sz w:val="18"/>
          <w:szCs w:val="18"/>
          <w:lang w:val="pt-PT"/>
        </w:rPr>
      </w:pPr>
      <w:r w:rsidRPr="002606DB">
        <w:rPr>
          <w:snapToGrid w:val="0"/>
          <w:sz w:val="18"/>
          <w:szCs w:val="18"/>
          <w:lang w:val="pt-PT"/>
        </w:rPr>
        <w:lastRenderedPageBreak/>
        <w:t># Um total de 154 doentes foi aleatorizado (</w:t>
      </w:r>
      <w:r w:rsidRPr="002606DB">
        <w:rPr>
          <w:i/>
          <w:snapToGrid w:val="0"/>
          <w:sz w:val="18"/>
          <w:szCs w:val="18"/>
          <w:lang w:val="pt-PT"/>
        </w:rPr>
        <w:t xml:space="preserve">Performance Status </w:t>
      </w:r>
      <w:r w:rsidRPr="002606DB">
        <w:rPr>
          <w:snapToGrid w:val="0"/>
          <w:sz w:val="18"/>
          <w:szCs w:val="18"/>
          <w:lang w:val="pt-PT"/>
        </w:rPr>
        <w:t>ECOG 0 ou 1). No entanto, dois dos doentes aleatorizados descontinuaram o estudo antes de receberem qualquer tratamento do estudo.</w:t>
      </w:r>
    </w:p>
    <w:p w14:paraId="2F109E42" w14:textId="77777777" w:rsidR="00162CE2" w:rsidRPr="002606DB" w:rsidRDefault="00162CE2" w:rsidP="00056F35">
      <w:pPr>
        <w:adjustRightInd w:val="0"/>
        <w:snapToGrid w:val="0"/>
        <w:rPr>
          <w:snapToGrid w:val="0"/>
          <w:sz w:val="18"/>
          <w:szCs w:val="18"/>
          <w:lang w:val="pt-PT"/>
        </w:rPr>
      </w:pPr>
      <w:r w:rsidRPr="002606DB">
        <w:rPr>
          <w:snapToGrid w:val="0"/>
          <w:sz w:val="18"/>
          <w:szCs w:val="18"/>
          <w:lang w:val="pt-PT"/>
        </w:rPr>
        <w:t>^ Revisão cega independente (análise primária definida no protocolo)</w:t>
      </w:r>
    </w:p>
    <w:p w14:paraId="7943B408" w14:textId="4FEB1B9E" w:rsidR="007267C3" w:rsidRPr="002606DB" w:rsidRDefault="00162CE2" w:rsidP="007267C3">
      <w:pPr>
        <w:pStyle w:val="a4"/>
        <w:adjustRightInd w:val="0"/>
        <w:snapToGrid w:val="0"/>
        <w:ind w:left="0" w:right="-280" w:firstLine="0"/>
        <w:rPr>
          <w:snapToGrid w:val="0"/>
          <w:sz w:val="18"/>
          <w:szCs w:val="18"/>
          <w:lang w:val="pt-PT"/>
        </w:rPr>
      </w:pPr>
      <w:r w:rsidRPr="002606DB">
        <w:rPr>
          <w:snapToGrid w:val="0"/>
          <w:sz w:val="18"/>
          <w:szCs w:val="18"/>
          <w:lang w:val="pt-PT"/>
        </w:rPr>
        <w:t xml:space="preserve">* Análise exploratória: análise final da OS na data de </w:t>
      </w:r>
      <w:r w:rsidRPr="002606DB">
        <w:rPr>
          <w:i/>
          <w:snapToGrid w:val="0"/>
          <w:sz w:val="18"/>
          <w:szCs w:val="18"/>
          <w:lang w:val="pt-PT"/>
        </w:rPr>
        <w:t>cut</w:t>
      </w:r>
      <w:r w:rsidR="00FF49AF"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 xml:space="preserve">clínico de 31 de outubro de 2017, aprox. 59% dos doentes tinham </w:t>
      </w:r>
    </w:p>
    <w:p w14:paraId="081FE733" w14:textId="77777777" w:rsidR="007267C3" w:rsidRPr="002606DB" w:rsidRDefault="007267C3" w:rsidP="007267C3">
      <w:pPr>
        <w:pStyle w:val="a4"/>
        <w:adjustRightInd w:val="0"/>
        <w:snapToGrid w:val="0"/>
        <w:ind w:left="0" w:right="-280" w:firstLine="0"/>
        <w:rPr>
          <w:snapToGrid w:val="0"/>
          <w:sz w:val="18"/>
          <w:szCs w:val="18"/>
          <w:lang w:val="pt-PT"/>
        </w:rPr>
      </w:pPr>
    </w:p>
    <w:p w14:paraId="6B856DBC" w14:textId="355E9250" w:rsidR="00162CE2" w:rsidRPr="002606DB" w:rsidRDefault="00162CE2" w:rsidP="007267C3">
      <w:pPr>
        <w:pStyle w:val="a4"/>
        <w:adjustRightInd w:val="0"/>
        <w:snapToGrid w:val="0"/>
        <w:ind w:left="0" w:right="-280" w:firstLine="0"/>
        <w:rPr>
          <w:snapToGrid w:val="0"/>
          <w:lang w:val="pt-PT"/>
        </w:rPr>
      </w:pPr>
      <w:r w:rsidRPr="002606DB">
        <w:rPr>
          <w:snapToGrid w:val="0"/>
          <w:lang w:val="pt-PT"/>
        </w:rPr>
        <w:t>morrido</w:t>
      </w:r>
      <w:r w:rsidR="007267C3" w:rsidRPr="002606DB">
        <w:rPr>
          <w:snapToGrid w:val="0"/>
          <w:lang w:val="pt-PT"/>
        </w:rPr>
        <w:t xml:space="preserve"> </w:t>
      </w:r>
      <w:r w:rsidRPr="002606DB">
        <w:rPr>
          <w:snapToGrid w:val="0"/>
          <w:lang w:val="pt-PT"/>
        </w:rPr>
        <w:t>IC, intervalo de confiança; HR, Taxa de risco da análise de regressão Cox não estratificada; NR, não alcançado.</w:t>
      </w:r>
    </w:p>
    <w:p w14:paraId="78CFC126" w14:textId="77777777" w:rsidR="00162CE2" w:rsidRPr="002606DB" w:rsidRDefault="00162CE2" w:rsidP="00056F35">
      <w:pPr>
        <w:pStyle w:val="a3"/>
        <w:adjustRightInd w:val="0"/>
        <w:snapToGrid w:val="0"/>
        <w:rPr>
          <w:snapToGrid w:val="0"/>
          <w:lang w:val="pt-PT"/>
        </w:rPr>
      </w:pPr>
    </w:p>
    <w:p w14:paraId="5531D8BF" w14:textId="77777777" w:rsidR="00162CE2" w:rsidRPr="002606DB" w:rsidRDefault="00162CE2" w:rsidP="00056F35">
      <w:pPr>
        <w:adjustRightInd w:val="0"/>
        <w:snapToGrid w:val="0"/>
        <w:rPr>
          <w:i/>
          <w:snapToGrid w:val="0"/>
          <w:lang w:val="pt-PT"/>
        </w:rPr>
      </w:pPr>
      <w:r w:rsidRPr="002606DB">
        <w:rPr>
          <w:i/>
          <w:snapToGrid w:val="0"/>
          <w:u w:val="single"/>
          <w:lang w:val="pt-PT"/>
        </w:rPr>
        <w:t>Cancro de células renais avançado e/ou metastizado (mRCC)</w:t>
      </w:r>
    </w:p>
    <w:p w14:paraId="745500A8" w14:textId="77777777" w:rsidR="00162CE2" w:rsidRPr="002606DB" w:rsidRDefault="00162CE2" w:rsidP="00056F35">
      <w:pPr>
        <w:pStyle w:val="a3"/>
        <w:adjustRightInd w:val="0"/>
        <w:snapToGrid w:val="0"/>
        <w:rPr>
          <w:i/>
          <w:snapToGrid w:val="0"/>
          <w:lang w:val="pt-PT"/>
        </w:rPr>
      </w:pPr>
    </w:p>
    <w:p w14:paraId="7C073519" w14:textId="11F86A8E" w:rsidR="00162CE2" w:rsidRPr="002606DB" w:rsidRDefault="00162CE2" w:rsidP="00056F35">
      <w:pPr>
        <w:adjustRightInd w:val="0"/>
        <w:snapToGrid w:val="0"/>
        <w:rPr>
          <w:i/>
          <w:snapToGrid w:val="0"/>
          <w:lang w:val="pt-PT"/>
        </w:rPr>
      </w:pPr>
      <w:r w:rsidRPr="002606DB">
        <w:rPr>
          <w:i/>
          <w:color w:val="000000"/>
          <w:lang w:val="en-GB"/>
        </w:rPr>
        <w:t xml:space="preserve">Bevacizumab </w:t>
      </w:r>
      <w:r w:rsidRPr="002606DB">
        <w:rPr>
          <w:i/>
          <w:snapToGrid w:val="0"/>
          <w:lang w:val="pt-PT"/>
        </w:rPr>
        <w:t>em associação com interferão alfa</w:t>
      </w:r>
      <w:r w:rsidR="00E56C30" w:rsidRPr="002606DB">
        <w:rPr>
          <w:i/>
          <w:snapToGrid w:val="0"/>
          <w:lang w:val="pt-PT"/>
        </w:rPr>
        <w:noBreakHyphen/>
      </w:r>
      <w:r w:rsidRPr="002606DB">
        <w:rPr>
          <w:i/>
          <w:snapToGrid w:val="0"/>
          <w:lang w:val="pt-PT"/>
        </w:rPr>
        <w:t xml:space="preserve">2a no tratamento de primeira linha do </w:t>
      </w:r>
      <w:r w:rsidR="00836F41">
        <w:rPr>
          <w:i/>
          <w:snapToGrid w:val="0"/>
          <w:lang w:val="pt-PT"/>
        </w:rPr>
        <w:t>m</w:t>
      </w:r>
      <w:r w:rsidR="00FA15B4">
        <w:rPr>
          <w:i/>
          <w:snapToGrid w:val="0"/>
          <w:lang w:val="pt-PT"/>
        </w:rPr>
        <w:t>R</w:t>
      </w:r>
      <w:r w:rsidR="00836F41">
        <w:rPr>
          <w:i/>
          <w:snapToGrid w:val="0"/>
          <w:lang w:val="pt-PT"/>
        </w:rPr>
        <w:t>CC</w:t>
      </w:r>
      <w:r w:rsidRPr="002606DB">
        <w:rPr>
          <w:i/>
          <w:snapToGrid w:val="0"/>
          <w:lang w:val="pt-PT"/>
        </w:rPr>
        <w:t xml:space="preserve"> avançado</w:t>
      </w:r>
      <w:r w:rsidR="00EF51D4" w:rsidRPr="00EF51D4">
        <w:t xml:space="preserve"> </w:t>
      </w:r>
      <w:r w:rsidR="00EF51D4" w:rsidRPr="00EF51D4">
        <w:rPr>
          <w:i/>
          <w:snapToGrid w:val="0"/>
          <w:lang w:val="pt-PT"/>
        </w:rPr>
        <w:t>e/ou metastizado</w:t>
      </w:r>
      <w:r w:rsidRPr="002606DB">
        <w:rPr>
          <w:i/>
          <w:snapToGrid w:val="0"/>
          <w:lang w:val="pt-PT"/>
        </w:rPr>
        <w:t xml:space="preserve"> (BO17705)</w:t>
      </w:r>
    </w:p>
    <w:p w14:paraId="3B8CFAE4" w14:textId="77777777" w:rsidR="00162CE2" w:rsidRPr="002606DB" w:rsidRDefault="00162CE2" w:rsidP="00056F35">
      <w:pPr>
        <w:pStyle w:val="a3"/>
        <w:adjustRightInd w:val="0"/>
        <w:snapToGrid w:val="0"/>
        <w:rPr>
          <w:i/>
          <w:snapToGrid w:val="0"/>
          <w:lang w:val="pt-PT"/>
        </w:rPr>
      </w:pPr>
    </w:p>
    <w:p w14:paraId="2A81CB94" w14:textId="05A4F3E8" w:rsidR="00162CE2" w:rsidRPr="002606DB" w:rsidRDefault="00162CE2" w:rsidP="00056F35">
      <w:pPr>
        <w:pStyle w:val="a3"/>
        <w:adjustRightInd w:val="0"/>
        <w:snapToGrid w:val="0"/>
        <w:rPr>
          <w:snapToGrid w:val="0"/>
          <w:lang w:val="pt-PT"/>
        </w:rPr>
      </w:pPr>
      <w:r w:rsidRPr="002606DB">
        <w:rPr>
          <w:snapToGrid w:val="0"/>
          <w:lang w:val="pt-PT"/>
        </w:rPr>
        <w:t xml:space="preserve">Este foi um ensaio de fase III, aleatorizado, com dupla ocultação, para avaliar a eficácia e a segurança de </w:t>
      </w:r>
      <w:r w:rsidRPr="007155C0">
        <w:rPr>
          <w:color w:val="000000"/>
          <w:lang w:val="pt-PT"/>
        </w:rPr>
        <w:t xml:space="preserve">bevacizumab </w:t>
      </w:r>
      <w:r w:rsidRPr="002606DB">
        <w:rPr>
          <w:snapToGrid w:val="0"/>
          <w:lang w:val="pt-PT"/>
        </w:rPr>
        <w:t>em associação com interferão (IFN) alfa</w:t>
      </w:r>
      <w:r w:rsidR="00E56C30" w:rsidRPr="002606DB">
        <w:rPr>
          <w:snapToGrid w:val="0"/>
          <w:lang w:val="pt-PT"/>
        </w:rPr>
        <w:noBreakHyphen/>
      </w:r>
      <w:r w:rsidRPr="002606DB">
        <w:rPr>
          <w:snapToGrid w:val="0"/>
          <w:lang w:val="pt-PT"/>
        </w:rPr>
        <w:t xml:space="preserve">2a, </w:t>
      </w:r>
      <w:r w:rsidRPr="002606DB">
        <w:rPr>
          <w:i/>
          <w:snapToGrid w:val="0"/>
          <w:lang w:val="pt-PT"/>
        </w:rPr>
        <w:t xml:space="preserve">versus </w:t>
      </w:r>
      <w:r w:rsidRPr="002606DB">
        <w:rPr>
          <w:snapToGrid w:val="0"/>
          <w:lang w:val="pt-PT"/>
        </w:rPr>
        <w:t>IFN alfa</w:t>
      </w:r>
      <w:r w:rsidR="00E56C30" w:rsidRPr="002606DB">
        <w:rPr>
          <w:snapToGrid w:val="0"/>
          <w:lang w:val="pt-PT"/>
        </w:rPr>
        <w:noBreakHyphen/>
      </w:r>
      <w:r w:rsidRPr="002606DB">
        <w:rPr>
          <w:snapToGrid w:val="0"/>
          <w:lang w:val="pt-PT"/>
        </w:rPr>
        <w:t xml:space="preserve">2a em monoterapia, no tratamento de primeira linha do cancro de células renais avançado e/ou metastizado. Os 649 doentes aleatorizados (641 tratados) apresentavam um </w:t>
      </w:r>
      <w:r w:rsidRPr="002606DB">
        <w:rPr>
          <w:i/>
          <w:snapToGrid w:val="0"/>
          <w:lang w:val="pt-PT"/>
        </w:rPr>
        <w:t xml:space="preserve">Karnofsky Performance Status </w:t>
      </w:r>
      <w:r w:rsidRPr="002606DB">
        <w:rPr>
          <w:snapToGrid w:val="0"/>
          <w:lang w:val="pt-PT"/>
        </w:rPr>
        <w:t xml:space="preserve">(KPS) ≥70%, não tinham metástases no SNC nem alterações funcionais dos órgãos. Os doentes foram nefrectomizados para carcinoma primário de células renais. Foi administrado </w:t>
      </w:r>
      <w:r w:rsidRPr="007155C0">
        <w:rPr>
          <w:color w:val="000000"/>
          <w:lang w:val="fr-CA"/>
        </w:rPr>
        <w:t xml:space="preserve">bevacizumab </w:t>
      </w:r>
      <w:r w:rsidRPr="002606DB">
        <w:rPr>
          <w:snapToGrid w:val="0"/>
          <w:lang w:val="pt-PT"/>
        </w:rPr>
        <w:t>10 mg/</w:t>
      </w:r>
      <w:r w:rsidR="00275420">
        <w:rPr>
          <w:snapToGrid w:val="0"/>
          <w:lang w:val="pt-PT"/>
        </w:rPr>
        <w:t>k</w:t>
      </w:r>
      <w:r w:rsidRPr="002606DB">
        <w:rPr>
          <w:snapToGrid w:val="0"/>
          <w:lang w:val="pt-PT"/>
        </w:rPr>
        <w:t>g a cada 2 semanas até à progressão de doença. O INF alfa</w:t>
      </w:r>
      <w:r w:rsidR="00D65CC2" w:rsidRPr="002606DB">
        <w:rPr>
          <w:snapToGrid w:val="0"/>
          <w:lang w:val="pt-PT"/>
        </w:rPr>
        <w:noBreakHyphen/>
      </w:r>
      <w:r w:rsidRPr="002606DB">
        <w:rPr>
          <w:snapToGrid w:val="0"/>
          <w:lang w:val="pt-PT"/>
        </w:rPr>
        <w:t xml:space="preserve">2a foi administrado até às 52 semanas ou até à progressão de doença, numa dose inicial recomendada de 9 MUI, três vezes por semana, sendo permitida a redução de dose, em duas etapas, para 3 MUI três vezes por semana. Os doentes foram estratificados de acordo com o país e a pontuação Motzer, e os </w:t>
      </w:r>
      <w:r w:rsidR="00B72472">
        <w:rPr>
          <w:snapToGrid w:val="0"/>
          <w:lang w:val="pt-PT"/>
        </w:rPr>
        <w:t>grupo</w:t>
      </w:r>
      <w:r w:rsidRPr="002606DB">
        <w:rPr>
          <w:snapToGrid w:val="0"/>
          <w:lang w:val="pt-PT"/>
        </w:rPr>
        <w:t>s de tratamento demonstraram estar bem equilibrados em relação aos fatores de prognóstico.</w:t>
      </w:r>
    </w:p>
    <w:p w14:paraId="506BC2EF" w14:textId="77777777" w:rsidR="00162CE2" w:rsidRPr="002606DB" w:rsidRDefault="00162CE2" w:rsidP="00056F35">
      <w:pPr>
        <w:pStyle w:val="a3"/>
        <w:adjustRightInd w:val="0"/>
        <w:snapToGrid w:val="0"/>
        <w:rPr>
          <w:snapToGrid w:val="0"/>
          <w:lang w:val="pt-PT"/>
        </w:rPr>
      </w:pPr>
    </w:p>
    <w:p w14:paraId="51222051" w14:textId="791364CA" w:rsidR="00162CE2" w:rsidRPr="002606DB" w:rsidRDefault="00162CE2" w:rsidP="00056F35">
      <w:pPr>
        <w:pStyle w:val="a3"/>
        <w:adjustRightInd w:val="0"/>
        <w:snapToGrid w:val="0"/>
        <w:rPr>
          <w:snapToGrid w:val="0"/>
          <w:lang w:val="pt-PT"/>
        </w:rPr>
      </w:pPr>
      <w:r w:rsidRPr="002606DB">
        <w:rPr>
          <w:snapToGrid w:val="0"/>
          <w:lang w:val="pt-PT"/>
        </w:rPr>
        <w:t xml:space="preserve">O objetivo primário foi a </w:t>
      </w:r>
      <w:r w:rsidR="004C3061">
        <w:rPr>
          <w:snapToGrid w:val="0"/>
          <w:lang w:val="pt-PT"/>
        </w:rPr>
        <w:t>OS</w:t>
      </w:r>
      <w:r w:rsidRPr="002606DB">
        <w:rPr>
          <w:snapToGrid w:val="0"/>
          <w:lang w:val="pt-PT"/>
        </w:rPr>
        <w:t xml:space="preserve"> e os objetivos secundários do ensaio incluíram a </w:t>
      </w:r>
      <w:r w:rsidR="004C3061">
        <w:rPr>
          <w:snapToGrid w:val="0"/>
          <w:lang w:val="pt-PT"/>
        </w:rPr>
        <w:t>PFS</w:t>
      </w:r>
      <w:r w:rsidRPr="002606DB">
        <w:rPr>
          <w:snapToGrid w:val="0"/>
          <w:lang w:val="pt-PT"/>
        </w:rPr>
        <w:t xml:space="preserve">. A adição de </w:t>
      </w:r>
      <w:r w:rsidRPr="007155C0">
        <w:rPr>
          <w:color w:val="000000"/>
          <w:lang w:val="pt-PT"/>
        </w:rPr>
        <w:t xml:space="preserve">bevacizumab </w:t>
      </w:r>
      <w:r w:rsidRPr="002606DB">
        <w:rPr>
          <w:snapToGrid w:val="0"/>
          <w:lang w:val="pt-PT"/>
        </w:rPr>
        <w:t>a INF alfa</w:t>
      </w:r>
      <w:r w:rsidR="00D65CC2" w:rsidRPr="002606DB">
        <w:rPr>
          <w:snapToGrid w:val="0"/>
          <w:lang w:val="pt-PT"/>
        </w:rPr>
        <w:noBreakHyphen/>
      </w:r>
      <w:r w:rsidRPr="002606DB">
        <w:rPr>
          <w:snapToGrid w:val="0"/>
          <w:lang w:val="pt-PT"/>
        </w:rPr>
        <w:t xml:space="preserve">2a aumentou significativamente a PFS e a taxa de resposta objetiva do tumor. Estes resultados foram confirmados através de uma revisão radiológica independente. No entanto, o aumento de 2 meses do objetivo primário </w:t>
      </w:r>
      <w:r w:rsidR="004C3061">
        <w:rPr>
          <w:snapToGrid w:val="0"/>
          <w:lang w:val="pt-PT"/>
        </w:rPr>
        <w:t>OS</w:t>
      </w:r>
      <w:r w:rsidRPr="002606DB">
        <w:rPr>
          <w:snapToGrid w:val="0"/>
          <w:lang w:val="pt-PT"/>
        </w:rPr>
        <w:t xml:space="preserve"> não foi significativo (HR = 0,91). Após o ensaio uma elevada proporção de doentes (aproximadamente 63% IFN/placebo; 55% </w:t>
      </w:r>
      <w:r w:rsidRPr="007155C0">
        <w:rPr>
          <w:color w:val="000000"/>
          <w:lang w:val="pt-PT"/>
        </w:rPr>
        <w:t>bevacizumab</w:t>
      </w:r>
      <w:r w:rsidRPr="002606DB">
        <w:rPr>
          <w:snapToGrid w:val="0"/>
          <w:lang w:val="pt-PT"/>
        </w:rPr>
        <w:t xml:space="preserve">/IFN) recebeu uma variedade de terapêuticas anticancerígenas não específicas, incluindo agentes antineoplásicos, o que pode ter tido impacto na análise da </w:t>
      </w:r>
      <w:r w:rsidR="004C3061">
        <w:rPr>
          <w:snapToGrid w:val="0"/>
          <w:lang w:val="pt-PT"/>
        </w:rPr>
        <w:t>OS</w:t>
      </w:r>
      <w:r w:rsidRPr="002606DB">
        <w:rPr>
          <w:snapToGrid w:val="0"/>
          <w:lang w:val="pt-PT"/>
        </w:rPr>
        <w:t>.</w:t>
      </w:r>
    </w:p>
    <w:p w14:paraId="253EA6EF" w14:textId="77777777" w:rsidR="00162CE2" w:rsidRPr="002606DB" w:rsidRDefault="00162CE2" w:rsidP="00056F35">
      <w:pPr>
        <w:pStyle w:val="a3"/>
        <w:adjustRightInd w:val="0"/>
        <w:snapToGrid w:val="0"/>
        <w:rPr>
          <w:snapToGrid w:val="0"/>
          <w:lang w:val="pt-PT"/>
        </w:rPr>
      </w:pPr>
    </w:p>
    <w:p w14:paraId="6F96DAB0" w14:textId="77777777" w:rsidR="00162CE2" w:rsidRPr="002606DB" w:rsidRDefault="00162CE2" w:rsidP="00056F35">
      <w:pPr>
        <w:pStyle w:val="a3"/>
        <w:adjustRightInd w:val="0"/>
        <w:snapToGrid w:val="0"/>
        <w:rPr>
          <w:snapToGrid w:val="0"/>
          <w:lang w:val="pt-PT"/>
        </w:rPr>
      </w:pPr>
      <w:r w:rsidRPr="002606DB">
        <w:rPr>
          <w:snapToGrid w:val="0"/>
          <w:lang w:val="pt-PT"/>
        </w:rPr>
        <w:t>Os resultados de eficácia são apresentados na Tabela 15.</w:t>
      </w:r>
    </w:p>
    <w:p w14:paraId="0950972A" w14:textId="77777777" w:rsidR="00162CE2" w:rsidRPr="002606DB" w:rsidRDefault="00162CE2" w:rsidP="00056F35">
      <w:pPr>
        <w:adjustRightInd w:val="0"/>
        <w:snapToGrid w:val="0"/>
        <w:rPr>
          <w:snapToGrid w:val="0"/>
          <w:lang w:val="pt-PT"/>
        </w:rPr>
      </w:pPr>
    </w:p>
    <w:p w14:paraId="73C3D83B"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15</w:t>
      </w:r>
      <w:r w:rsidRPr="00730741">
        <w:rPr>
          <w:b/>
          <w:bCs/>
          <w:snapToGrid w:val="0"/>
          <w:lang w:val="pt-PT"/>
        </w:rPr>
        <w:tab/>
        <w:t>Resultados de eficácia do ensaio BO17705</w:t>
      </w:r>
    </w:p>
    <w:p w14:paraId="3B4B558E" w14:textId="77777777" w:rsidR="00162CE2" w:rsidRPr="00730741" w:rsidRDefault="00162CE2" w:rsidP="005C4B2D">
      <w:pPr>
        <w:pStyle w:val="a3"/>
        <w:keepNext/>
        <w:adjustRightInd w:val="0"/>
        <w:snapToGrid w:val="0"/>
        <w:rPr>
          <w:b/>
          <w:bCs/>
          <w:snapToGrid w:val="0"/>
          <w:lang w:val="pt-PT"/>
        </w:rPr>
      </w:pPr>
    </w:p>
    <w:tbl>
      <w:tblPr>
        <w:tblW w:w="5002" w:type="pct"/>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6"/>
        <w:gridCol w:w="3028"/>
        <w:gridCol w:w="1150"/>
        <w:gridCol w:w="1326"/>
      </w:tblGrid>
      <w:tr w:rsidR="00162CE2" w:rsidRPr="002606DB" w14:paraId="7D4FB595" w14:textId="77777777" w:rsidTr="008D30AF">
        <w:trPr>
          <w:cantSplit/>
          <w:tblHeader/>
        </w:trPr>
        <w:tc>
          <w:tcPr>
            <w:tcW w:w="3656" w:type="dxa"/>
            <w:vMerge w:val="restart"/>
            <w:tcBorders>
              <w:bottom w:val="single" w:sz="6" w:space="0" w:color="000000"/>
              <w:right w:val="single" w:sz="6" w:space="0" w:color="000000"/>
            </w:tcBorders>
          </w:tcPr>
          <w:p w14:paraId="541E07D2" w14:textId="77777777" w:rsidR="00162CE2" w:rsidRPr="002606DB" w:rsidRDefault="00162CE2" w:rsidP="005C4B2D">
            <w:pPr>
              <w:pStyle w:val="TableParagraph"/>
              <w:keepNext/>
              <w:adjustRightInd w:val="0"/>
              <w:snapToGrid w:val="0"/>
              <w:rPr>
                <w:snapToGrid w:val="0"/>
                <w:sz w:val="20"/>
                <w:lang w:val="pt-PT"/>
              </w:rPr>
            </w:pPr>
          </w:p>
        </w:tc>
        <w:tc>
          <w:tcPr>
            <w:tcW w:w="5640" w:type="dxa"/>
            <w:gridSpan w:val="3"/>
            <w:tcBorders>
              <w:left w:val="single" w:sz="6" w:space="0" w:color="000000"/>
              <w:bottom w:val="single" w:sz="6" w:space="0" w:color="000000"/>
            </w:tcBorders>
          </w:tcPr>
          <w:p w14:paraId="1F1ED7F6" w14:textId="77777777" w:rsidR="00162CE2" w:rsidRPr="002606DB" w:rsidRDefault="00162CE2" w:rsidP="005C4B2D">
            <w:pPr>
              <w:pStyle w:val="TableParagraph"/>
              <w:keepNext/>
              <w:adjustRightInd w:val="0"/>
              <w:snapToGrid w:val="0"/>
              <w:jc w:val="center"/>
              <w:rPr>
                <w:b/>
                <w:bCs/>
                <w:snapToGrid w:val="0"/>
                <w:sz w:val="20"/>
                <w:lang w:val="pt-PT"/>
              </w:rPr>
            </w:pPr>
            <w:r w:rsidRPr="002606DB">
              <w:rPr>
                <w:b/>
                <w:bCs/>
                <w:snapToGrid w:val="0"/>
                <w:sz w:val="20"/>
                <w:lang w:val="pt-PT"/>
              </w:rPr>
              <w:t>BO17705</w:t>
            </w:r>
          </w:p>
        </w:tc>
      </w:tr>
      <w:tr w:rsidR="00162CE2" w:rsidRPr="002606DB" w14:paraId="7D917E61" w14:textId="77777777" w:rsidTr="008D30AF">
        <w:trPr>
          <w:cantSplit/>
          <w:tblHeader/>
        </w:trPr>
        <w:tc>
          <w:tcPr>
            <w:tcW w:w="3656" w:type="dxa"/>
            <w:vMerge/>
            <w:tcBorders>
              <w:top w:val="nil"/>
              <w:bottom w:val="single" w:sz="6" w:space="0" w:color="000000"/>
              <w:right w:val="single" w:sz="6" w:space="0" w:color="000000"/>
            </w:tcBorders>
          </w:tcPr>
          <w:p w14:paraId="75F5FE53" w14:textId="77777777" w:rsidR="00162CE2" w:rsidRPr="002606DB" w:rsidRDefault="00162CE2" w:rsidP="005C4B2D">
            <w:pPr>
              <w:keepNext/>
              <w:adjustRightInd w:val="0"/>
              <w:snapToGrid w:val="0"/>
              <w:rPr>
                <w:snapToGrid w:val="0"/>
                <w:sz w:val="20"/>
                <w:szCs w:val="2"/>
                <w:lang w:val="pt-PT"/>
              </w:rPr>
            </w:pPr>
          </w:p>
        </w:tc>
        <w:tc>
          <w:tcPr>
            <w:tcW w:w="3104" w:type="dxa"/>
            <w:tcBorders>
              <w:top w:val="single" w:sz="6" w:space="0" w:color="000000"/>
              <w:left w:val="single" w:sz="6" w:space="0" w:color="000000"/>
              <w:bottom w:val="single" w:sz="6" w:space="0" w:color="000000"/>
              <w:right w:val="nil"/>
            </w:tcBorders>
          </w:tcPr>
          <w:p w14:paraId="76C51140" w14:textId="77777777" w:rsidR="00162CE2" w:rsidRPr="002606DB" w:rsidRDefault="00162CE2" w:rsidP="005C4B2D">
            <w:pPr>
              <w:pStyle w:val="TableParagraph"/>
              <w:keepNext/>
              <w:adjustRightInd w:val="0"/>
              <w:snapToGrid w:val="0"/>
              <w:jc w:val="center"/>
              <w:rPr>
                <w:b/>
                <w:bCs/>
                <w:snapToGrid w:val="0"/>
                <w:sz w:val="20"/>
                <w:lang w:val="pt-PT"/>
              </w:rPr>
            </w:pPr>
            <w:r w:rsidRPr="002606DB">
              <w:rPr>
                <w:b/>
                <w:bCs/>
                <w:snapToGrid w:val="0"/>
                <w:sz w:val="20"/>
                <w:lang w:val="pt-PT"/>
              </w:rPr>
              <w:t>Placebo + IFN</w:t>
            </w:r>
            <w:r w:rsidRPr="002606DB">
              <w:rPr>
                <w:b/>
                <w:bCs/>
                <w:snapToGrid w:val="0"/>
                <w:sz w:val="20"/>
                <w:vertAlign w:val="superscript"/>
                <w:lang w:val="pt-PT"/>
              </w:rPr>
              <w:t>a</w:t>
            </w:r>
          </w:p>
        </w:tc>
        <w:tc>
          <w:tcPr>
            <w:tcW w:w="2536" w:type="dxa"/>
            <w:gridSpan w:val="2"/>
            <w:tcBorders>
              <w:top w:val="single" w:sz="6" w:space="0" w:color="000000"/>
              <w:left w:val="nil"/>
              <w:bottom w:val="single" w:sz="6" w:space="0" w:color="000000"/>
            </w:tcBorders>
          </w:tcPr>
          <w:p w14:paraId="3957EFA6" w14:textId="77777777" w:rsidR="00162CE2" w:rsidRPr="002606DB" w:rsidRDefault="00162CE2" w:rsidP="005C4B2D">
            <w:pPr>
              <w:pStyle w:val="TableParagraph"/>
              <w:keepNext/>
              <w:adjustRightInd w:val="0"/>
              <w:snapToGrid w:val="0"/>
              <w:jc w:val="center"/>
              <w:rPr>
                <w:b/>
                <w:bCs/>
                <w:snapToGrid w:val="0"/>
                <w:sz w:val="20"/>
                <w:lang w:val="pt-PT"/>
              </w:rPr>
            </w:pPr>
            <w:r w:rsidRPr="002606DB">
              <w:rPr>
                <w:b/>
                <w:bCs/>
                <w:snapToGrid w:val="0"/>
                <w:sz w:val="20"/>
                <w:lang w:val="pt-PT"/>
              </w:rPr>
              <w:t>Bv</w:t>
            </w:r>
            <w:r w:rsidRPr="002606DB">
              <w:rPr>
                <w:b/>
                <w:bCs/>
                <w:snapToGrid w:val="0"/>
                <w:sz w:val="20"/>
                <w:vertAlign w:val="superscript"/>
                <w:lang w:val="pt-PT"/>
              </w:rPr>
              <w:t>b</w:t>
            </w:r>
            <w:r w:rsidRPr="002606DB">
              <w:rPr>
                <w:b/>
                <w:bCs/>
                <w:snapToGrid w:val="0"/>
                <w:sz w:val="20"/>
                <w:lang w:val="pt-PT"/>
              </w:rPr>
              <w:t xml:space="preserve"> + IFN</w:t>
            </w:r>
            <w:r w:rsidRPr="002606DB">
              <w:rPr>
                <w:b/>
                <w:bCs/>
                <w:snapToGrid w:val="0"/>
                <w:sz w:val="20"/>
                <w:vertAlign w:val="superscript"/>
                <w:lang w:val="pt-PT"/>
              </w:rPr>
              <w:t>a</w:t>
            </w:r>
          </w:p>
        </w:tc>
      </w:tr>
      <w:tr w:rsidR="00162CE2" w:rsidRPr="002606DB" w14:paraId="1E757405" w14:textId="77777777" w:rsidTr="00A17BC8">
        <w:trPr>
          <w:cantSplit/>
        </w:trPr>
        <w:tc>
          <w:tcPr>
            <w:tcW w:w="3656" w:type="dxa"/>
            <w:tcBorders>
              <w:top w:val="single" w:sz="6" w:space="0" w:color="000000"/>
              <w:bottom w:val="single" w:sz="6" w:space="0" w:color="000000"/>
              <w:right w:val="single" w:sz="6" w:space="0" w:color="000000"/>
            </w:tcBorders>
          </w:tcPr>
          <w:p w14:paraId="51AA5B0E" w14:textId="77777777" w:rsidR="00162CE2" w:rsidRPr="002606DB" w:rsidRDefault="00162CE2" w:rsidP="005C4B2D">
            <w:pPr>
              <w:pStyle w:val="TableParagraph"/>
              <w:keepNext/>
              <w:adjustRightInd w:val="0"/>
              <w:snapToGrid w:val="0"/>
              <w:rPr>
                <w:snapToGrid w:val="0"/>
                <w:sz w:val="20"/>
                <w:lang w:val="pt-PT"/>
              </w:rPr>
            </w:pPr>
            <w:r w:rsidRPr="002606DB">
              <w:rPr>
                <w:snapToGrid w:val="0"/>
                <w:sz w:val="20"/>
                <w:lang w:val="pt-PT"/>
              </w:rPr>
              <w:t>Número de doentes</w:t>
            </w:r>
          </w:p>
        </w:tc>
        <w:tc>
          <w:tcPr>
            <w:tcW w:w="3104" w:type="dxa"/>
            <w:tcBorders>
              <w:top w:val="single" w:sz="6" w:space="0" w:color="000000"/>
              <w:left w:val="single" w:sz="6" w:space="0" w:color="000000"/>
              <w:right w:val="nil"/>
            </w:tcBorders>
          </w:tcPr>
          <w:p w14:paraId="0F73FFD5" w14:textId="77777777" w:rsidR="00162CE2" w:rsidRPr="002606DB" w:rsidRDefault="00162CE2" w:rsidP="005C4B2D">
            <w:pPr>
              <w:pStyle w:val="TableParagraph"/>
              <w:keepNext/>
              <w:adjustRightInd w:val="0"/>
              <w:snapToGrid w:val="0"/>
              <w:jc w:val="center"/>
              <w:rPr>
                <w:snapToGrid w:val="0"/>
                <w:sz w:val="20"/>
                <w:lang w:val="pt-PT"/>
              </w:rPr>
            </w:pPr>
            <w:r w:rsidRPr="002606DB">
              <w:rPr>
                <w:snapToGrid w:val="0"/>
                <w:sz w:val="20"/>
                <w:lang w:val="pt-PT"/>
              </w:rPr>
              <w:t>322</w:t>
            </w:r>
          </w:p>
        </w:tc>
        <w:tc>
          <w:tcPr>
            <w:tcW w:w="2536" w:type="dxa"/>
            <w:gridSpan w:val="2"/>
            <w:tcBorders>
              <w:top w:val="single" w:sz="6" w:space="0" w:color="000000"/>
              <w:left w:val="nil"/>
            </w:tcBorders>
          </w:tcPr>
          <w:p w14:paraId="702A3663" w14:textId="6CD7816C" w:rsidR="00162CE2" w:rsidRPr="002606DB" w:rsidRDefault="00162CE2" w:rsidP="005C4B2D">
            <w:pPr>
              <w:pStyle w:val="TableParagraph"/>
              <w:keepNext/>
              <w:adjustRightInd w:val="0"/>
              <w:snapToGrid w:val="0"/>
              <w:jc w:val="center"/>
              <w:rPr>
                <w:snapToGrid w:val="0"/>
                <w:sz w:val="20"/>
                <w:lang w:val="pt-PT"/>
              </w:rPr>
            </w:pPr>
            <w:r w:rsidRPr="002606DB">
              <w:rPr>
                <w:snapToGrid w:val="0"/>
                <w:sz w:val="20"/>
                <w:lang w:val="pt-PT"/>
              </w:rPr>
              <w:t>327</w:t>
            </w:r>
          </w:p>
        </w:tc>
      </w:tr>
      <w:tr w:rsidR="00162CE2" w:rsidRPr="002606DB" w14:paraId="58E01444" w14:textId="77777777" w:rsidTr="00A17BC8">
        <w:trPr>
          <w:cantSplit/>
        </w:trPr>
        <w:tc>
          <w:tcPr>
            <w:tcW w:w="3656" w:type="dxa"/>
            <w:tcBorders>
              <w:top w:val="single" w:sz="6" w:space="0" w:color="000000"/>
              <w:bottom w:val="nil"/>
            </w:tcBorders>
          </w:tcPr>
          <w:p w14:paraId="1AF0A7A1"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Sobrevivência livre de progressão</w:t>
            </w:r>
          </w:p>
        </w:tc>
        <w:tc>
          <w:tcPr>
            <w:tcW w:w="3104" w:type="dxa"/>
            <w:tcBorders>
              <w:bottom w:val="nil"/>
              <w:right w:val="nil"/>
            </w:tcBorders>
          </w:tcPr>
          <w:p w14:paraId="1D5B8DBA" w14:textId="77777777" w:rsidR="00162CE2" w:rsidRPr="002606DB" w:rsidRDefault="00162CE2" w:rsidP="00A17BC8">
            <w:pPr>
              <w:pStyle w:val="TableParagraph"/>
              <w:adjustRightInd w:val="0"/>
              <w:snapToGrid w:val="0"/>
              <w:jc w:val="center"/>
              <w:rPr>
                <w:snapToGrid w:val="0"/>
                <w:sz w:val="20"/>
                <w:lang w:val="pt-PT"/>
              </w:rPr>
            </w:pPr>
          </w:p>
        </w:tc>
        <w:tc>
          <w:tcPr>
            <w:tcW w:w="2536" w:type="dxa"/>
            <w:gridSpan w:val="2"/>
            <w:tcBorders>
              <w:left w:val="nil"/>
              <w:bottom w:val="nil"/>
            </w:tcBorders>
          </w:tcPr>
          <w:p w14:paraId="5C58E1EC" w14:textId="77777777" w:rsidR="00162CE2" w:rsidRPr="002606DB" w:rsidRDefault="00162CE2" w:rsidP="00A17BC8">
            <w:pPr>
              <w:pStyle w:val="TableParagraph"/>
              <w:adjustRightInd w:val="0"/>
              <w:snapToGrid w:val="0"/>
              <w:jc w:val="center"/>
              <w:rPr>
                <w:snapToGrid w:val="0"/>
                <w:sz w:val="20"/>
                <w:lang w:val="pt-PT"/>
              </w:rPr>
            </w:pPr>
          </w:p>
        </w:tc>
      </w:tr>
      <w:tr w:rsidR="00162CE2" w:rsidRPr="002606DB" w14:paraId="6235FCCB" w14:textId="77777777" w:rsidTr="00A17BC8">
        <w:trPr>
          <w:cantSplit/>
        </w:trPr>
        <w:tc>
          <w:tcPr>
            <w:tcW w:w="3656" w:type="dxa"/>
            <w:tcBorders>
              <w:top w:val="nil"/>
              <w:bottom w:val="nil"/>
            </w:tcBorders>
          </w:tcPr>
          <w:p w14:paraId="2776665F" w14:textId="77777777" w:rsidR="00162CE2" w:rsidRPr="002606DB" w:rsidRDefault="00162CE2" w:rsidP="007267C3">
            <w:pPr>
              <w:pStyle w:val="TableParagraph"/>
              <w:adjustRightInd w:val="0"/>
              <w:snapToGrid w:val="0"/>
              <w:rPr>
                <w:snapToGrid w:val="0"/>
                <w:sz w:val="20"/>
                <w:lang w:val="pt-PT"/>
              </w:rPr>
            </w:pPr>
            <w:r w:rsidRPr="002606DB">
              <w:rPr>
                <w:snapToGrid w:val="0"/>
                <w:sz w:val="20"/>
                <w:lang w:val="pt-PT"/>
              </w:rPr>
              <w:t>Mediana (meses)</w:t>
            </w:r>
          </w:p>
        </w:tc>
        <w:tc>
          <w:tcPr>
            <w:tcW w:w="3104" w:type="dxa"/>
            <w:tcBorders>
              <w:top w:val="nil"/>
              <w:bottom w:val="nil"/>
              <w:right w:val="nil"/>
            </w:tcBorders>
          </w:tcPr>
          <w:p w14:paraId="0442130C" w14:textId="77777777"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5,4</w:t>
            </w:r>
          </w:p>
        </w:tc>
        <w:tc>
          <w:tcPr>
            <w:tcW w:w="2536" w:type="dxa"/>
            <w:gridSpan w:val="2"/>
            <w:tcBorders>
              <w:top w:val="nil"/>
              <w:left w:val="nil"/>
              <w:bottom w:val="nil"/>
            </w:tcBorders>
          </w:tcPr>
          <w:p w14:paraId="75E1603D" w14:textId="228CF583"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10,2</w:t>
            </w:r>
          </w:p>
        </w:tc>
      </w:tr>
      <w:tr w:rsidR="00162CE2" w:rsidRPr="002606DB" w14:paraId="6AD6CDAA" w14:textId="77777777" w:rsidTr="00A17BC8">
        <w:trPr>
          <w:cantSplit/>
        </w:trPr>
        <w:tc>
          <w:tcPr>
            <w:tcW w:w="3656" w:type="dxa"/>
            <w:tcBorders>
              <w:top w:val="nil"/>
              <w:bottom w:val="single" w:sz="6" w:space="0" w:color="000000"/>
            </w:tcBorders>
          </w:tcPr>
          <w:p w14:paraId="4C2FE2AB" w14:textId="77777777" w:rsidR="00162CE2" w:rsidRPr="002606DB" w:rsidRDefault="00162CE2" w:rsidP="007267C3">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p>
          <w:p w14:paraId="78BC28B7" w14:textId="7287676C" w:rsidR="00162CE2" w:rsidRPr="002606DB" w:rsidRDefault="00162CE2" w:rsidP="007267C3">
            <w:pPr>
              <w:pStyle w:val="TableParagraph"/>
              <w:adjustRightInd w:val="0"/>
              <w:snapToGrid w:val="0"/>
              <w:rPr>
                <w:snapToGrid w:val="0"/>
                <w:sz w:val="20"/>
                <w:lang w:val="pt-PT"/>
              </w:rPr>
            </w:pPr>
            <w:r w:rsidRPr="002606DB">
              <w:rPr>
                <w:snapToGrid w:val="0"/>
                <w:sz w:val="20"/>
                <w:lang w:val="pt-PT"/>
              </w:rPr>
              <w:t>IC 95%</w:t>
            </w:r>
          </w:p>
        </w:tc>
        <w:tc>
          <w:tcPr>
            <w:tcW w:w="5640" w:type="dxa"/>
            <w:gridSpan w:val="3"/>
            <w:tcBorders>
              <w:top w:val="nil"/>
            </w:tcBorders>
          </w:tcPr>
          <w:p w14:paraId="6572F1C2" w14:textId="77777777" w:rsidR="00162CE2" w:rsidRPr="002606DB" w:rsidRDefault="00162CE2" w:rsidP="002044EB">
            <w:pPr>
              <w:pStyle w:val="TableParagraph"/>
              <w:adjustRightInd w:val="0"/>
              <w:snapToGrid w:val="0"/>
              <w:jc w:val="center"/>
              <w:rPr>
                <w:snapToGrid w:val="0"/>
                <w:sz w:val="20"/>
                <w:lang w:val="pt-PT"/>
              </w:rPr>
            </w:pPr>
            <w:r w:rsidRPr="002606DB">
              <w:rPr>
                <w:snapToGrid w:val="0"/>
                <w:sz w:val="20"/>
                <w:lang w:val="pt-PT"/>
              </w:rPr>
              <w:t>0,63</w:t>
            </w:r>
          </w:p>
          <w:p w14:paraId="05B1944B" w14:textId="77777777" w:rsidR="00162CE2" w:rsidRPr="002606DB" w:rsidRDefault="00162CE2" w:rsidP="002044EB">
            <w:pPr>
              <w:pStyle w:val="TableParagraph"/>
              <w:adjustRightInd w:val="0"/>
              <w:snapToGrid w:val="0"/>
              <w:jc w:val="center"/>
              <w:rPr>
                <w:snapToGrid w:val="0"/>
                <w:sz w:val="20"/>
                <w:lang w:val="pt-PT"/>
              </w:rPr>
            </w:pPr>
            <w:r w:rsidRPr="002606DB">
              <w:rPr>
                <w:snapToGrid w:val="0"/>
                <w:sz w:val="20"/>
                <w:lang w:val="pt-PT"/>
              </w:rPr>
              <w:t>0,52; 0,75</w:t>
            </w:r>
          </w:p>
          <w:p w14:paraId="067FAB2F" w14:textId="581EB3E3"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(valor de p &lt; 0,0001)</w:t>
            </w:r>
          </w:p>
        </w:tc>
      </w:tr>
      <w:tr w:rsidR="00162CE2" w:rsidRPr="00730741" w14:paraId="5EF39FB2" w14:textId="77777777" w:rsidTr="00A17BC8">
        <w:trPr>
          <w:cantSplit/>
        </w:trPr>
        <w:tc>
          <w:tcPr>
            <w:tcW w:w="3656" w:type="dxa"/>
            <w:tcBorders>
              <w:top w:val="single" w:sz="6" w:space="0" w:color="000000"/>
              <w:bottom w:val="nil"/>
              <w:right w:val="single" w:sz="6" w:space="0" w:color="000000"/>
            </w:tcBorders>
          </w:tcPr>
          <w:p w14:paraId="4D9CE5AF"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Taxa de resposta objetiva (%) em doentes com doença mensurável</w:t>
            </w:r>
          </w:p>
        </w:tc>
        <w:tc>
          <w:tcPr>
            <w:tcW w:w="3104" w:type="dxa"/>
            <w:tcBorders>
              <w:left w:val="single" w:sz="6" w:space="0" w:color="000000"/>
              <w:bottom w:val="nil"/>
              <w:right w:val="nil"/>
            </w:tcBorders>
          </w:tcPr>
          <w:p w14:paraId="17244611" w14:textId="77777777" w:rsidR="00162CE2" w:rsidRPr="002606DB" w:rsidRDefault="00162CE2" w:rsidP="00A17BC8">
            <w:pPr>
              <w:pStyle w:val="TableParagraph"/>
              <w:adjustRightInd w:val="0"/>
              <w:snapToGrid w:val="0"/>
              <w:jc w:val="center"/>
              <w:rPr>
                <w:snapToGrid w:val="0"/>
                <w:sz w:val="20"/>
                <w:lang w:val="pt-PT"/>
              </w:rPr>
            </w:pPr>
          </w:p>
        </w:tc>
        <w:tc>
          <w:tcPr>
            <w:tcW w:w="2536" w:type="dxa"/>
            <w:gridSpan w:val="2"/>
            <w:tcBorders>
              <w:left w:val="nil"/>
              <w:bottom w:val="nil"/>
            </w:tcBorders>
          </w:tcPr>
          <w:p w14:paraId="65A0A555" w14:textId="77777777" w:rsidR="00162CE2" w:rsidRPr="002606DB" w:rsidRDefault="00162CE2" w:rsidP="00A17BC8">
            <w:pPr>
              <w:pStyle w:val="TableParagraph"/>
              <w:adjustRightInd w:val="0"/>
              <w:snapToGrid w:val="0"/>
              <w:jc w:val="center"/>
              <w:rPr>
                <w:snapToGrid w:val="0"/>
                <w:sz w:val="20"/>
                <w:lang w:val="pt-PT"/>
              </w:rPr>
            </w:pPr>
          </w:p>
        </w:tc>
      </w:tr>
      <w:tr w:rsidR="00162CE2" w:rsidRPr="002606DB" w14:paraId="7CCE59FE" w14:textId="77777777" w:rsidTr="00A17BC8">
        <w:trPr>
          <w:cantSplit/>
        </w:trPr>
        <w:tc>
          <w:tcPr>
            <w:tcW w:w="3656" w:type="dxa"/>
            <w:tcBorders>
              <w:top w:val="nil"/>
              <w:bottom w:val="nil"/>
            </w:tcBorders>
          </w:tcPr>
          <w:p w14:paraId="43424622" w14:textId="77777777" w:rsidR="00162CE2" w:rsidRPr="002606DB" w:rsidRDefault="00162CE2" w:rsidP="007267C3">
            <w:pPr>
              <w:pStyle w:val="TableParagraph"/>
              <w:adjustRightInd w:val="0"/>
              <w:snapToGrid w:val="0"/>
              <w:rPr>
                <w:snapToGrid w:val="0"/>
                <w:sz w:val="20"/>
                <w:lang w:val="pt-PT"/>
              </w:rPr>
            </w:pPr>
            <w:r w:rsidRPr="002606DB">
              <w:rPr>
                <w:snapToGrid w:val="0"/>
                <w:sz w:val="20"/>
                <w:lang w:val="pt-PT"/>
              </w:rPr>
              <w:t>n</w:t>
            </w:r>
          </w:p>
        </w:tc>
        <w:tc>
          <w:tcPr>
            <w:tcW w:w="3104" w:type="dxa"/>
            <w:tcBorders>
              <w:top w:val="nil"/>
              <w:bottom w:val="nil"/>
              <w:right w:val="nil"/>
            </w:tcBorders>
          </w:tcPr>
          <w:p w14:paraId="6089515A" w14:textId="77777777"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289</w:t>
            </w:r>
          </w:p>
        </w:tc>
        <w:tc>
          <w:tcPr>
            <w:tcW w:w="2536" w:type="dxa"/>
            <w:gridSpan w:val="2"/>
            <w:tcBorders>
              <w:top w:val="nil"/>
              <w:left w:val="nil"/>
              <w:bottom w:val="nil"/>
            </w:tcBorders>
          </w:tcPr>
          <w:p w14:paraId="0F02E315" w14:textId="2CE7F4BE"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306</w:t>
            </w:r>
          </w:p>
        </w:tc>
      </w:tr>
      <w:tr w:rsidR="00162CE2" w:rsidRPr="002606DB" w14:paraId="675A723A" w14:textId="77777777" w:rsidTr="00A17BC8">
        <w:trPr>
          <w:cantSplit/>
        </w:trPr>
        <w:tc>
          <w:tcPr>
            <w:tcW w:w="3656" w:type="dxa"/>
            <w:tcBorders>
              <w:top w:val="nil"/>
              <w:bottom w:val="nil"/>
            </w:tcBorders>
          </w:tcPr>
          <w:p w14:paraId="135F5C6A" w14:textId="77777777" w:rsidR="00162CE2" w:rsidRPr="002606DB" w:rsidRDefault="00162CE2" w:rsidP="007267C3">
            <w:pPr>
              <w:pStyle w:val="TableParagraph"/>
              <w:adjustRightInd w:val="0"/>
              <w:snapToGrid w:val="0"/>
              <w:rPr>
                <w:snapToGrid w:val="0"/>
                <w:sz w:val="20"/>
                <w:lang w:val="pt-PT"/>
              </w:rPr>
            </w:pPr>
            <w:r w:rsidRPr="002606DB">
              <w:rPr>
                <w:snapToGrid w:val="0"/>
                <w:sz w:val="20"/>
                <w:lang w:val="pt-PT"/>
              </w:rPr>
              <w:t>Taxa de resposta</w:t>
            </w:r>
          </w:p>
        </w:tc>
        <w:tc>
          <w:tcPr>
            <w:tcW w:w="3104" w:type="dxa"/>
            <w:tcBorders>
              <w:top w:val="nil"/>
              <w:bottom w:val="nil"/>
              <w:right w:val="nil"/>
            </w:tcBorders>
          </w:tcPr>
          <w:p w14:paraId="4C68FACA" w14:textId="77777777"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12,8%</w:t>
            </w:r>
          </w:p>
        </w:tc>
        <w:tc>
          <w:tcPr>
            <w:tcW w:w="2536" w:type="dxa"/>
            <w:gridSpan w:val="2"/>
            <w:tcBorders>
              <w:top w:val="nil"/>
              <w:left w:val="nil"/>
              <w:bottom w:val="nil"/>
            </w:tcBorders>
          </w:tcPr>
          <w:p w14:paraId="7269FEA2" w14:textId="59A4D85E"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31,4%</w:t>
            </w:r>
          </w:p>
        </w:tc>
      </w:tr>
      <w:tr w:rsidR="00162CE2" w:rsidRPr="002606DB" w14:paraId="553D2E2C" w14:textId="77777777" w:rsidTr="00A17BC8">
        <w:trPr>
          <w:cantSplit/>
        </w:trPr>
        <w:tc>
          <w:tcPr>
            <w:tcW w:w="3656" w:type="dxa"/>
            <w:tcBorders>
              <w:top w:val="nil"/>
            </w:tcBorders>
          </w:tcPr>
          <w:p w14:paraId="13DD1222" w14:textId="77777777" w:rsidR="00162CE2" w:rsidRPr="002606DB" w:rsidRDefault="00162CE2" w:rsidP="00056F35">
            <w:pPr>
              <w:pStyle w:val="TableParagraph"/>
              <w:adjustRightInd w:val="0"/>
              <w:snapToGrid w:val="0"/>
              <w:rPr>
                <w:snapToGrid w:val="0"/>
                <w:sz w:val="20"/>
                <w:lang w:val="pt-PT"/>
              </w:rPr>
            </w:pPr>
          </w:p>
        </w:tc>
        <w:tc>
          <w:tcPr>
            <w:tcW w:w="5640" w:type="dxa"/>
            <w:gridSpan w:val="3"/>
            <w:tcBorders>
              <w:top w:val="nil"/>
            </w:tcBorders>
          </w:tcPr>
          <w:p w14:paraId="230D6DE2" w14:textId="240D6298"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(valor de p &lt; 0,0001)</w:t>
            </w:r>
          </w:p>
        </w:tc>
      </w:tr>
      <w:tr w:rsidR="00162CE2" w:rsidRPr="002606DB" w14:paraId="0E0DFF3E" w14:textId="77777777" w:rsidTr="00A17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56" w:type="dxa"/>
            <w:tcBorders>
              <w:top w:val="single" w:sz="4" w:space="0" w:color="000000"/>
              <w:left w:val="single" w:sz="4" w:space="0" w:color="000000"/>
              <w:right w:val="single" w:sz="4" w:space="0" w:color="000000"/>
            </w:tcBorders>
          </w:tcPr>
          <w:p w14:paraId="27213B3B" w14:textId="77777777" w:rsidR="00162CE2" w:rsidRPr="002606DB" w:rsidRDefault="00162CE2" w:rsidP="00A17BC8">
            <w:pPr>
              <w:pStyle w:val="TableParagraph"/>
              <w:adjustRightInd w:val="0"/>
              <w:snapToGrid w:val="0"/>
              <w:rPr>
                <w:snapToGrid w:val="0"/>
                <w:sz w:val="20"/>
                <w:lang w:val="pt-PT"/>
              </w:rPr>
            </w:pPr>
            <w:r w:rsidRPr="002606DB">
              <w:rPr>
                <w:snapToGrid w:val="0"/>
                <w:sz w:val="20"/>
                <w:lang w:val="pt-PT"/>
              </w:rPr>
              <w:t>Sobrevivência global</w:t>
            </w:r>
          </w:p>
        </w:tc>
        <w:tc>
          <w:tcPr>
            <w:tcW w:w="4285" w:type="dxa"/>
            <w:gridSpan w:val="2"/>
            <w:tcBorders>
              <w:top w:val="single" w:sz="4" w:space="0" w:color="000000"/>
              <w:left w:val="single" w:sz="4" w:space="0" w:color="000000"/>
            </w:tcBorders>
          </w:tcPr>
          <w:p w14:paraId="40EA19D4" w14:textId="77777777" w:rsidR="00162CE2" w:rsidRPr="002606DB" w:rsidRDefault="00162CE2" w:rsidP="00A17BC8">
            <w:pPr>
              <w:pStyle w:val="TableParagraph"/>
              <w:adjustRightInd w:val="0"/>
              <w:snapToGrid w:val="0"/>
              <w:jc w:val="center"/>
              <w:rPr>
                <w:snapToGrid w:val="0"/>
                <w:sz w:val="20"/>
                <w:lang w:val="pt-PT"/>
              </w:rPr>
            </w:pPr>
          </w:p>
        </w:tc>
        <w:tc>
          <w:tcPr>
            <w:tcW w:w="1329" w:type="dxa"/>
            <w:tcBorders>
              <w:top w:val="single" w:sz="4" w:space="0" w:color="000000"/>
              <w:right w:val="single" w:sz="4" w:space="0" w:color="000000"/>
            </w:tcBorders>
          </w:tcPr>
          <w:p w14:paraId="6FEDBA39" w14:textId="77777777" w:rsidR="00162CE2" w:rsidRPr="002606DB" w:rsidRDefault="00162CE2" w:rsidP="00A17BC8">
            <w:pPr>
              <w:pStyle w:val="TableParagraph"/>
              <w:adjustRightInd w:val="0"/>
              <w:snapToGrid w:val="0"/>
              <w:jc w:val="center"/>
              <w:rPr>
                <w:snapToGrid w:val="0"/>
                <w:sz w:val="20"/>
                <w:lang w:val="pt-PT"/>
              </w:rPr>
            </w:pPr>
          </w:p>
        </w:tc>
      </w:tr>
      <w:tr w:rsidR="00162CE2" w:rsidRPr="002606DB" w14:paraId="739AD200" w14:textId="77777777" w:rsidTr="00A17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56" w:type="dxa"/>
            <w:tcBorders>
              <w:left w:val="single" w:sz="4" w:space="0" w:color="000000"/>
              <w:right w:val="single" w:sz="4" w:space="0" w:color="000000"/>
            </w:tcBorders>
          </w:tcPr>
          <w:p w14:paraId="4A059B9B" w14:textId="77777777" w:rsidR="00162CE2" w:rsidRPr="002606DB" w:rsidRDefault="00162CE2" w:rsidP="007267C3">
            <w:pPr>
              <w:pStyle w:val="TableParagraph"/>
              <w:adjustRightInd w:val="0"/>
              <w:snapToGrid w:val="0"/>
              <w:rPr>
                <w:snapToGrid w:val="0"/>
                <w:sz w:val="20"/>
                <w:lang w:val="pt-PT"/>
              </w:rPr>
            </w:pPr>
            <w:r w:rsidRPr="002606DB">
              <w:rPr>
                <w:snapToGrid w:val="0"/>
                <w:sz w:val="20"/>
                <w:lang w:val="pt-PT"/>
              </w:rPr>
              <w:t>Mediana (meses)</w:t>
            </w:r>
          </w:p>
        </w:tc>
        <w:tc>
          <w:tcPr>
            <w:tcW w:w="4285" w:type="dxa"/>
            <w:gridSpan w:val="2"/>
            <w:tcBorders>
              <w:left w:val="single" w:sz="4" w:space="0" w:color="000000"/>
            </w:tcBorders>
          </w:tcPr>
          <w:p w14:paraId="542F57FB" w14:textId="77777777"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21,3</w:t>
            </w:r>
          </w:p>
        </w:tc>
        <w:tc>
          <w:tcPr>
            <w:tcW w:w="1329" w:type="dxa"/>
            <w:tcBorders>
              <w:right w:val="single" w:sz="4" w:space="0" w:color="000000"/>
            </w:tcBorders>
          </w:tcPr>
          <w:p w14:paraId="374F2DBF" w14:textId="308C2FE5" w:rsidR="00162CE2" w:rsidRPr="002606DB" w:rsidRDefault="00162CE2" w:rsidP="00A17BC8">
            <w:pPr>
              <w:pStyle w:val="TableParagraph"/>
              <w:adjustRightInd w:val="0"/>
              <w:snapToGrid w:val="0"/>
              <w:jc w:val="center"/>
              <w:rPr>
                <w:snapToGrid w:val="0"/>
                <w:sz w:val="20"/>
                <w:lang w:val="pt-PT"/>
              </w:rPr>
            </w:pPr>
            <w:r w:rsidRPr="002606DB">
              <w:rPr>
                <w:snapToGrid w:val="0"/>
                <w:sz w:val="20"/>
                <w:lang w:val="pt-PT"/>
              </w:rPr>
              <w:t>23,3</w:t>
            </w:r>
          </w:p>
        </w:tc>
      </w:tr>
      <w:tr w:rsidR="00162CE2" w:rsidRPr="002606DB" w14:paraId="043FD981" w14:textId="77777777" w:rsidTr="00C50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56" w:type="dxa"/>
            <w:tcBorders>
              <w:left w:val="single" w:sz="4" w:space="0" w:color="000000"/>
              <w:bottom w:val="single" w:sz="4" w:space="0" w:color="000000"/>
              <w:right w:val="single" w:sz="4" w:space="0" w:color="000000"/>
            </w:tcBorders>
          </w:tcPr>
          <w:p w14:paraId="15772D22" w14:textId="77777777" w:rsidR="00162CE2" w:rsidRPr="002606DB" w:rsidRDefault="00162CE2" w:rsidP="007267C3">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p>
          <w:p w14:paraId="005C9600" w14:textId="245634F7" w:rsidR="00162CE2" w:rsidRPr="002606DB" w:rsidRDefault="00162CE2" w:rsidP="007267C3">
            <w:pPr>
              <w:pStyle w:val="TableParagraph"/>
              <w:adjustRightInd w:val="0"/>
              <w:snapToGrid w:val="0"/>
              <w:rPr>
                <w:snapToGrid w:val="0"/>
                <w:sz w:val="20"/>
                <w:lang w:val="pt-PT"/>
              </w:rPr>
            </w:pPr>
            <w:r w:rsidRPr="002606DB">
              <w:rPr>
                <w:snapToGrid w:val="0"/>
                <w:sz w:val="20"/>
                <w:lang w:val="pt-PT"/>
              </w:rPr>
              <w:t>IC 95%</w:t>
            </w:r>
          </w:p>
        </w:tc>
        <w:tc>
          <w:tcPr>
            <w:tcW w:w="5614" w:type="dxa"/>
            <w:gridSpan w:val="3"/>
            <w:tcBorders>
              <w:left w:val="single" w:sz="4" w:space="0" w:color="000000"/>
              <w:bottom w:val="single" w:sz="4" w:space="0" w:color="000000"/>
              <w:right w:val="single" w:sz="4" w:space="0" w:color="000000"/>
            </w:tcBorders>
          </w:tcPr>
          <w:p w14:paraId="7AF329D4" w14:textId="77777777" w:rsidR="00162CE2" w:rsidRPr="002606DB" w:rsidRDefault="00162CE2" w:rsidP="002044EB">
            <w:pPr>
              <w:pStyle w:val="TableParagraph"/>
              <w:adjustRightInd w:val="0"/>
              <w:snapToGrid w:val="0"/>
              <w:jc w:val="center"/>
              <w:rPr>
                <w:snapToGrid w:val="0"/>
                <w:sz w:val="20"/>
                <w:lang w:val="pt-PT"/>
              </w:rPr>
            </w:pPr>
            <w:r w:rsidRPr="002606DB">
              <w:rPr>
                <w:snapToGrid w:val="0"/>
                <w:sz w:val="20"/>
                <w:lang w:val="pt-PT"/>
              </w:rPr>
              <w:t>0,91</w:t>
            </w:r>
          </w:p>
          <w:p w14:paraId="5D98B42F" w14:textId="77777777" w:rsidR="00162CE2" w:rsidRPr="002606DB" w:rsidRDefault="00162CE2" w:rsidP="002044EB">
            <w:pPr>
              <w:pStyle w:val="TableParagraph"/>
              <w:adjustRightInd w:val="0"/>
              <w:snapToGrid w:val="0"/>
              <w:jc w:val="center"/>
              <w:rPr>
                <w:snapToGrid w:val="0"/>
                <w:sz w:val="20"/>
                <w:lang w:val="pt-PT"/>
              </w:rPr>
            </w:pPr>
            <w:r w:rsidRPr="002606DB">
              <w:rPr>
                <w:snapToGrid w:val="0"/>
                <w:sz w:val="20"/>
                <w:lang w:val="pt-PT"/>
              </w:rPr>
              <w:t>0,76; 1,10</w:t>
            </w:r>
          </w:p>
          <w:p w14:paraId="46C164AB" w14:textId="2D07C07E" w:rsidR="00162CE2" w:rsidRPr="002606DB" w:rsidRDefault="00B14A1F" w:rsidP="00A17BC8">
            <w:pPr>
              <w:pStyle w:val="TableParagraph"/>
              <w:adjustRightInd w:val="0"/>
              <w:snapToGrid w:val="0"/>
              <w:jc w:val="center"/>
              <w:rPr>
                <w:snapToGrid w:val="0"/>
                <w:sz w:val="20"/>
                <w:lang w:val="pt-PT"/>
              </w:rPr>
            </w:pPr>
            <w:r>
              <w:rPr>
                <w:snapToGrid w:val="0"/>
                <w:sz w:val="20"/>
                <w:lang w:val="pt-PT"/>
              </w:rPr>
              <w:t>spi</w:t>
            </w:r>
            <w:r w:rsidR="00162CE2" w:rsidRPr="002606DB">
              <w:rPr>
                <w:snapToGrid w:val="0"/>
                <w:sz w:val="20"/>
                <w:lang w:val="pt-PT"/>
              </w:rPr>
              <w:t>(valor de p 0,3360)</w:t>
            </w:r>
          </w:p>
        </w:tc>
      </w:tr>
    </w:tbl>
    <w:p w14:paraId="2087D420" w14:textId="5B3BF326" w:rsidR="00162CE2" w:rsidRPr="002606DB" w:rsidRDefault="00162CE2" w:rsidP="00A17BC8">
      <w:pPr>
        <w:pStyle w:val="TableParagraph"/>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Interferão alfa</w:t>
      </w:r>
      <w:r w:rsidR="00D65CC2" w:rsidRPr="002606DB">
        <w:rPr>
          <w:snapToGrid w:val="0"/>
          <w:sz w:val="18"/>
          <w:szCs w:val="18"/>
          <w:lang w:val="pt-PT"/>
        </w:rPr>
        <w:noBreakHyphen/>
      </w:r>
      <w:r w:rsidRPr="002606DB">
        <w:rPr>
          <w:snapToGrid w:val="0"/>
          <w:sz w:val="18"/>
          <w:szCs w:val="18"/>
          <w:lang w:val="pt-PT"/>
        </w:rPr>
        <w:t>2a, 9 MUI 3x/semana</w:t>
      </w:r>
    </w:p>
    <w:p w14:paraId="15E19430" w14:textId="25EBD531" w:rsidR="00162CE2" w:rsidRPr="002606DB" w:rsidRDefault="00162CE2" w:rsidP="00A17BC8">
      <w:pPr>
        <w:pStyle w:val="a3"/>
        <w:adjustRightInd w:val="0"/>
        <w:snapToGrid w:val="0"/>
        <w:rPr>
          <w:snapToGrid w:val="0"/>
          <w:sz w:val="18"/>
          <w:szCs w:val="18"/>
          <w:lang w:val="pt-PT"/>
        </w:rPr>
      </w:pPr>
      <w:r w:rsidRPr="002606DB">
        <w:rPr>
          <w:snapToGrid w:val="0"/>
          <w:sz w:val="18"/>
          <w:szCs w:val="18"/>
          <w:vertAlign w:val="superscript"/>
          <w:lang w:val="pt-PT"/>
        </w:rPr>
        <w:t>b</w:t>
      </w:r>
      <w:r w:rsidRPr="002606DB">
        <w:rPr>
          <w:snapToGrid w:val="0"/>
          <w:sz w:val="18"/>
          <w:szCs w:val="18"/>
          <w:lang w:val="pt-PT"/>
        </w:rPr>
        <w:t xml:space="preserve"> Bevacizumab 10 mg/kg cada 2 semanas</w:t>
      </w:r>
    </w:p>
    <w:p w14:paraId="09FEB0A2" w14:textId="77777777" w:rsidR="00162CE2" w:rsidRPr="002606DB" w:rsidRDefault="00162CE2" w:rsidP="00A17BC8">
      <w:pPr>
        <w:pStyle w:val="a3"/>
        <w:adjustRightInd w:val="0"/>
        <w:snapToGrid w:val="0"/>
        <w:rPr>
          <w:b/>
          <w:snapToGrid w:val="0"/>
          <w:lang w:val="pt-PT"/>
        </w:rPr>
      </w:pPr>
    </w:p>
    <w:p w14:paraId="0ACAFD5D" w14:textId="094F71E9" w:rsidR="00162CE2" w:rsidRPr="002606DB" w:rsidRDefault="00162CE2" w:rsidP="007267C3">
      <w:pPr>
        <w:pStyle w:val="a3"/>
        <w:keepNext/>
        <w:keepLines/>
        <w:widowControl/>
        <w:adjustRightInd w:val="0"/>
        <w:snapToGrid w:val="0"/>
        <w:rPr>
          <w:snapToGrid w:val="0"/>
          <w:lang w:val="pt-PT"/>
        </w:rPr>
      </w:pPr>
      <w:r w:rsidRPr="002606DB">
        <w:rPr>
          <w:snapToGrid w:val="0"/>
          <w:lang w:val="pt-PT"/>
        </w:rPr>
        <w:lastRenderedPageBreak/>
        <w:t>Um modelo exploratório de regressão de Cox multivariada, utilizando uma sele</w:t>
      </w:r>
      <w:r w:rsidR="00836F41">
        <w:rPr>
          <w:snapToGrid w:val="0"/>
          <w:lang w:val="pt-PT"/>
        </w:rPr>
        <w:t>ç</w:t>
      </w:r>
      <w:r w:rsidRPr="002606DB">
        <w:rPr>
          <w:snapToGrid w:val="0"/>
          <w:lang w:val="pt-PT"/>
        </w:rPr>
        <w:t xml:space="preserve">ão retrospetiva, indicou que os seguintes fatores de prognóstico iniciais estavam fortemente associados a sobrevivência independente do tratamento: género, contagem de glóbulos brancos, plaquetas, perda de peso corporal nos 6 meses antes da entrada no ensaio, número de locais metastizados, soma do maior diâmetro das lesões alvo, pontuação de Motzer. O ajuste para estes fatores iniciais resultou num hazard ratio para o tratamento de 0,78 (IC 95% [0,63;0,96], p = 0,0219), indicando uma redução de 22% no risco de morte dos doentes no </w:t>
      </w:r>
      <w:r w:rsidR="00B72472">
        <w:rPr>
          <w:snapToGrid w:val="0"/>
          <w:lang w:val="pt-PT"/>
        </w:rPr>
        <w:t>grupo</w:t>
      </w:r>
      <w:r w:rsidRPr="002606DB">
        <w:rPr>
          <w:snapToGrid w:val="0"/>
          <w:lang w:val="pt-PT"/>
        </w:rPr>
        <w:t xml:space="preserve"> </w:t>
      </w:r>
      <w:r w:rsidRPr="007155C0">
        <w:rPr>
          <w:color w:val="000000"/>
          <w:lang w:val="pt-PT"/>
        </w:rPr>
        <w:t xml:space="preserve">bevacizumab </w:t>
      </w:r>
      <w:r w:rsidRPr="002606DB">
        <w:rPr>
          <w:snapToGrid w:val="0"/>
          <w:lang w:val="pt-PT"/>
        </w:rPr>
        <w:t>+ IFN alfa</w:t>
      </w:r>
      <w:r w:rsidR="00D65CC2" w:rsidRPr="002606DB">
        <w:rPr>
          <w:snapToGrid w:val="0"/>
          <w:lang w:val="pt-PT"/>
        </w:rPr>
        <w:noBreakHyphen/>
      </w:r>
      <w:r w:rsidRPr="002606DB">
        <w:rPr>
          <w:snapToGrid w:val="0"/>
          <w:lang w:val="pt-PT"/>
        </w:rPr>
        <w:t xml:space="preserve">2a comparativamente ao </w:t>
      </w:r>
      <w:r w:rsidR="00B72472">
        <w:rPr>
          <w:snapToGrid w:val="0"/>
          <w:lang w:val="pt-PT"/>
        </w:rPr>
        <w:t>grupo</w:t>
      </w:r>
      <w:r w:rsidRPr="002606DB">
        <w:rPr>
          <w:snapToGrid w:val="0"/>
          <w:lang w:val="pt-PT"/>
        </w:rPr>
        <w:t xml:space="preserve"> IFN alfa</w:t>
      </w:r>
      <w:r w:rsidR="00D65CC2" w:rsidRPr="002606DB">
        <w:rPr>
          <w:snapToGrid w:val="0"/>
          <w:lang w:val="pt-PT"/>
        </w:rPr>
        <w:noBreakHyphen/>
      </w:r>
      <w:r w:rsidRPr="002606DB">
        <w:rPr>
          <w:snapToGrid w:val="0"/>
          <w:lang w:val="pt-PT"/>
        </w:rPr>
        <w:t>2a.</w:t>
      </w:r>
    </w:p>
    <w:p w14:paraId="28668957" w14:textId="77777777" w:rsidR="00162CE2" w:rsidRPr="002606DB" w:rsidRDefault="00162CE2" w:rsidP="00056F35">
      <w:pPr>
        <w:pStyle w:val="a3"/>
        <w:adjustRightInd w:val="0"/>
        <w:snapToGrid w:val="0"/>
        <w:rPr>
          <w:snapToGrid w:val="0"/>
          <w:lang w:val="pt-PT"/>
        </w:rPr>
      </w:pPr>
    </w:p>
    <w:p w14:paraId="00AF9D0F" w14:textId="6CFA9EF0" w:rsidR="00162CE2" w:rsidRPr="002606DB" w:rsidRDefault="00162CE2" w:rsidP="00530675">
      <w:pPr>
        <w:pStyle w:val="a3"/>
        <w:adjustRightInd w:val="0"/>
        <w:snapToGrid w:val="0"/>
        <w:rPr>
          <w:snapToGrid w:val="0"/>
          <w:lang w:val="pt-PT"/>
        </w:rPr>
      </w:pPr>
      <w:r w:rsidRPr="002606DB">
        <w:rPr>
          <w:snapToGrid w:val="0"/>
          <w:lang w:val="pt-PT"/>
        </w:rPr>
        <w:t xml:space="preserve">Noventa e sete (97) doentes no </w:t>
      </w:r>
      <w:r w:rsidR="00B72472">
        <w:rPr>
          <w:snapToGrid w:val="0"/>
          <w:lang w:val="pt-PT"/>
        </w:rPr>
        <w:t>grupo</w:t>
      </w:r>
      <w:r w:rsidRPr="002606DB">
        <w:rPr>
          <w:snapToGrid w:val="0"/>
          <w:lang w:val="pt-PT"/>
        </w:rPr>
        <w:t xml:space="preserve"> IFN alfa</w:t>
      </w:r>
      <w:r w:rsidR="00D65CC2" w:rsidRPr="002606DB">
        <w:rPr>
          <w:snapToGrid w:val="0"/>
          <w:lang w:val="pt-PT"/>
        </w:rPr>
        <w:noBreakHyphen/>
      </w:r>
      <w:r w:rsidRPr="002606DB">
        <w:rPr>
          <w:snapToGrid w:val="0"/>
          <w:lang w:val="pt-PT"/>
        </w:rPr>
        <w:t xml:space="preserve">2a e 131 doentes no </w:t>
      </w:r>
      <w:r w:rsidR="00B72472">
        <w:rPr>
          <w:snapToGrid w:val="0"/>
          <w:lang w:val="pt-PT"/>
        </w:rPr>
        <w:t>grupo</w:t>
      </w:r>
      <w:r w:rsidRPr="002606DB">
        <w:rPr>
          <w:snapToGrid w:val="0"/>
          <w:lang w:val="pt-PT"/>
        </w:rPr>
        <w:t xml:space="preserve"> </w:t>
      </w:r>
      <w:r w:rsidRPr="007155C0">
        <w:rPr>
          <w:color w:val="000000"/>
          <w:lang w:val="pt-PT"/>
        </w:rPr>
        <w:t xml:space="preserve">bevacizumab </w:t>
      </w:r>
      <w:r w:rsidRPr="002606DB">
        <w:rPr>
          <w:snapToGrid w:val="0"/>
          <w:lang w:val="pt-PT"/>
        </w:rPr>
        <w:t>reduziram a dose de IFN alfa</w:t>
      </w:r>
      <w:r w:rsidR="00D65CC2" w:rsidRPr="002606DB">
        <w:rPr>
          <w:snapToGrid w:val="0"/>
          <w:lang w:val="pt-PT"/>
        </w:rPr>
        <w:noBreakHyphen/>
      </w:r>
      <w:r w:rsidRPr="002606DB">
        <w:rPr>
          <w:snapToGrid w:val="0"/>
          <w:lang w:val="pt-PT"/>
        </w:rPr>
        <w:t>2a, administrado três vezes por semana, de 9 MUI para 6 ou 3 MUI tal como pré</w:t>
      </w:r>
      <w:r w:rsidR="00D65CC2" w:rsidRPr="002606DB">
        <w:rPr>
          <w:snapToGrid w:val="0"/>
          <w:lang w:val="pt-PT"/>
        </w:rPr>
        <w:noBreakHyphen/>
      </w:r>
      <w:r w:rsidRPr="002606DB">
        <w:rPr>
          <w:snapToGrid w:val="0"/>
          <w:lang w:val="pt-PT"/>
        </w:rPr>
        <w:t>especificado no protocolo. Com base nas taxas de PFS livre de acontecimentos ao longo do tempo, a redução de dose de IFN alfa</w:t>
      </w:r>
      <w:r w:rsidR="00D65CC2" w:rsidRPr="002606DB">
        <w:rPr>
          <w:snapToGrid w:val="0"/>
          <w:lang w:val="pt-PT"/>
        </w:rPr>
        <w:noBreakHyphen/>
      </w:r>
      <w:r w:rsidRPr="002606DB">
        <w:rPr>
          <w:snapToGrid w:val="0"/>
          <w:lang w:val="pt-PT"/>
        </w:rPr>
        <w:t xml:space="preserve">2a não pareceu afetar a eficácia da associação de </w:t>
      </w:r>
      <w:r w:rsidRPr="007155C0">
        <w:rPr>
          <w:color w:val="000000"/>
          <w:lang w:val="pt-PT"/>
        </w:rPr>
        <w:t xml:space="preserve">bevacizumab </w:t>
      </w:r>
      <w:r w:rsidRPr="002606DB">
        <w:rPr>
          <w:snapToGrid w:val="0"/>
          <w:lang w:val="pt-PT"/>
        </w:rPr>
        <w:t>e IFN alfa</w:t>
      </w:r>
      <w:r w:rsidR="00D65CC2" w:rsidRPr="002606DB">
        <w:rPr>
          <w:snapToGrid w:val="0"/>
          <w:lang w:val="pt-PT"/>
        </w:rPr>
        <w:noBreakHyphen/>
      </w:r>
      <w:r w:rsidRPr="002606DB">
        <w:rPr>
          <w:snapToGrid w:val="0"/>
          <w:lang w:val="pt-PT"/>
        </w:rPr>
        <w:t xml:space="preserve">2a, tal como demonstrado por análise de sub-grupo. Os 131 doentes no </w:t>
      </w:r>
      <w:r w:rsidR="00B72472">
        <w:rPr>
          <w:snapToGrid w:val="0"/>
          <w:lang w:val="pt-PT"/>
        </w:rPr>
        <w:t>grupo</w:t>
      </w:r>
      <w:r w:rsidRPr="002606DB">
        <w:rPr>
          <w:snapToGrid w:val="0"/>
          <w:lang w:val="pt-PT"/>
        </w:rPr>
        <w:t xml:space="preserve"> </w:t>
      </w:r>
      <w:r w:rsidRPr="007155C0">
        <w:rPr>
          <w:color w:val="000000"/>
          <w:lang w:val="pt-PT"/>
        </w:rPr>
        <w:t xml:space="preserve">bevacizumab </w:t>
      </w:r>
      <w:r w:rsidRPr="002606DB">
        <w:rPr>
          <w:snapToGrid w:val="0"/>
          <w:lang w:val="pt-PT"/>
        </w:rPr>
        <w:t>+ IFN alfa</w:t>
      </w:r>
      <w:r w:rsidR="00D65CC2" w:rsidRPr="002606DB">
        <w:rPr>
          <w:snapToGrid w:val="0"/>
          <w:lang w:val="pt-PT"/>
        </w:rPr>
        <w:noBreakHyphen/>
      </w:r>
      <w:r w:rsidRPr="002606DB">
        <w:rPr>
          <w:snapToGrid w:val="0"/>
          <w:lang w:val="pt-PT"/>
        </w:rPr>
        <w:t>2a que reduziram a dose de IFN alfa</w:t>
      </w:r>
      <w:r w:rsidR="00D65CC2" w:rsidRPr="002606DB">
        <w:rPr>
          <w:snapToGrid w:val="0"/>
          <w:lang w:val="pt-PT"/>
        </w:rPr>
        <w:noBreakHyphen/>
      </w:r>
      <w:r w:rsidRPr="002606DB">
        <w:rPr>
          <w:snapToGrid w:val="0"/>
          <w:lang w:val="pt-PT"/>
        </w:rPr>
        <w:t xml:space="preserve">2a e a mantiveram em 6 ou 3 MUI durante o ensaio exibiram taxas de PFS livre de acontecimentos, aos 6, 12 e 18 meses, de 73, 52 e 21% respetivamente, quando comparado com 61, 43 e 17% na população total de doentes tratados com </w:t>
      </w:r>
      <w:r w:rsidRPr="007155C0">
        <w:rPr>
          <w:color w:val="000000"/>
          <w:lang w:val="pt-PT"/>
        </w:rPr>
        <w:t>bevacizumab</w:t>
      </w:r>
      <w:r w:rsidRPr="002606DB">
        <w:rPr>
          <w:snapToGrid w:val="0"/>
          <w:lang w:val="pt-PT"/>
        </w:rPr>
        <w:t>+ IFN alfa</w:t>
      </w:r>
      <w:r w:rsidR="00D65CC2" w:rsidRPr="002606DB">
        <w:rPr>
          <w:snapToGrid w:val="0"/>
          <w:lang w:val="pt-PT"/>
        </w:rPr>
        <w:noBreakHyphen/>
      </w:r>
      <w:r w:rsidRPr="002606DB">
        <w:rPr>
          <w:snapToGrid w:val="0"/>
          <w:lang w:val="pt-PT"/>
        </w:rPr>
        <w:t>2a.</w:t>
      </w:r>
    </w:p>
    <w:p w14:paraId="6C2902BE" w14:textId="77777777" w:rsidR="00162CE2" w:rsidRPr="002606DB" w:rsidRDefault="00162CE2" w:rsidP="00056F35">
      <w:pPr>
        <w:pStyle w:val="a3"/>
        <w:adjustRightInd w:val="0"/>
        <w:snapToGrid w:val="0"/>
        <w:rPr>
          <w:snapToGrid w:val="0"/>
          <w:lang w:val="pt-PT"/>
        </w:rPr>
      </w:pPr>
    </w:p>
    <w:p w14:paraId="7C5B1900" w14:textId="77777777" w:rsidR="00162CE2" w:rsidRPr="002606DB" w:rsidRDefault="00162CE2" w:rsidP="00056F35">
      <w:pPr>
        <w:adjustRightInd w:val="0"/>
        <w:snapToGrid w:val="0"/>
        <w:rPr>
          <w:i/>
          <w:snapToGrid w:val="0"/>
          <w:lang w:val="pt-PT"/>
        </w:rPr>
      </w:pPr>
      <w:r w:rsidRPr="002606DB">
        <w:rPr>
          <w:i/>
          <w:snapToGrid w:val="0"/>
          <w:lang w:val="pt-PT"/>
        </w:rPr>
        <w:t>AVF2938</w:t>
      </w:r>
    </w:p>
    <w:p w14:paraId="4DDB029F" w14:textId="3DFC6458" w:rsidR="00162CE2" w:rsidRPr="002606DB" w:rsidRDefault="00162CE2" w:rsidP="00056F35">
      <w:pPr>
        <w:pStyle w:val="a3"/>
        <w:adjustRightInd w:val="0"/>
        <w:snapToGrid w:val="0"/>
        <w:rPr>
          <w:snapToGrid w:val="0"/>
          <w:lang w:val="pt-PT"/>
        </w:rPr>
      </w:pPr>
      <w:r w:rsidRPr="002606DB">
        <w:rPr>
          <w:snapToGrid w:val="0"/>
          <w:lang w:val="pt-PT"/>
        </w:rPr>
        <w:t xml:space="preserve">Este foi um ensaio clínico de fase II, aleatorizado, com dupla ocultação, para investigação de </w:t>
      </w:r>
      <w:r w:rsidRPr="007155C0">
        <w:rPr>
          <w:color w:val="000000"/>
          <w:lang w:val="pt-PT"/>
        </w:rPr>
        <w:t xml:space="preserve">bevacizumab </w:t>
      </w:r>
      <w:r w:rsidRPr="002606DB">
        <w:rPr>
          <w:snapToGrid w:val="0"/>
          <w:lang w:val="pt-PT"/>
        </w:rPr>
        <w:t xml:space="preserve">10 mg/kg, administrado cada 2 semanas, com a mesma dose de </w:t>
      </w:r>
      <w:r w:rsidRPr="007155C0">
        <w:rPr>
          <w:color w:val="000000"/>
          <w:lang w:val="pt-PT"/>
        </w:rPr>
        <w:t xml:space="preserve">bevacizumab </w:t>
      </w:r>
      <w:r w:rsidRPr="002606DB">
        <w:rPr>
          <w:snapToGrid w:val="0"/>
          <w:lang w:val="pt-PT"/>
        </w:rPr>
        <w:t xml:space="preserve">em associação com 150 mg por dia de erlotinib, em doentes com cancro renal de células claras metastizado. Neste ensaio, um total de 104 doentes foi aleatorizado para tratamento, 53 para o </w:t>
      </w:r>
      <w:r w:rsidR="00B72472">
        <w:rPr>
          <w:snapToGrid w:val="0"/>
          <w:lang w:val="pt-PT"/>
        </w:rPr>
        <w:t>grupo</w:t>
      </w:r>
      <w:r w:rsidRPr="002606DB">
        <w:rPr>
          <w:snapToGrid w:val="0"/>
          <w:lang w:val="pt-PT"/>
        </w:rPr>
        <w:t xml:space="preserve"> de </w:t>
      </w:r>
      <w:r w:rsidRPr="007155C0">
        <w:rPr>
          <w:color w:val="000000"/>
          <w:lang w:val="pt-PT"/>
        </w:rPr>
        <w:t xml:space="preserve">bevacizumab </w:t>
      </w:r>
      <w:r w:rsidRPr="002606DB">
        <w:rPr>
          <w:snapToGrid w:val="0"/>
          <w:lang w:val="pt-PT"/>
        </w:rPr>
        <w:t xml:space="preserve">10 mg/kg cada 2 semanas e placebo, e 51 para o </w:t>
      </w:r>
      <w:r w:rsidR="00B72472">
        <w:rPr>
          <w:snapToGrid w:val="0"/>
          <w:lang w:val="pt-PT"/>
        </w:rPr>
        <w:t>grupo</w:t>
      </w:r>
      <w:r w:rsidRPr="002606DB">
        <w:rPr>
          <w:snapToGrid w:val="0"/>
          <w:lang w:val="pt-PT"/>
        </w:rPr>
        <w:t xml:space="preserve"> de </w:t>
      </w:r>
      <w:r w:rsidRPr="007155C0">
        <w:rPr>
          <w:color w:val="000000"/>
          <w:lang w:val="pt-PT"/>
        </w:rPr>
        <w:t xml:space="preserve">bevacizumab </w:t>
      </w:r>
      <w:r w:rsidRPr="002606DB">
        <w:rPr>
          <w:snapToGrid w:val="0"/>
          <w:lang w:val="pt-PT"/>
        </w:rPr>
        <w:t xml:space="preserve">10 mg/kg cada 2 semanas e erlotinib 150 mg por dia. A análise do objetivo primário mostrou não haver diferença entre os </w:t>
      </w:r>
      <w:r w:rsidR="00B72472">
        <w:rPr>
          <w:snapToGrid w:val="0"/>
          <w:lang w:val="pt-PT"/>
        </w:rPr>
        <w:t>grupo</w:t>
      </w:r>
      <w:r w:rsidRPr="002606DB">
        <w:rPr>
          <w:snapToGrid w:val="0"/>
          <w:lang w:val="pt-PT"/>
        </w:rPr>
        <w:t xml:space="preserve">s de </w:t>
      </w:r>
      <w:r w:rsidRPr="007155C0">
        <w:rPr>
          <w:color w:val="000000"/>
          <w:lang w:val="pt-PT"/>
        </w:rPr>
        <w:t xml:space="preserve">bevacizumab </w:t>
      </w:r>
      <w:r w:rsidRPr="002606DB">
        <w:rPr>
          <w:snapToGrid w:val="0"/>
          <w:lang w:val="pt-PT"/>
        </w:rPr>
        <w:t xml:space="preserve">+ placebo e </w:t>
      </w:r>
      <w:r w:rsidRPr="007155C0">
        <w:rPr>
          <w:color w:val="000000"/>
          <w:lang w:val="pt-PT"/>
        </w:rPr>
        <w:t xml:space="preserve">bevacizumab </w:t>
      </w:r>
      <w:r w:rsidRPr="002606DB">
        <w:rPr>
          <w:snapToGrid w:val="0"/>
          <w:lang w:val="pt-PT"/>
        </w:rPr>
        <w:t xml:space="preserve">+ erlotinib (mediana da PFS de 8,5 </w:t>
      </w:r>
      <w:r w:rsidRPr="002606DB">
        <w:rPr>
          <w:i/>
          <w:snapToGrid w:val="0"/>
          <w:lang w:val="pt-PT"/>
        </w:rPr>
        <w:t xml:space="preserve">versus </w:t>
      </w:r>
      <w:r w:rsidRPr="002606DB">
        <w:rPr>
          <w:snapToGrid w:val="0"/>
          <w:lang w:val="pt-PT"/>
        </w:rPr>
        <w:t xml:space="preserve">9,9 meses). Sete doentes em cada </w:t>
      </w:r>
      <w:r w:rsidR="00B72472">
        <w:rPr>
          <w:snapToGrid w:val="0"/>
          <w:lang w:val="pt-PT"/>
        </w:rPr>
        <w:t>grupo</w:t>
      </w:r>
      <w:r w:rsidRPr="002606DB">
        <w:rPr>
          <w:snapToGrid w:val="0"/>
          <w:lang w:val="pt-PT"/>
        </w:rPr>
        <w:t xml:space="preserve"> apresentaram resposta objetiva. A adição de erlotinib ao </w:t>
      </w:r>
      <w:r w:rsidRPr="007155C0">
        <w:rPr>
          <w:color w:val="000000"/>
          <w:lang w:val="pt-PT"/>
        </w:rPr>
        <w:t xml:space="preserve">bevacizumab </w:t>
      </w:r>
      <w:r w:rsidRPr="002606DB">
        <w:rPr>
          <w:snapToGrid w:val="0"/>
          <w:lang w:val="pt-PT"/>
        </w:rPr>
        <w:t>não resultou na melhoria da Sobrevivência Global</w:t>
      </w:r>
    </w:p>
    <w:p w14:paraId="66005DB5" w14:textId="77777777" w:rsidR="00162CE2" w:rsidRPr="002606DB" w:rsidRDefault="00162CE2" w:rsidP="00056F35">
      <w:pPr>
        <w:adjustRightInd w:val="0"/>
        <w:snapToGrid w:val="0"/>
        <w:rPr>
          <w:snapToGrid w:val="0"/>
          <w:lang w:val="pt-PT"/>
        </w:rPr>
      </w:pPr>
      <w:r w:rsidRPr="002606DB">
        <w:rPr>
          <w:snapToGrid w:val="0"/>
          <w:lang w:val="pt-PT"/>
        </w:rPr>
        <w:t>(</w:t>
      </w:r>
      <w:r w:rsidRPr="002606DB">
        <w:rPr>
          <w:i/>
          <w:snapToGrid w:val="0"/>
          <w:lang w:val="pt-PT"/>
        </w:rPr>
        <w:t xml:space="preserve">Hazard Ratio </w:t>
      </w:r>
      <w:r w:rsidRPr="002606DB">
        <w:rPr>
          <w:snapToGrid w:val="0"/>
          <w:lang w:val="pt-PT"/>
        </w:rPr>
        <w:t xml:space="preserve">= 1,764; p = 0,1789), duração da resposta objetiva (6,7 </w:t>
      </w:r>
      <w:r w:rsidRPr="002606DB">
        <w:rPr>
          <w:i/>
          <w:snapToGrid w:val="0"/>
          <w:lang w:val="pt-PT"/>
        </w:rPr>
        <w:t xml:space="preserve">versus </w:t>
      </w:r>
      <w:r w:rsidRPr="002606DB">
        <w:rPr>
          <w:snapToGrid w:val="0"/>
          <w:lang w:val="pt-PT"/>
        </w:rPr>
        <w:t>9,1 meses) ou tempo até à progressão de sintomas (</w:t>
      </w:r>
      <w:r w:rsidRPr="002606DB">
        <w:rPr>
          <w:i/>
          <w:snapToGrid w:val="0"/>
          <w:lang w:val="pt-PT"/>
        </w:rPr>
        <w:t xml:space="preserve">Hazard Ratio </w:t>
      </w:r>
      <w:r w:rsidRPr="002606DB">
        <w:rPr>
          <w:snapToGrid w:val="0"/>
          <w:lang w:val="pt-PT"/>
        </w:rPr>
        <w:t>= 1,172; p = 0,5076).</w:t>
      </w:r>
    </w:p>
    <w:p w14:paraId="3717E1B0" w14:textId="77777777" w:rsidR="00162CE2" w:rsidRPr="002606DB" w:rsidRDefault="00162CE2" w:rsidP="00056F35">
      <w:pPr>
        <w:pStyle w:val="a3"/>
        <w:adjustRightInd w:val="0"/>
        <w:snapToGrid w:val="0"/>
        <w:rPr>
          <w:snapToGrid w:val="0"/>
          <w:lang w:val="pt-PT"/>
        </w:rPr>
      </w:pPr>
    </w:p>
    <w:p w14:paraId="2A39FD39" w14:textId="77777777" w:rsidR="00162CE2" w:rsidRPr="002606DB" w:rsidRDefault="00162CE2" w:rsidP="00056F35">
      <w:pPr>
        <w:adjustRightInd w:val="0"/>
        <w:snapToGrid w:val="0"/>
        <w:rPr>
          <w:i/>
          <w:snapToGrid w:val="0"/>
          <w:lang w:val="pt-PT"/>
        </w:rPr>
      </w:pPr>
      <w:r w:rsidRPr="002606DB">
        <w:rPr>
          <w:i/>
          <w:snapToGrid w:val="0"/>
          <w:lang w:val="pt-PT"/>
        </w:rPr>
        <w:t>AVF0890</w:t>
      </w:r>
    </w:p>
    <w:p w14:paraId="0DB436D9" w14:textId="72C38DDA" w:rsidR="00162CE2" w:rsidRPr="002606DB" w:rsidRDefault="00162CE2" w:rsidP="00056F35">
      <w:pPr>
        <w:pStyle w:val="a3"/>
        <w:adjustRightInd w:val="0"/>
        <w:snapToGrid w:val="0"/>
        <w:rPr>
          <w:snapToGrid w:val="0"/>
          <w:lang w:val="pt-PT"/>
        </w:rPr>
      </w:pPr>
      <w:r w:rsidRPr="002606DB">
        <w:rPr>
          <w:snapToGrid w:val="0"/>
          <w:lang w:val="pt-PT"/>
        </w:rPr>
        <w:t xml:space="preserve">Este foi um estudo clínico de fase II, aleatorizado, para comparação da eficácia e segurança de bevacizumab </w:t>
      </w:r>
      <w:r w:rsidRPr="002606DB">
        <w:rPr>
          <w:i/>
          <w:snapToGrid w:val="0"/>
          <w:lang w:val="pt-PT"/>
        </w:rPr>
        <w:t xml:space="preserve">versus </w:t>
      </w:r>
      <w:r w:rsidRPr="002606DB">
        <w:rPr>
          <w:snapToGrid w:val="0"/>
          <w:lang w:val="pt-PT"/>
        </w:rPr>
        <w:t>placebo. Um total de 116 doentes foi aleatorizado para tratamento com 3 mg/kg de bevacizumab cada 2 semanas (n = 39), 10 mg/kg cada 2 semanas (n = 37) ou placebo (n = 40). Uma análise interina demonstrou um prolongamento significativo do tempo até à progressão da doença no grupo a receber 10 mg/kg comparativamente ao grupo placebo (</w:t>
      </w:r>
      <w:r w:rsidRPr="002606DB">
        <w:rPr>
          <w:i/>
          <w:snapToGrid w:val="0"/>
          <w:lang w:val="pt-PT"/>
        </w:rPr>
        <w:t xml:space="preserve">Hazard Ratio </w:t>
      </w:r>
      <w:r w:rsidRPr="002606DB">
        <w:rPr>
          <w:snapToGrid w:val="0"/>
          <w:lang w:val="pt-PT"/>
        </w:rPr>
        <w:t>de 2,55; p &lt; 0,001).</w:t>
      </w:r>
    </w:p>
    <w:p w14:paraId="55A8CCB7" w14:textId="38256509" w:rsidR="00162CE2" w:rsidRPr="002606DB" w:rsidRDefault="00162CE2" w:rsidP="00056F35">
      <w:pPr>
        <w:pStyle w:val="a3"/>
        <w:adjustRightInd w:val="0"/>
        <w:snapToGrid w:val="0"/>
        <w:rPr>
          <w:snapToGrid w:val="0"/>
          <w:lang w:val="pt-PT"/>
        </w:rPr>
      </w:pPr>
      <w:r w:rsidRPr="002606DB">
        <w:rPr>
          <w:snapToGrid w:val="0"/>
          <w:lang w:val="pt-PT"/>
        </w:rPr>
        <w:t>Houve uma pequena diferença, de significância marginal, entre o tempo até à progressão da doença no grupo tratado com 3 mg/kg e no grupo placebo (</w:t>
      </w:r>
      <w:r w:rsidRPr="002606DB">
        <w:rPr>
          <w:i/>
          <w:snapToGrid w:val="0"/>
          <w:lang w:val="pt-PT"/>
        </w:rPr>
        <w:t xml:space="preserve">Hazard Ratio </w:t>
      </w:r>
      <w:r w:rsidRPr="002606DB">
        <w:rPr>
          <w:snapToGrid w:val="0"/>
          <w:lang w:val="pt-PT"/>
        </w:rPr>
        <w:t>= 1,26; p = 0,053). Quatro doentes tiveram resposta objetiva (parcial) e todos tinham recebido a dose de 10 mg/kg de bevacizumab; a taxa de resposta global (ORR) da dose de 10 mg/kg foi de 10%.</w:t>
      </w:r>
    </w:p>
    <w:p w14:paraId="47C276ED" w14:textId="77777777" w:rsidR="00162CE2" w:rsidRPr="002606DB" w:rsidRDefault="00162CE2" w:rsidP="00056F35">
      <w:pPr>
        <w:pStyle w:val="a3"/>
        <w:adjustRightInd w:val="0"/>
        <w:snapToGrid w:val="0"/>
        <w:rPr>
          <w:snapToGrid w:val="0"/>
          <w:lang w:val="pt-PT"/>
        </w:rPr>
      </w:pPr>
    </w:p>
    <w:p w14:paraId="0A5931E6" w14:textId="77777777" w:rsidR="00162CE2" w:rsidRPr="002606DB" w:rsidRDefault="00162CE2" w:rsidP="00056F35">
      <w:pPr>
        <w:adjustRightInd w:val="0"/>
        <w:snapToGrid w:val="0"/>
        <w:rPr>
          <w:i/>
          <w:snapToGrid w:val="0"/>
          <w:lang w:val="pt-PT"/>
        </w:rPr>
      </w:pPr>
      <w:r w:rsidRPr="002606DB">
        <w:rPr>
          <w:i/>
          <w:snapToGrid w:val="0"/>
          <w:u w:val="single"/>
          <w:lang w:val="pt-PT"/>
        </w:rPr>
        <w:t>Cancro epitelial do ovário, da trompa de falópio e cancro peritoneal primário</w:t>
      </w:r>
    </w:p>
    <w:p w14:paraId="1ADC0931" w14:textId="77777777" w:rsidR="00162CE2" w:rsidRPr="002606DB" w:rsidRDefault="00162CE2" w:rsidP="00056F35">
      <w:pPr>
        <w:pStyle w:val="a3"/>
        <w:adjustRightInd w:val="0"/>
        <w:snapToGrid w:val="0"/>
        <w:rPr>
          <w:i/>
          <w:snapToGrid w:val="0"/>
          <w:lang w:val="pt-PT"/>
        </w:rPr>
      </w:pPr>
    </w:p>
    <w:p w14:paraId="06595EF7" w14:textId="77777777" w:rsidR="00162CE2" w:rsidRPr="002606DB" w:rsidRDefault="00162CE2" w:rsidP="00056F35">
      <w:pPr>
        <w:adjustRightInd w:val="0"/>
        <w:snapToGrid w:val="0"/>
        <w:rPr>
          <w:i/>
          <w:snapToGrid w:val="0"/>
          <w:lang w:val="pt-PT"/>
        </w:rPr>
      </w:pPr>
      <w:r w:rsidRPr="002606DB">
        <w:rPr>
          <w:i/>
          <w:snapToGrid w:val="0"/>
          <w:lang w:val="pt-PT"/>
        </w:rPr>
        <w:t>Tratamento de primeira linha do cancro do ovário</w:t>
      </w:r>
    </w:p>
    <w:p w14:paraId="2D9CEC1E" w14:textId="77777777" w:rsidR="00162CE2" w:rsidRPr="002606DB" w:rsidRDefault="00162CE2" w:rsidP="00056F35">
      <w:pPr>
        <w:pStyle w:val="a3"/>
        <w:adjustRightInd w:val="0"/>
        <w:snapToGrid w:val="0"/>
        <w:rPr>
          <w:i/>
          <w:snapToGrid w:val="0"/>
          <w:lang w:val="pt-PT"/>
        </w:rPr>
      </w:pPr>
    </w:p>
    <w:p w14:paraId="781B1230" w14:textId="15B063BF" w:rsidR="00162CE2" w:rsidRPr="002606DB" w:rsidRDefault="00162CE2" w:rsidP="00056F35">
      <w:pPr>
        <w:pStyle w:val="a3"/>
        <w:adjustRightInd w:val="0"/>
        <w:snapToGrid w:val="0"/>
        <w:rPr>
          <w:snapToGrid w:val="0"/>
          <w:lang w:val="pt-PT"/>
        </w:rPr>
      </w:pPr>
      <w:r w:rsidRPr="002606DB">
        <w:rPr>
          <w:snapToGrid w:val="0"/>
          <w:lang w:val="pt-PT"/>
        </w:rPr>
        <w:t xml:space="preserve">A segurança e a eficácia de </w:t>
      </w:r>
      <w:r w:rsidRPr="007155C0">
        <w:rPr>
          <w:color w:val="000000"/>
          <w:lang w:val="pt-PT"/>
        </w:rPr>
        <w:t xml:space="preserve">bevacizumab </w:t>
      </w:r>
      <w:r w:rsidRPr="002606DB">
        <w:rPr>
          <w:snapToGrid w:val="0"/>
          <w:lang w:val="pt-PT"/>
        </w:rPr>
        <w:t xml:space="preserve">no tratamento de primeira linha de doentes com cancro epitelial do ovário, da trompa de Falópio ou cancro peritoneal primário foram estudadas em dois ensaios clínicos de fase III (GOG-0218 e BO17707) que avaliaram o efeito da adição de </w:t>
      </w:r>
      <w:r w:rsidRPr="007155C0">
        <w:rPr>
          <w:color w:val="000000"/>
          <w:lang w:val="pt-PT"/>
        </w:rPr>
        <w:t xml:space="preserve">bevacizumab </w:t>
      </w:r>
      <w:r w:rsidRPr="002606DB">
        <w:rPr>
          <w:snapToGrid w:val="0"/>
          <w:lang w:val="pt-PT"/>
        </w:rPr>
        <w:t>a carboplatina e paclitaxel em comparação com o regime de quimioterapia apenas.</w:t>
      </w:r>
    </w:p>
    <w:p w14:paraId="4195ACBB" w14:textId="77777777" w:rsidR="00162CE2" w:rsidRPr="002606DB" w:rsidRDefault="00162CE2" w:rsidP="00056F35">
      <w:pPr>
        <w:pStyle w:val="a3"/>
        <w:adjustRightInd w:val="0"/>
        <w:snapToGrid w:val="0"/>
        <w:rPr>
          <w:snapToGrid w:val="0"/>
          <w:lang w:val="pt-PT"/>
        </w:rPr>
      </w:pPr>
    </w:p>
    <w:p w14:paraId="26104DFD" w14:textId="77777777" w:rsidR="00162CE2" w:rsidRPr="002606DB" w:rsidRDefault="00162CE2" w:rsidP="00056F35">
      <w:pPr>
        <w:adjustRightInd w:val="0"/>
        <w:snapToGrid w:val="0"/>
        <w:rPr>
          <w:i/>
          <w:snapToGrid w:val="0"/>
          <w:lang w:val="pt-PT"/>
        </w:rPr>
      </w:pPr>
      <w:r w:rsidRPr="002606DB">
        <w:rPr>
          <w:i/>
          <w:snapToGrid w:val="0"/>
          <w:lang w:val="pt-PT"/>
        </w:rPr>
        <w:t>GOG-0218</w:t>
      </w:r>
    </w:p>
    <w:p w14:paraId="5A8CA465" w14:textId="1DE31AFA" w:rsidR="00162CE2" w:rsidRPr="002606DB" w:rsidRDefault="00162CE2" w:rsidP="00056F35">
      <w:pPr>
        <w:pStyle w:val="a3"/>
        <w:adjustRightInd w:val="0"/>
        <w:snapToGrid w:val="0"/>
        <w:rPr>
          <w:snapToGrid w:val="0"/>
          <w:lang w:val="pt-PT"/>
        </w:rPr>
      </w:pPr>
      <w:r w:rsidRPr="002606DB">
        <w:rPr>
          <w:snapToGrid w:val="0"/>
          <w:lang w:val="pt-PT"/>
        </w:rPr>
        <w:t xml:space="preserve">O estudo GOG-0218 foi um ensaio clínico de fase III multicêntrico, aleatorizado, em dupla ocultação, controlado por placebo, com três </w:t>
      </w:r>
      <w:r w:rsidR="00B72472">
        <w:rPr>
          <w:snapToGrid w:val="0"/>
          <w:lang w:val="pt-PT"/>
        </w:rPr>
        <w:t>grupo</w:t>
      </w:r>
      <w:r w:rsidRPr="002606DB">
        <w:rPr>
          <w:snapToGrid w:val="0"/>
          <w:lang w:val="pt-PT"/>
        </w:rPr>
        <w:t xml:space="preserve">s, para avaliar o efeito da adição de </w:t>
      </w:r>
      <w:r w:rsidRPr="007155C0">
        <w:rPr>
          <w:color w:val="000000"/>
          <w:lang w:val="pt-PT"/>
        </w:rPr>
        <w:t xml:space="preserve">bevacizumab </w:t>
      </w:r>
      <w:r w:rsidRPr="002606DB">
        <w:rPr>
          <w:snapToGrid w:val="0"/>
          <w:lang w:val="pt-PT"/>
        </w:rPr>
        <w:t>a um regime de quimioterapia aprovado (carboplatina e paclitaxel) em doentes com cancro epitelial do ovário, da trompa de Falópio ou peritoneal primário avançados (est</w:t>
      </w:r>
      <w:r w:rsidR="0056720C" w:rsidRPr="007155C0">
        <w:rPr>
          <w:lang w:val="pt-PT"/>
        </w:rPr>
        <w:t>á</w:t>
      </w:r>
      <w:r w:rsidRPr="002606DB">
        <w:rPr>
          <w:snapToGrid w:val="0"/>
          <w:lang w:val="pt-PT"/>
        </w:rPr>
        <w:t>dios III B, III C e IV de acordo com a versão de estadiamento FIGO datada de 1988).</w:t>
      </w:r>
    </w:p>
    <w:p w14:paraId="608BAD73" w14:textId="77777777" w:rsidR="00162CE2" w:rsidRPr="002606DB" w:rsidRDefault="00162CE2" w:rsidP="00056F35">
      <w:pPr>
        <w:pStyle w:val="a3"/>
        <w:adjustRightInd w:val="0"/>
        <w:snapToGrid w:val="0"/>
        <w:rPr>
          <w:snapToGrid w:val="0"/>
          <w:lang w:val="pt-PT"/>
        </w:rPr>
      </w:pPr>
    </w:p>
    <w:p w14:paraId="698A1128" w14:textId="1F0FE09C" w:rsidR="00162CE2" w:rsidRPr="002606DB" w:rsidRDefault="00162CE2" w:rsidP="00056F35">
      <w:pPr>
        <w:pStyle w:val="a3"/>
        <w:adjustRightInd w:val="0"/>
        <w:snapToGrid w:val="0"/>
        <w:jc w:val="both"/>
        <w:rPr>
          <w:snapToGrid w:val="0"/>
          <w:lang w:val="pt-PT"/>
        </w:rPr>
      </w:pPr>
      <w:r w:rsidRPr="002606DB">
        <w:rPr>
          <w:snapToGrid w:val="0"/>
          <w:lang w:val="pt-PT"/>
        </w:rPr>
        <w:lastRenderedPageBreak/>
        <w:t>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abd</w:t>
      </w:r>
      <w:r w:rsidR="00836F41">
        <w:rPr>
          <w:snapToGrid w:val="0"/>
          <w:lang w:val="pt-PT"/>
        </w:rPr>
        <w:t>ó</w:t>
      </w:r>
      <w:r w:rsidRPr="002606DB">
        <w:rPr>
          <w:snapToGrid w:val="0"/>
          <w:lang w:val="pt-PT"/>
        </w:rPr>
        <w:t>m</w:t>
      </w:r>
      <w:r w:rsidR="00836F41">
        <w:rPr>
          <w:snapToGrid w:val="0"/>
          <w:lang w:val="pt-PT"/>
        </w:rPr>
        <w:t>e</w:t>
      </w:r>
      <w:r w:rsidRPr="002606DB">
        <w:rPr>
          <w:snapToGrid w:val="0"/>
          <w:lang w:val="pt-PT"/>
        </w:rPr>
        <w:t>n ou pélvis.</w:t>
      </w:r>
    </w:p>
    <w:p w14:paraId="70C11973" w14:textId="77777777" w:rsidR="00162CE2" w:rsidRPr="002606DB" w:rsidRDefault="00162CE2" w:rsidP="00056F35">
      <w:pPr>
        <w:pStyle w:val="a3"/>
        <w:adjustRightInd w:val="0"/>
        <w:snapToGrid w:val="0"/>
        <w:rPr>
          <w:snapToGrid w:val="0"/>
          <w:lang w:val="pt-PT"/>
        </w:rPr>
      </w:pPr>
    </w:p>
    <w:p w14:paraId="3AFA3C86" w14:textId="6DE180C6" w:rsidR="00162CE2" w:rsidRPr="002606DB" w:rsidRDefault="00162CE2" w:rsidP="00056F35">
      <w:pPr>
        <w:pStyle w:val="a3"/>
        <w:adjustRightInd w:val="0"/>
        <w:snapToGrid w:val="0"/>
        <w:jc w:val="both"/>
        <w:rPr>
          <w:snapToGrid w:val="0"/>
          <w:lang w:val="pt-PT"/>
        </w:rPr>
      </w:pPr>
      <w:r w:rsidRPr="002606DB">
        <w:rPr>
          <w:snapToGrid w:val="0"/>
          <w:lang w:val="pt-PT"/>
        </w:rPr>
        <w:t xml:space="preserve">Um total de 1873 doentes foi aleatorizado em proporções iguais nos três </w:t>
      </w:r>
      <w:r w:rsidR="00B72472">
        <w:rPr>
          <w:snapToGrid w:val="0"/>
          <w:lang w:val="pt-PT"/>
        </w:rPr>
        <w:t>grupo</w:t>
      </w:r>
      <w:r w:rsidRPr="002606DB">
        <w:rPr>
          <w:snapToGrid w:val="0"/>
          <w:lang w:val="pt-PT"/>
        </w:rPr>
        <w:t>s seguintes:</w:t>
      </w:r>
    </w:p>
    <w:p w14:paraId="2CF0C250" w14:textId="77777777" w:rsidR="00162CE2" w:rsidRPr="002606DB" w:rsidRDefault="00162CE2" w:rsidP="00056F35">
      <w:pPr>
        <w:pStyle w:val="a3"/>
        <w:adjustRightInd w:val="0"/>
        <w:snapToGrid w:val="0"/>
        <w:rPr>
          <w:snapToGrid w:val="0"/>
          <w:lang w:val="pt-PT"/>
        </w:rPr>
      </w:pPr>
    </w:p>
    <w:p w14:paraId="2B5B448A" w14:textId="7F16222A" w:rsidR="00162CE2" w:rsidRPr="002606DB" w:rsidRDefault="00B72472" w:rsidP="001A633D">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CPP: Cinco ciclos de placebo (iniciado no 2º ciclo) em associação com carboplatina (AUC 6) e paclitaxel (175 mg/m</w:t>
      </w:r>
      <w:r w:rsidR="00162CE2" w:rsidRPr="002606DB">
        <w:rPr>
          <w:snapToGrid w:val="0"/>
          <w:vertAlign w:val="superscript"/>
          <w:lang w:val="pt-PT"/>
        </w:rPr>
        <w:t>2</w:t>
      </w:r>
      <w:r w:rsidR="00162CE2" w:rsidRPr="002606DB">
        <w:rPr>
          <w:snapToGrid w:val="0"/>
          <w:lang w:val="pt-PT"/>
        </w:rPr>
        <w:t>) durante 6 ciclos seguido de placebo em monoterapia, durante um total de 15 meses de terapêutica</w:t>
      </w:r>
    </w:p>
    <w:p w14:paraId="676134ED" w14:textId="0F299760" w:rsidR="00162CE2" w:rsidRPr="002606DB" w:rsidRDefault="00B72472" w:rsidP="001A633D">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CPB15: Cinco ciclos de </w:t>
      </w:r>
      <w:r w:rsidR="00162CE2" w:rsidRPr="007155C0">
        <w:rPr>
          <w:color w:val="000000"/>
          <w:lang w:val="pt-PT"/>
        </w:rPr>
        <w:t xml:space="preserve">bevacizumab </w:t>
      </w:r>
      <w:r w:rsidR="00162CE2" w:rsidRPr="002606DB">
        <w:rPr>
          <w:snapToGrid w:val="0"/>
          <w:lang w:val="pt-PT"/>
        </w:rPr>
        <w:t>(15 mg/kg a cada 3 semanas iniciado no 2º ciclo) em associação com carboplatina (AUC 6) e paclitaxel (175 mg/m</w:t>
      </w:r>
      <w:r w:rsidR="00162CE2" w:rsidRPr="002606DB">
        <w:rPr>
          <w:snapToGrid w:val="0"/>
          <w:vertAlign w:val="superscript"/>
          <w:lang w:val="pt-PT"/>
        </w:rPr>
        <w:t>2</w:t>
      </w:r>
      <w:r w:rsidR="00162CE2" w:rsidRPr="002606DB">
        <w:rPr>
          <w:snapToGrid w:val="0"/>
          <w:lang w:val="pt-PT"/>
        </w:rPr>
        <w:t>) durante 6 ciclos, seguido de placebo em monoterapia durante um total de 15 meses de terapêutica</w:t>
      </w:r>
    </w:p>
    <w:p w14:paraId="17385D4A" w14:textId="49A109ED" w:rsidR="00162CE2" w:rsidRPr="002606DB" w:rsidRDefault="00B72472" w:rsidP="001A633D">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CPB15+: Cinco ciclos de </w:t>
      </w:r>
      <w:r w:rsidR="00162CE2" w:rsidRPr="007155C0">
        <w:rPr>
          <w:color w:val="000000"/>
          <w:lang w:val="pt-PT"/>
        </w:rPr>
        <w:t xml:space="preserve">bevacizumab </w:t>
      </w:r>
      <w:r w:rsidR="00162CE2" w:rsidRPr="002606DB">
        <w:rPr>
          <w:snapToGrid w:val="0"/>
          <w:lang w:val="pt-PT"/>
        </w:rPr>
        <w:t>(15 mg/kg a cada 3 semanas iniciado no 2º ciclo) em associação com carboplatina (AUC 6) e paclitaxel (175 mg/m</w:t>
      </w:r>
      <w:r w:rsidR="00162CE2" w:rsidRPr="002606DB">
        <w:rPr>
          <w:snapToGrid w:val="0"/>
          <w:vertAlign w:val="superscript"/>
          <w:lang w:val="pt-PT"/>
        </w:rPr>
        <w:t>2</w:t>
      </w:r>
      <w:r w:rsidR="00162CE2" w:rsidRPr="002606DB">
        <w:rPr>
          <w:snapToGrid w:val="0"/>
          <w:lang w:val="pt-PT"/>
        </w:rPr>
        <w:t xml:space="preserve">) durante 6 ciclos, seguido do uso continuado de </w:t>
      </w:r>
      <w:r w:rsidR="00162CE2" w:rsidRPr="007155C0">
        <w:rPr>
          <w:color w:val="000000"/>
          <w:lang w:val="pt-PT"/>
        </w:rPr>
        <w:t xml:space="preserve">bevacizumab </w:t>
      </w:r>
      <w:r w:rsidR="00162CE2" w:rsidRPr="002606DB">
        <w:rPr>
          <w:snapToGrid w:val="0"/>
          <w:lang w:val="pt-PT"/>
        </w:rPr>
        <w:t>(15 mg/kg a cada 3 semanas) como agente único durante um total de 15 meses de terapêutica.</w:t>
      </w:r>
    </w:p>
    <w:p w14:paraId="685F96A7" w14:textId="77777777" w:rsidR="00162CE2" w:rsidRPr="002606DB" w:rsidRDefault="00162CE2" w:rsidP="00056F35">
      <w:pPr>
        <w:pStyle w:val="a3"/>
        <w:adjustRightInd w:val="0"/>
        <w:snapToGrid w:val="0"/>
        <w:rPr>
          <w:snapToGrid w:val="0"/>
          <w:lang w:val="pt-PT"/>
        </w:rPr>
      </w:pPr>
    </w:p>
    <w:p w14:paraId="611CC551" w14:textId="1BBC6F9B" w:rsidR="00162CE2" w:rsidRPr="002606DB" w:rsidRDefault="00162CE2" w:rsidP="001A633D">
      <w:pPr>
        <w:pStyle w:val="a3"/>
        <w:adjustRightInd w:val="0"/>
        <w:snapToGrid w:val="0"/>
        <w:rPr>
          <w:snapToGrid w:val="0"/>
          <w:lang w:val="pt-PT"/>
        </w:rPr>
      </w:pPr>
      <w:r w:rsidRPr="002606DB">
        <w:rPr>
          <w:snapToGrid w:val="0"/>
          <w:lang w:val="pt-PT"/>
        </w:rPr>
        <w:t xml:space="preserve">A maioria dos doentes incluídos no ensaio era de raça branca (87% nos três </w:t>
      </w:r>
      <w:r w:rsidR="00B72472">
        <w:rPr>
          <w:snapToGrid w:val="0"/>
          <w:lang w:val="pt-PT"/>
        </w:rPr>
        <w:t>grupo</w:t>
      </w:r>
      <w:r w:rsidRPr="002606DB">
        <w:rPr>
          <w:snapToGrid w:val="0"/>
          <w:lang w:val="pt-PT"/>
        </w:rPr>
        <w:t xml:space="preserve">s); a mediana da idade era de 60 anos nos </w:t>
      </w:r>
      <w:r w:rsidR="00B72472">
        <w:rPr>
          <w:snapToGrid w:val="0"/>
          <w:lang w:val="pt-PT"/>
        </w:rPr>
        <w:t>grupo</w:t>
      </w:r>
      <w:r w:rsidRPr="002606DB">
        <w:rPr>
          <w:snapToGrid w:val="0"/>
          <w:lang w:val="pt-PT"/>
        </w:rPr>
        <w:t xml:space="preserve">s CPP e CPB15 e de 59 anos no </w:t>
      </w:r>
      <w:r w:rsidR="00B72472">
        <w:rPr>
          <w:snapToGrid w:val="0"/>
          <w:lang w:val="pt-PT"/>
        </w:rPr>
        <w:t>grupo</w:t>
      </w:r>
      <w:r w:rsidRPr="002606DB">
        <w:rPr>
          <w:snapToGrid w:val="0"/>
          <w:lang w:val="pt-PT"/>
        </w:rPr>
        <w:t xml:space="preserve"> CPB15+; 29% dos doentes no </w:t>
      </w:r>
      <w:r w:rsidR="00B72472">
        <w:rPr>
          <w:snapToGrid w:val="0"/>
          <w:lang w:val="pt-PT"/>
        </w:rPr>
        <w:t>grupo</w:t>
      </w:r>
      <w:r w:rsidRPr="002606DB">
        <w:rPr>
          <w:snapToGrid w:val="0"/>
          <w:lang w:val="pt-PT"/>
        </w:rPr>
        <w:t xml:space="preserve"> CPP e CPB15 e 26% no CPB15+ tinham mais de 65 anos. De uma forma geral, aproximadamente 50% dos doentes tinham um </w:t>
      </w:r>
      <w:r w:rsidRPr="002606DB">
        <w:rPr>
          <w:i/>
          <w:snapToGrid w:val="0"/>
          <w:lang w:val="pt-PT"/>
        </w:rPr>
        <w:t xml:space="preserve">performance status </w:t>
      </w:r>
      <w:r w:rsidRPr="002606DB">
        <w:rPr>
          <w:snapToGrid w:val="0"/>
          <w:lang w:val="pt-PT"/>
        </w:rPr>
        <w:t>(PS) GOG inicial de 0, 43% tinham PS GOG de 1, e 7% tinham PS GOG de 2. A maioria dos doentes tinha cancro epitelial do ovário (82% no CPP e CPB15, 85% no CPB15+), seguido do cancro peritoneal primário (16% no CPP, 15% no CPB15 e 13% no CPB15+) e do cancro da trompa de Falópio (1% no CPP, 3% no CPB15 e 2% no CPB15+). A maioria dos doentes tinha adenocarcinoma histológico do tipo seroso (85% no CPP e</w:t>
      </w:r>
      <w:r w:rsidR="001A633D" w:rsidRPr="002606DB">
        <w:rPr>
          <w:snapToGrid w:val="0"/>
          <w:lang w:val="pt-PT"/>
        </w:rPr>
        <w:t xml:space="preserve"> </w:t>
      </w:r>
      <w:r w:rsidRPr="002606DB">
        <w:rPr>
          <w:snapToGrid w:val="0"/>
          <w:lang w:val="pt-PT"/>
        </w:rPr>
        <w:t>CPB15, 86% no CPB15+). Aproximadamente 34% dos doentes estavam no est</w:t>
      </w:r>
      <w:r w:rsidR="0056720C" w:rsidRPr="007155C0">
        <w:rPr>
          <w:lang w:val="pt-PT"/>
        </w:rPr>
        <w:t>á</w:t>
      </w:r>
      <w:r w:rsidRPr="002606DB">
        <w:rPr>
          <w:snapToGrid w:val="0"/>
          <w:lang w:val="pt-PT"/>
        </w:rPr>
        <w:t>dio FIGO III otimamente citoreduzido e com doença residual visível, 40% no est</w:t>
      </w:r>
      <w:r w:rsidR="0056720C" w:rsidRPr="007155C0">
        <w:rPr>
          <w:lang w:val="pt-PT"/>
        </w:rPr>
        <w:t>á</w:t>
      </w:r>
      <w:r w:rsidRPr="002606DB">
        <w:rPr>
          <w:snapToGrid w:val="0"/>
          <w:lang w:val="pt-PT"/>
        </w:rPr>
        <w:t>dio III com citoredução sub- ótima, e 26% eram doentes de est</w:t>
      </w:r>
      <w:r w:rsidR="0056720C" w:rsidRPr="007155C0">
        <w:rPr>
          <w:lang w:val="pt-PT"/>
        </w:rPr>
        <w:t>á</w:t>
      </w:r>
      <w:r w:rsidRPr="002606DB">
        <w:rPr>
          <w:snapToGrid w:val="0"/>
          <w:lang w:val="pt-PT"/>
        </w:rPr>
        <w:t>dio IV.</w:t>
      </w:r>
    </w:p>
    <w:p w14:paraId="27CAA50B" w14:textId="77777777" w:rsidR="00162CE2" w:rsidRPr="002606DB" w:rsidRDefault="00162CE2" w:rsidP="00056F35">
      <w:pPr>
        <w:pStyle w:val="a3"/>
        <w:adjustRightInd w:val="0"/>
        <w:snapToGrid w:val="0"/>
        <w:rPr>
          <w:snapToGrid w:val="0"/>
          <w:lang w:val="pt-PT"/>
        </w:rPr>
      </w:pPr>
    </w:p>
    <w:p w14:paraId="0B403308" w14:textId="4157D776" w:rsidR="00162CE2" w:rsidRPr="002606DB" w:rsidRDefault="00162CE2" w:rsidP="001A633D">
      <w:pPr>
        <w:pStyle w:val="a3"/>
        <w:adjustRightInd w:val="0"/>
        <w:snapToGrid w:val="0"/>
        <w:rPr>
          <w:snapToGrid w:val="0"/>
          <w:lang w:val="pt-PT"/>
        </w:rPr>
      </w:pPr>
      <w:r w:rsidRPr="002606DB">
        <w:rPr>
          <w:snapToGrid w:val="0"/>
          <w:lang w:val="pt-PT"/>
        </w:rPr>
        <w:t xml:space="preserve">O objetivo primário foi a PFS baseada na avaliação do investigador da progressão da doença, com base nos </w:t>
      </w:r>
      <w:r w:rsidRPr="002606DB">
        <w:rPr>
          <w:i/>
          <w:snapToGrid w:val="0"/>
          <w:lang w:val="pt-PT"/>
        </w:rPr>
        <w:t xml:space="preserve">scans </w:t>
      </w:r>
      <w:r w:rsidRPr="002606DB">
        <w:rPr>
          <w:snapToGrid w:val="0"/>
          <w:lang w:val="pt-PT"/>
        </w:rPr>
        <w:t>radiológicos e nos níveis CA-125, ou na deterioração sintomática por protocolo.</w:t>
      </w:r>
      <w:r w:rsidR="001A633D" w:rsidRPr="002606DB">
        <w:rPr>
          <w:snapToGrid w:val="0"/>
          <w:lang w:val="pt-PT"/>
        </w:rPr>
        <w:t xml:space="preserve"> </w:t>
      </w:r>
      <w:r w:rsidRPr="002606DB">
        <w:rPr>
          <w:snapToGrid w:val="0"/>
          <w:lang w:val="pt-PT"/>
        </w:rPr>
        <w:t xml:space="preserve">Adicionalmente, foi também realizada uma análise pré-especificada dos dados censurados para os acontecimentos de progressão CA-125, bem como uma revisão independente da PFS determinada pelos </w:t>
      </w:r>
      <w:r w:rsidRPr="002606DB">
        <w:rPr>
          <w:i/>
          <w:snapToGrid w:val="0"/>
          <w:lang w:val="pt-PT"/>
        </w:rPr>
        <w:t xml:space="preserve">scans </w:t>
      </w:r>
      <w:r w:rsidRPr="002606DB">
        <w:rPr>
          <w:snapToGrid w:val="0"/>
          <w:lang w:val="pt-PT"/>
        </w:rPr>
        <w:t>radiológicos.</w:t>
      </w:r>
    </w:p>
    <w:p w14:paraId="38F26092" w14:textId="77777777" w:rsidR="00162CE2" w:rsidRPr="002606DB" w:rsidRDefault="00162CE2" w:rsidP="00056F35">
      <w:pPr>
        <w:pStyle w:val="a3"/>
        <w:adjustRightInd w:val="0"/>
        <w:snapToGrid w:val="0"/>
        <w:rPr>
          <w:snapToGrid w:val="0"/>
          <w:lang w:val="pt-PT"/>
        </w:rPr>
      </w:pPr>
    </w:p>
    <w:p w14:paraId="456F9063" w14:textId="505B51C3" w:rsidR="00162CE2" w:rsidRPr="002606DB" w:rsidRDefault="00162CE2" w:rsidP="00056F35">
      <w:pPr>
        <w:pStyle w:val="a3"/>
        <w:adjustRightInd w:val="0"/>
        <w:snapToGrid w:val="0"/>
        <w:rPr>
          <w:snapToGrid w:val="0"/>
          <w:lang w:val="pt-PT"/>
        </w:rPr>
      </w:pPr>
      <w:r w:rsidRPr="002606DB">
        <w:rPr>
          <w:snapToGrid w:val="0"/>
          <w:lang w:val="pt-PT"/>
        </w:rPr>
        <w:t>O ensaio atingiu o objetivo primário de aumento da PFS. Comparativamente com os doentes tratados apenas com quimioterapia em primeira linha (carboplatina e paclitaxel), os doentes que receberam bevacizumab numa dose de 15 mg/kg a cada 3 semanas em associação com quimioterapia e continuaram a receber bevacizumab em monoterapia (CPB15+), tiveram um aumento da PFS clinicamente importante e estatisticamente significativo.</w:t>
      </w:r>
    </w:p>
    <w:p w14:paraId="64030D84" w14:textId="77777777" w:rsidR="00162CE2" w:rsidRPr="002606DB" w:rsidRDefault="00162CE2" w:rsidP="00056F35">
      <w:pPr>
        <w:pStyle w:val="a3"/>
        <w:adjustRightInd w:val="0"/>
        <w:snapToGrid w:val="0"/>
        <w:rPr>
          <w:snapToGrid w:val="0"/>
          <w:lang w:val="pt-PT"/>
        </w:rPr>
      </w:pPr>
    </w:p>
    <w:p w14:paraId="642A5BD7" w14:textId="77777777" w:rsidR="00162CE2" w:rsidRPr="002606DB" w:rsidRDefault="00162CE2" w:rsidP="00056F35">
      <w:pPr>
        <w:pStyle w:val="a3"/>
        <w:adjustRightInd w:val="0"/>
        <w:snapToGrid w:val="0"/>
        <w:rPr>
          <w:snapToGrid w:val="0"/>
          <w:lang w:val="pt-PT"/>
        </w:rPr>
      </w:pPr>
      <w:r w:rsidRPr="002606DB">
        <w:rPr>
          <w:snapToGrid w:val="0"/>
          <w:lang w:val="pt-PT"/>
        </w:rPr>
        <w:t>Em doentes que apenas receberam bevacizumab em associação com quimioterapia e que não continuaram a receber bevacizumab em monoterapia (CPB15), não foi observado benefício clinicamente significativo na PFS.</w:t>
      </w:r>
    </w:p>
    <w:p w14:paraId="48122D9B" w14:textId="77777777" w:rsidR="00162CE2" w:rsidRPr="002606DB" w:rsidRDefault="00162CE2" w:rsidP="00056F35">
      <w:pPr>
        <w:pStyle w:val="a3"/>
        <w:adjustRightInd w:val="0"/>
        <w:snapToGrid w:val="0"/>
        <w:rPr>
          <w:snapToGrid w:val="0"/>
          <w:lang w:val="pt-PT"/>
        </w:rPr>
      </w:pPr>
    </w:p>
    <w:p w14:paraId="7C6C7FBA" w14:textId="77777777" w:rsidR="00162CE2" w:rsidRPr="002606DB" w:rsidRDefault="00162CE2" w:rsidP="00056F35">
      <w:pPr>
        <w:pStyle w:val="a3"/>
        <w:adjustRightInd w:val="0"/>
        <w:snapToGrid w:val="0"/>
        <w:rPr>
          <w:snapToGrid w:val="0"/>
          <w:lang w:val="pt-PT"/>
        </w:rPr>
      </w:pPr>
      <w:r w:rsidRPr="002606DB">
        <w:rPr>
          <w:snapToGrid w:val="0"/>
          <w:lang w:val="pt-PT"/>
        </w:rPr>
        <w:t>Os resultados deste estudo são resumidos na Tabela 16.</w:t>
      </w:r>
    </w:p>
    <w:p w14:paraId="696CFC67" w14:textId="77777777" w:rsidR="00162CE2" w:rsidRPr="002606DB" w:rsidRDefault="00162CE2" w:rsidP="00056F35">
      <w:pPr>
        <w:pStyle w:val="a3"/>
        <w:adjustRightInd w:val="0"/>
        <w:snapToGrid w:val="0"/>
        <w:rPr>
          <w:snapToGrid w:val="0"/>
          <w:lang w:val="pt-PT"/>
        </w:rPr>
      </w:pPr>
    </w:p>
    <w:p w14:paraId="151BE2BF" w14:textId="320409EE" w:rsidR="00162CE2" w:rsidRPr="00730741" w:rsidRDefault="003A27CE"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16</w:t>
      </w:r>
      <w:r w:rsidR="00162CE2" w:rsidRPr="00730741">
        <w:rPr>
          <w:b/>
          <w:bCs/>
          <w:snapToGrid w:val="0"/>
          <w:lang w:val="pt-PT"/>
        </w:rPr>
        <w:tab/>
        <w:t>Resultados de eficácia do estudo GOG-0218</w:t>
      </w:r>
    </w:p>
    <w:p w14:paraId="69D67F5E" w14:textId="77777777" w:rsidR="00162CE2" w:rsidRPr="002606DB" w:rsidRDefault="00162CE2" w:rsidP="00056F35">
      <w:pPr>
        <w:pStyle w:val="a3"/>
        <w:adjustRightInd w:val="0"/>
        <w:snapToGrid w:val="0"/>
        <w:rPr>
          <w:b/>
          <w:snapToGrid w:val="0"/>
          <w:lang w:val="pt-P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7"/>
        <w:gridCol w:w="2088"/>
        <w:gridCol w:w="2088"/>
        <w:gridCol w:w="2088"/>
      </w:tblGrid>
      <w:tr w:rsidR="00162CE2" w:rsidRPr="002606DB" w14:paraId="2D625A63" w14:textId="77777777" w:rsidTr="001A633D">
        <w:trPr>
          <w:cantSplit/>
        </w:trPr>
        <w:tc>
          <w:tcPr>
            <w:tcW w:w="9184" w:type="dxa"/>
            <w:gridSpan w:val="4"/>
          </w:tcPr>
          <w:p w14:paraId="64E12C03" w14:textId="77777777" w:rsidR="00162CE2" w:rsidRPr="00A03389" w:rsidRDefault="00162CE2" w:rsidP="008D30AF">
            <w:pPr>
              <w:pStyle w:val="TableParagraph"/>
              <w:adjustRightInd w:val="0"/>
              <w:snapToGrid w:val="0"/>
              <w:rPr>
                <w:b/>
                <w:bCs/>
                <w:snapToGrid w:val="0"/>
                <w:sz w:val="20"/>
                <w:lang w:val="pt-PT"/>
              </w:rPr>
            </w:pPr>
            <w:r w:rsidRPr="00A03389">
              <w:rPr>
                <w:b/>
                <w:bCs/>
                <w:snapToGrid w:val="0"/>
                <w:sz w:val="20"/>
                <w:lang w:val="pt-PT"/>
              </w:rPr>
              <w:t>Sobrevivência livre de progressão</w:t>
            </w:r>
            <w:r w:rsidRPr="00A03389">
              <w:rPr>
                <w:b/>
                <w:bCs/>
                <w:snapToGrid w:val="0"/>
                <w:sz w:val="20"/>
                <w:vertAlign w:val="superscript"/>
                <w:lang w:val="pt-PT"/>
              </w:rPr>
              <w:t>1</w:t>
            </w:r>
          </w:p>
        </w:tc>
      </w:tr>
      <w:tr w:rsidR="00162CE2" w:rsidRPr="002606DB" w14:paraId="46525050" w14:textId="77777777" w:rsidTr="001A633D">
        <w:trPr>
          <w:cantSplit/>
        </w:trPr>
        <w:tc>
          <w:tcPr>
            <w:tcW w:w="2764" w:type="dxa"/>
          </w:tcPr>
          <w:p w14:paraId="31326600" w14:textId="77777777" w:rsidR="00162CE2" w:rsidRPr="002606DB" w:rsidRDefault="00162CE2" w:rsidP="00056F35">
            <w:pPr>
              <w:pStyle w:val="TableParagraph"/>
              <w:adjustRightInd w:val="0"/>
              <w:snapToGrid w:val="0"/>
              <w:rPr>
                <w:snapToGrid w:val="0"/>
                <w:sz w:val="20"/>
                <w:lang w:val="pt-PT"/>
              </w:rPr>
            </w:pPr>
          </w:p>
        </w:tc>
        <w:tc>
          <w:tcPr>
            <w:tcW w:w="2140" w:type="dxa"/>
          </w:tcPr>
          <w:p w14:paraId="757FE64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CPP</w:t>
            </w:r>
          </w:p>
          <w:p w14:paraId="46B1977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625)</w:t>
            </w:r>
          </w:p>
        </w:tc>
        <w:tc>
          <w:tcPr>
            <w:tcW w:w="2140" w:type="dxa"/>
          </w:tcPr>
          <w:p w14:paraId="260DA00E"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CPB15</w:t>
            </w:r>
          </w:p>
          <w:p w14:paraId="73C20669"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625)</w:t>
            </w:r>
          </w:p>
        </w:tc>
        <w:tc>
          <w:tcPr>
            <w:tcW w:w="2140" w:type="dxa"/>
          </w:tcPr>
          <w:p w14:paraId="757CD55D"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CPB15+</w:t>
            </w:r>
          </w:p>
          <w:p w14:paraId="51124E4A"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623)</w:t>
            </w:r>
          </w:p>
        </w:tc>
      </w:tr>
      <w:tr w:rsidR="00162CE2" w:rsidRPr="002606DB" w14:paraId="2156BE4D" w14:textId="77777777" w:rsidTr="001A633D">
        <w:trPr>
          <w:cantSplit/>
        </w:trPr>
        <w:tc>
          <w:tcPr>
            <w:tcW w:w="2764" w:type="dxa"/>
          </w:tcPr>
          <w:p w14:paraId="5EDFE853"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PFS Mediana (meses)</w:t>
            </w:r>
          </w:p>
        </w:tc>
        <w:tc>
          <w:tcPr>
            <w:tcW w:w="2140" w:type="dxa"/>
          </w:tcPr>
          <w:p w14:paraId="4EE09B2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10,6</w:t>
            </w:r>
          </w:p>
        </w:tc>
        <w:tc>
          <w:tcPr>
            <w:tcW w:w="2140" w:type="dxa"/>
          </w:tcPr>
          <w:p w14:paraId="19AC3F2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11,6</w:t>
            </w:r>
          </w:p>
        </w:tc>
        <w:tc>
          <w:tcPr>
            <w:tcW w:w="2140" w:type="dxa"/>
          </w:tcPr>
          <w:p w14:paraId="000029F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14,7</w:t>
            </w:r>
          </w:p>
        </w:tc>
      </w:tr>
      <w:tr w:rsidR="00162CE2" w:rsidRPr="002606DB" w14:paraId="76C35B30" w14:textId="77777777" w:rsidTr="001A633D">
        <w:trPr>
          <w:cantSplit/>
        </w:trPr>
        <w:tc>
          <w:tcPr>
            <w:tcW w:w="2764" w:type="dxa"/>
          </w:tcPr>
          <w:p w14:paraId="07D99588" w14:textId="3F2874AC" w:rsidR="00162CE2" w:rsidRPr="002606DB" w:rsidRDefault="00162CE2" w:rsidP="001A633D">
            <w:pPr>
              <w:pStyle w:val="TableParagraph"/>
              <w:adjustRightInd w:val="0"/>
              <w:snapToGrid w:val="0"/>
              <w:jc w:val="center"/>
              <w:rPr>
                <w:snapToGrid w:val="0"/>
                <w:sz w:val="20"/>
                <w:lang w:val="pt-PT"/>
              </w:rPr>
            </w:pPr>
            <w:r w:rsidRPr="00A03389">
              <w:rPr>
                <w:iCs/>
                <w:snapToGrid w:val="0"/>
                <w:sz w:val="20"/>
                <w:lang w:val="pt-PT"/>
              </w:rPr>
              <w:t xml:space="preserve">Hazard </w:t>
            </w:r>
            <w:r w:rsidR="00836F41" w:rsidRPr="00A03389">
              <w:rPr>
                <w:iCs/>
                <w:snapToGrid w:val="0"/>
                <w:sz w:val="20"/>
                <w:lang w:val="pt-PT"/>
              </w:rPr>
              <w:t>r</w:t>
            </w:r>
            <w:r w:rsidRPr="00A03389">
              <w:rPr>
                <w:iCs/>
                <w:snapToGrid w:val="0"/>
                <w:sz w:val="20"/>
                <w:lang w:val="pt-PT"/>
              </w:rPr>
              <w:t>atio</w:t>
            </w:r>
            <w:r w:rsidRPr="002606DB">
              <w:rPr>
                <w:i/>
                <w:snapToGrid w:val="0"/>
                <w:sz w:val="20"/>
                <w:lang w:val="pt-PT"/>
              </w:rPr>
              <w:t xml:space="preserve"> </w:t>
            </w:r>
            <w:r w:rsidRPr="002606DB">
              <w:rPr>
                <w:snapToGrid w:val="0"/>
                <w:sz w:val="20"/>
                <w:lang w:val="pt-PT"/>
              </w:rPr>
              <w:t>(taxa de risco)</w:t>
            </w:r>
            <w:r w:rsidR="001A633D" w:rsidRPr="002606DB">
              <w:rPr>
                <w:snapToGrid w:val="0"/>
                <w:sz w:val="20"/>
                <w:lang w:val="pt-PT"/>
              </w:rPr>
              <w:t xml:space="preserve"> </w:t>
            </w:r>
            <w:r w:rsidR="001A633D" w:rsidRPr="002606DB">
              <w:rPr>
                <w:snapToGrid w:val="0"/>
                <w:sz w:val="20"/>
                <w:lang w:val="pt-PT"/>
              </w:rPr>
              <w:br/>
            </w:r>
            <w:r w:rsidRPr="002606DB">
              <w:rPr>
                <w:snapToGrid w:val="0"/>
                <w:sz w:val="20"/>
                <w:lang w:val="pt-PT"/>
              </w:rPr>
              <w:t xml:space="preserve">(IC 95%) </w:t>
            </w:r>
            <w:r w:rsidRPr="002606DB">
              <w:rPr>
                <w:snapToGrid w:val="0"/>
                <w:sz w:val="20"/>
                <w:vertAlign w:val="superscript"/>
                <w:lang w:val="pt-PT"/>
              </w:rPr>
              <w:t>2</w:t>
            </w:r>
          </w:p>
        </w:tc>
        <w:tc>
          <w:tcPr>
            <w:tcW w:w="2140" w:type="dxa"/>
          </w:tcPr>
          <w:p w14:paraId="414A2519" w14:textId="77777777" w:rsidR="00162CE2" w:rsidRPr="002606DB" w:rsidRDefault="00162CE2" w:rsidP="00056F35">
            <w:pPr>
              <w:pStyle w:val="TableParagraph"/>
              <w:adjustRightInd w:val="0"/>
              <w:snapToGrid w:val="0"/>
              <w:rPr>
                <w:snapToGrid w:val="0"/>
                <w:sz w:val="20"/>
                <w:lang w:val="pt-PT"/>
              </w:rPr>
            </w:pPr>
          </w:p>
        </w:tc>
        <w:tc>
          <w:tcPr>
            <w:tcW w:w="2140" w:type="dxa"/>
          </w:tcPr>
          <w:p w14:paraId="547E0DB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0,89</w:t>
            </w:r>
          </w:p>
          <w:p w14:paraId="02E20DD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(0,78; 1,02)</w:t>
            </w:r>
          </w:p>
        </w:tc>
        <w:tc>
          <w:tcPr>
            <w:tcW w:w="2140" w:type="dxa"/>
          </w:tcPr>
          <w:p w14:paraId="3538AB9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0,70</w:t>
            </w:r>
          </w:p>
          <w:p w14:paraId="5A1BC78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(0,61; 0,81)</w:t>
            </w:r>
          </w:p>
        </w:tc>
      </w:tr>
      <w:tr w:rsidR="00162CE2" w:rsidRPr="002606DB" w14:paraId="271D456F" w14:textId="77777777" w:rsidTr="001A633D">
        <w:trPr>
          <w:cantSplit/>
        </w:trPr>
        <w:tc>
          <w:tcPr>
            <w:tcW w:w="2764" w:type="dxa"/>
          </w:tcPr>
          <w:p w14:paraId="3F8E4104"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 xml:space="preserve">valor de p </w:t>
            </w:r>
            <w:r w:rsidRPr="002606DB">
              <w:rPr>
                <w:snapToGrid w:val="0"/>
                <w:sz w:val="20"/>
                <w:vertAlign w:val="superscript"/>
                <w:lang w:val="pt-PT"/>
              </w:rPr>
              <w:t>3,</w:t>
            </w:r>
            <w:r w:rsidRPr="002606DB">
              <w:rPr>
                <w:snapToGrid w:val="0"/>
                <w:sz w:val="20"/>
                <w:lang w:val="pt-PT"/>
              </w:rPr>
              <w:t xml:space="preserve"> </w:t>
            </w:r>
            <w:r w:rsidRPr="002606DB">
              <w:rPr>
                <w:snapToGrid w:val="0"/>
                <w:sz w:val="20"/>
                <w:vertAlign w:val="superscript"/>
                <w:lang w:val="pt-PT"/>
              </w:rPr>
              <w:t>4</w:t>
            </w:r>
          </w:p>
        </w:tc>
        <w:tc>
          <w:tcPr>
            <w:tcW w:w="2140" w:type="dxa"/>
          </w:tcPr>
          <w:p w14:paraId="4F61049A" w14:textId="77777777" w:rsidR="00162CE2" w:rsidRPr="002606DB" w:rsidRDefault="00162CE2" w:rsidP="00056F35">
            <w:pPr>
              <w:pStyle w:val="TableParagraph"/>
              <w:adjustRightInd w:val="0"/>
              <w:snapToGrid w:val="0"/>
              <w:rPr>
                <w:snapToGrid w:val="0"/>
                <w:sz w:val="20"/>
                <w:lang w:val="pt-PT"/>
              </w:rPr>
            </w:pPr>
          </w:p>
        </w:tc>
        <w:tc>
          <w:tcPr>
            <w:tcW w:w="2140" w:type="dxa"/>
          </w:tcPr>
          <w:p w14:paraId="57FA731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0,0437</w:t>
            </w:r>
          </w:p>
        </w:tc>
        <w:tc>
          <w:tcPr>
            <w:tcW w:w="2140" w:type="dxa"/>
          </w:tcPr>
          <w:p w14:paraId="3E1E2FD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&lt; 0,0001</w:t>
            </w:r>
          </w:p>
        </w:tc>
      </w:tr>
      <w:tr w:rsidR="00162CE2" w:rsidRPr="002606DB" w14:paraId="21D85909" w14:textId="77777777" w:rsidTr="001A633D">
        <w:trPr>
          <w:cantSplit/>
        </w:trPr>
        <w:tc>
          <w:tcPr>
            <w:tcW w:w="9184" w:type="dxa"/>
            <w:gridSpan w:val="4"/>
          </w:tcPr>
          <w:p w14:paraId="28FD8B5E" w14:textId="77777777" w:rsidR="00162CE2" w:rsidRPr="00A03389" w:rsidRDefault="00162CE2" w:rsidP="001A633D">
            <w:pPr>
              <w:pStyle w:val="TableParagraph"/>
              <w:keepNext/>
              <w:widowControl/>
              <w:adjustRightInd w:val="0"/>
              <w:snapToGrid w:val="0"/>
              <w:rPr>
                <w:b/>
                <w:bCs/>
                <w:snapToGrid w:val="0"/>
                <w:sz w:val="20"/>
                <w:lang w:val="pt-PT"/>
              </w:rPr>
            </w:pPr>
            <w:r w:rsidRPr="00A03389">
              <w:rPr>
                <w:b/>
                <w:bCs/>
                <w:snapToGrid w:val="0"/>
                <w:sz w:val="20"/>
                <w:lang w:val="pt-PT"/>
              </w:rPr>
              <w:t xml:space="preserve">Taxa de resposta objetiva </w:t>
            </w:r>
            <w:r w:rsidRPr="00A03389">
              <w:rPr>
                <w:b/>
                <w:bCs/>
                <w:snapToGrid w:val="0"/>
                <w:sz w:val="20"/>
                <w:vertAlign w:val="superscript"/>
                <w:lang w:val="pt-PT"/>
              </w:rPr>
              <w:t>5</w:t>
            </w:r>
          </w:p>
        </w:tc>
      </w:tr>
      <w:tr w:rsidR="00162CE2" w:rsidRPr="002606DB" w14:paraId="7427EDA3" w14:textId="77777777" w:rsidTr="001A633D">
        <w:trPr>
          <w:cantSplit/>
        </w:trPr>
        <w:tc>
          <w:tcPr>
            <w:tcW w:w="2764" w:type="dxa"/>
          </w:tcPr>
          <w:p w14:paraId="03DC777A" w14:textId="77777777" w:rsidR="00162CE2" w:rsidRPr="002606DB" w:rsidRDefault="00162CE2">
            <w:pPr>
              <w:pStyle w:val="TableParagraph"/>
              <w:adjustRightInd w:val="0"/>
              <w:snapToGrid w:val="0"/>
              <w:rPr>
                <w:snapToGrid w:val="0"/>
                <w:sz w:val="20"/>
                <w:lang w:val="pt-PT"/>
              </w:rPr>
            </w:pPr>
          </w:p>
        </w:tc>
        <w:tc>
          <w:tcPr>
            <w:tcW w:w="2140" w:type="dxa"/>
          </w:tcPr>
          <w:p w14:paraId="3BE0488E" w14:textId="4D6FB004" w:rsidR="00162CE2" w:rsidRPr="002606DB" w:rsidRDefault="00162CE2" w:rsidP="00B34426">
            <w:pPr>
              <w:pStyle w:val="TableParagraph"/>
              <w:adjustRightInd w:val="0"/>
              <w:snapToGrid w:val="0"/>
              <w:jc w:val="center"/>
              <w:rPr>
                <w:snapToGrid w:val="0"/>
                <w:sz w:val="20"/>
                <w:lang w:val="pt-PT"/>
              </w:rPr>
            </w:pPr>
            <w:r w:rsidRPr="002606DB">
              <w:rPr>
                <w:snapToGrid w:val="0"/>
                <w:sz w:val="20"/>
                <w:lang w:val="pt-PT"/>
              </w:rPr>
              <w:t xml:space="preserve">CPP </w:t>
            </w:r>
            <w:r w:rsidR="001A633D" w:rsidRPr="002606DB">
              <w:rPr>
                <w:snapToGrid w:val="0"/>
                <w:sz w:val="20"/>
                <w:lang w:val="pt-PT"/>
              </w:rPr>
              <w:br/>
            </w:r>
            <w:r w:rsidRPr="002606DB">
              <w:rPr>
                <w:snapToGrid w:val="0"/>
                <w:sz w:val="20"/>
                <w:lang w:val="pt-PT"/>
              </w:rPr>
              <w:t>(n = 396)</w:t>
            </w:r>
          </w:p>
        </w:tc>
        <w:tc>
          <w:tcPr>
            <w:tcW w:w="2140" w:type="dxa"/>
          </w:tcPr>
          <w:p w14:paraId="264C4322" w14:textId="50C07A72" w:rsidR="00162CE2" w:rsidRPr="002606DB" w:rsidRDefault="00162CE2" w:rsidP="00B34426">
            <w:pPr>
              <w:pStyle w:val="TableParagraph"/>
              <w:adjustRightInd w:val="0"/>
              <w:snapToGrid w:val="0"/>
              <w:jc w:val="center"/>
              <w:rPr>
                <w:snapToGrid w:val="0"/>
                <w:sz w:val="20"/>
                <w:lang w:val="pt-PT"/>
              </w:rPr>
            </w:pPr>
            <w:r w:rsidRPr="002606DB">
              <w:rPr>
                <w:snapToGrid w:val="0"/>
                <w:sz w:val="20"/>
                <w:lang w:val="pt-PT"/>
              </w:rPr>
              <w:t xml:space="preserve">CPB15 </w:t>
            </w:r>
            <w:r w:rsidR="001A633D" w:rsidRPr="002606DB">
              <w:rPr>
                <w:snapToGrid w:val="0"/>
                <w:sz w:val="20"/>
                <w:lang w:val="pt-PT"/>
              </w:rPr>
              <w:br/>
            </w:r>
            <w:r w:rsidRPr="002606DB">
              <w:rPr>
                <w:snapToGrid w:val="0"/>
                <w:sz w:val="20"/>
                <w:lang w:val="pt-PT"/>
              </w:rPr>
              <w:t>(n = 393)</w:t>
            </w:r>
          </w:p>
        </w:tc>
        <w:tc>
          <w:tcPr>
            <w:tcW w:w="2140" w:type="dxa"/>
          </w:tcPr>
          <w:p w14:paraId="56B83722" w14:textId="03263DF6" w:rsidR="00162CE2" w:rsidRPr="002606DB" w:rsidRDefault="00162CE2" w:rsidP="00B34426">
            <w:pPr>
              <w:pStyle w:val="TableParagraph"/>
              <w:adjustRightInd w:val="0"/>
              <w:snapToGrid w:val="0"/>
              <w:jc w:val="center"/>
              <w:rPr>
                <w:snapToGrid w:val="0"/>
                <w:sz w:val="20"/>
                <w:lang w:val="pt-PT"/>
              </w:rPr>
            </w:pPr>
            <w:r w:rsidRPr="002606DB">
              <w:rPr>
                <w:snapToGrid w:val="0"/>
                <w:sz w:val="20"/>
                <w:lang w:val="pt-PT"/>
              </w:rPr>
              <w:t xml:space="preserve">CPB15+ </w:t>
            </w:r>
            <w:r w:rsidR="001A633D" w:rsidRPr="002606DB">
              <w:rPr>
                <w:snapToGrid w:val="0"/>
                <w:sz w:val="20"/>
                <w:lang w:val="pt-PT"/>
              </w:rPr>
              <w:br/>
            </w:r>
            <w:r w:rsidRPr="002606DB">
              <w:rPr>
                <w:snapToGrid w:val="0"/>
                <w:sz w:val="20"/>
                <w:lang w:val="pt-PT"/>
              </w:rPr>
              <w:t>(n = 403)</w:t>
            </w:r>
          </w:p>
        </w:tc>
      </w:tr>
      <w:tr w:rsidR="00162CE2" w:rsidRPr="002606DB" w14:paraId="1D6282F6" w14:textId="77777777" w:rsidTr="001A633D">
        <w:trPr>
          <w:cantSplit/>
        </w:trPr>
        <w:tc>
          <w:tcPr>
            <w:tcW w:w="2764" w:type="dxa"/>
          </w:tcPr>
          <w:p w14:paraId="3AD481B3"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 doentes com resposta</w:t>
            </w:r>
          </w:p>
          <w:p w14:paraId="058070B2"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objetiva</w:t>
            </w:r>
          </w:p>
        </w:tc>
        <w:tc>
          <w:tcPr>
            <w:tcW w:w="2140" w:type="dxa"/>
          </w:tcPr>
          <w:p w14:paraId="2B7006C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63,4</w:t>
            </w:r>
          </w:p>
        </w:tc>
        <w:tc>
          <w:tcPr>
            <w:tcW w:w="2140" w:type="dxa"/>
          </w:tcPr>
          <w:p w14:paraId="03C0B6E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66,2</w:t>
            </w:r>
          </w:p>
        </w:tc>
        <w:tc>
          <w:tcPr>
            <w:tcW w:w="2140" w:type="dxa"/>
          </w:tcPr>
          <w:p w14:paraId="133618C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66,0</w:t>
            </w:r>
          </w:p>
        </w:tc>
      </w:tr>
      <w:tr w:rsidR="00162CE2" w:rsidRPr="002606DB" w14:paraId="604B1669" w14:textId="77777777" w:rsidTr="001A633D">
        <w:trPr>
          <w:cantSplit/>
        </w:trPr>
        <w:tc>
          <w:tcPr>
            <w:tcW w:w="2764" w:type="dxa"/>
          </w:tcPr>
          <w:p w14:paraId="6746CEF6"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valor de p</w:t>
            </w:r>
          </w:p>
        </w:tc>
        <w:tc>
          <w:tcPr>
            <w:tcW w:w="2140" w:type="dxa"/>
          </w:tcPr>
          <w:p w14:paraId="227EAB08" w14:textId="77777777" w:rsidR="00162CE2" w:rsidRPr="002606DB" w:rsidRDefault="00162CE2" w:rsidP="00056F35">
            <w:pPr>
              <w:pStyle w:val="TableParagraph"/>
              <w:adjustRightInd w:val="0"/>
              <w:snapToGrid w:val="0"/>
              <w:rPr>
                <w:snapToGrid w:val="0"/>
                <w:sz w:val="20"/>
                <w:lang w:val="pt-PT"/>
              </w:rPr>
            </w:pPr>
          </w:p>
        </w:tc>
        <w:tc>
          <w:tcPr>
            <w:tcW w:w="2140" w:type="dxa"/>
          </w:tcPr>
          <w:p w14:paraId="70740874"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0,2341</w:t>
            </w:r>
          </w:p>
        </w:tc>
        <w:tc>
          <w:tcPr>
            <w:tcW w:w="2140" w:type="dxa"/>
          </w:tcPr>
          <w:p w14:paraId="2E752CF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0,2041</w:t>
            </w:r>
          </w:p>
        </w:tc>
      </w:tr>
      <w:tr w:rsidR="00162CE2" w:rsidRPr="002606DB" w14:paraId="288009BA" w14:textId="77777777" w:rsidTr="001A633D">
        <w:trPr>
          <w:cantSplit/>
        </w:trPr>
        <w:tc>
          <w:tcPr>
            <w:tcW w:w="9184" w:type="dxa"/>
            <w:gridSpan w:val="4"/>
          </w:tcPr>
          <w:p w14:paraId="3BA79EB3" w14:textId="77777777" w:rsidR="00162CE2" w:rsidRPr="00A03389" w:rsidRDefault="00162CE2">
            <w:pPr>
              <w:pStyle w:val="TableParagraph"/>
              <w:adjustRightInd w:val="0"/>
              <w:snapToGrid w:val="0"/>
              <w:rPr>
                <w:b/>
                <w:bCs/>
                <w:snapToGrid w:val="0"/>
                <w:sz w:val="20"/>
                <w:lang w:val="pt-PT"/>
              </w:rPr>
            </w:pPr>
            <w:r w:rsidRPr="00A03389">
              <w:rPr>
                <w:b/>
                <w:bCs/>
                <w:snapToGrid w:val="0"/>
                <w:sz w:val="20"/>
                <w:lang w:val="pt-PT"/>
              </w:rPr>
              <w:t xml:space="preserve">Sobrevivência global </w:t>
            </w:r>
            <w:r w:rsidRPr="00A03389">
              <w:rPr>
                <w:b/>
                <w:bCs/>
                <w:snapToGrid w:val="0"/>
                <w:sz w:val="20"/>
                <w:vertAlign w:val="superscript"/>
                <w:lang w:val="pt-PT"/>
              </w:rPr>
              <w:t>6</w:t>
            </w:r>
          </w:p>
        </w:tc>
      </w:tr>
      <w:tr w:rsidR="00162CE2" w:rsidRPr="002606DB" w14:paraId="19F091F2" w14:textId="77777777" w:rsidTr="001A633D">
        <w:trPr>
          <w:cantSplit/>
        </w:trPr>
        <w:tc>
          <w:tcPr>
            <w:tcW w:w="2764" w:type="dxa"/>
          </w:tcPr>
          <w:p w14:paraId="5301F019" w14:textId="77777777" w:rsidR="00162CE2" w:rsidRPr="002606DB" w:rsidRDefault="00162CE2">
            <w:pPr>
              <w:pStyle w:val="TableParagraph"/>
              <w:adjustRightInd w:val="0"/>
              <w:snapToGrid w:val="0"/>
              <w:rPr>
                <w:snapToGrid w:val="0"/>
                <w:sz w:val="20"/>
                <w:lang w:val="pt-PT"/>
              </w:rPr>
            </w:pPr>
          </w:p>
        </w:tc>
        <w:tc>
          <w:tcPr>
            <w:tcW w:w="2140" w:type="dxa"/>
          </w:tcPr>
          <w:p w14:paraId="0C64CC85" w14:textId="6D23B1F9" w:rsidR="00162CE2" w:rsidRPr="002606DB" w:rsidRDefault="00162CE2" w:rsidP="00B34426">
            <w:pPr>
              <w:pStyle w:val="TableParagraph"/>
              <w:adjustRightInd w:val="0"/>
              <w:snapToGrid w:val="0"/>
              <w:jc w:val="center"/>
              <w:rPr>
                <w:snapToGrid w:val="0"/>
                <w:sz w:val="20"/>
                <w:lang w:val="pt-PT"/>
              </w:rPr>
            </w:pPr>
            <w:r w:rsidRPr="002606DB">
              <w:rPr>
                <w:snapToGrid w:val="0"/>
                <w:sz w:val="20"/>
                <w:lang w:val="pt-PT"/>
              </w:rPr>
              <w:t xml:space="preserve">CPP </w:t>
            </w:r>
            <w:r w:rsidR="001A633D" w:rsidRPr="002606DB">
              <w:rPr>
                <w:snapToGrid w:val="0"/>
                <w:sz w:val="20"/>
                <w:lang w:val="pt-PT"/>
              </w:rPr>
              <w:br/>
            </w:r>
            <w:r w:rsidRPr="002606DB">
              <w:rPr>
                <w:snapToGrid w:val="0"/>
                <w:sz w:val="20"/>
                <w:lang w:val="pt-PT"/>
              </w:rPr>
              <w:t>(n = 625)</w:t>
            </w:r>
          </w:p>
        </w:tc>
        <w:tc>
          <w:tcPr>
            <w:tcW w:w="2140" w:type="dxa"/>
          </w:tcPr>
          <w:p w14:paraId="1206D134" w14:textId="0D6F92BA" w:rsidR="00162CE2" w:rsidRPr="002606DB" w:rsidRDefault="00162CE2" w:rsidP="00B34426">
            <w:pPr>
              <w:pStyle w:val="TableParagraph"/>
              <w:adjustRightInd w:val="0"/>
              <w:snapToGrid w:val="0"/>
              <w:jc w:val="center"/>
              <w:rPr>
                <w:snapToGrid w:val="0"/>
                <w:sz w:val="20"/>
                <w:lang w:val="pt-PT"/>
              </w:rPr>
            </w:pPr>
            <w:r w:rsidRPr="002606DB">
              <w:rPr>
                <w:snapToGrid w:val="0"/>
                <w:sz w:val="20"/>
                <w:lang w:val="pt-PT"/>
              </w:rPr>
              <w:t xml:space="preserve">CPB15 </w:t>
            </w:r>
            <w:r w:rsidR="001A633D" w:rsidRPr="002606DB">
              <w:rPr>
                <w:snapToGrid w:val="0"/>
                <w:sz w:val="20"/>
                <w:lang w:val="pt-PT"/>
              </w:rPr>
              <w:br/>
            </w:r>
            <w:r w:rsidRPr="002606DB">
              <w:rPr>
                <w:snapToGrid w:val="0"/>
                <w:sz w:val="20"/>
                <w:lang w:val="pt-PT"/>
              </w:rPr>
              <w:t>(n = 625)</w:t>
            </w:r>
          </w:p>
        </w:tc>
        <w:tc>
          <w:tcPr>
            <w:tcW w:w="2140" w:type="dxa"/>
          </w:tcPr>
          <w:p w14:paraId="2A9464ED" w14:textId="0C5C97F4" w:rsidR="00162CE2" w:rsidRPr="002606DB" w:rsidRDefault="00162CE2" w:rsidP="00B34426">
            <w:pPr>
              <w:pStyle w:val="TableParagraph"/>
              <w:adjustRightInd w:val="0"/>
              <w:snapToGrid w:val="0"/>
              <w:jc w:val="center"/>
              <w:rPr>
                <w:snapToGrid w:val="0"/>
                <w:sz w:val="20"/>
                <w:lang w:val="pt-PT"/>
              </w:rPr>
            </w:pPr>
            <w:r w:rsidRPr="002606DB">
              <w:rPr>
                <w:snapToGrid w:val="0"/>
                <w:sz w:val="20"/>
                <w:lang w:val="pt-PT"/>
              </w:rPr>
              <w:t xml:space="preserve">CPB15+ </w:t>
            </w:r>
            <w:r w:rsidR="001A633D" w:rsidRPr="002606DB">
              <w:rPr>
                <w:snapToGrid w:val="0"/>
                <w:sz w:val="20"/>
                <w:lang w:val="pt-PT"/>
              </w:rPr>
              <w:br/>
            </w:r>
            <w:r w:rsidRPr="002606DB">
              <w:rPr>
                <w:snapToGrid w:val="0"/>
                <w:sz w:val="20"/>
                <w:lang w:val="pt-PT"/>
              </w:rPr>
              <w:t>(n = 623)</w:t>
            </w:r>
          </w:p>
        </w:tc>
      </w:tr>
      <w:tr w:rsidR="00162CE2" w:rsidRPr="002606DB" w14:paraId="426B5724" w14:textId="77777777" w:rsidTr="001A633D">
        <w:trPr>
          <w:cantSplit/>
        </w:trPr>
        <w:tc>
          <w:tcPr>
            <w:tcW w:w="2764" w:type="dxa"/>
          </w:tcPr>
          <w:p w14:paraId="3D1BAD15"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OS mediana (meses)</w:t>
            </w:r>
          </w:p>
        </w:tc>
        <w:tc>
          <w:tcPr>
            <w:tcW w:w="2140" w:type="dxa"/>
          </w:tcPr>
          <w:p w14:paraId="69CBD2F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40,6</w:t>
            </w:r>
          </w:p>
        </w:tc>
        <w:tc>
          <w:tcPr>
            <w:tcW w:w="2140" w:type="dxa"/>
          </w:tcPr>
          <w:p w14:paraId="4B6A6EB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38,8</w:t>
            </w:r>
          </w:p>
        </w:tc>
        <w:tc>
          <w:tcPr>
            <w:tcW w:w="2140" w:type="dxa"/>
          </w:tcPr>
          <w:p w14:paraId="4D25E91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43,8</w:t>
            </w:r>
          </w:p>
        </w:tc>
      </w:tr>
      <w:tr w:rsidR="00162CE2" w:rsidRPr="002606DB" w14:paraId="04A8F8B8" w14:textId="77777777" w:rsidTr="001A633D">
        <w:trPr>
          <w:cantSplit/>
        </w:trPr>
        <w:tc>
          <w:tcPr>
            <w:tcW w:w="2764" w:type="dxa"/>
          </w:tcPr>
          <w:p w14:paraId="2AFAE6BB" w14:textId="0E10C693" w:rsidR="00162CE2" w:rsidRPr="002606DB" w:rsidRDefault="00162CE2" w:rsidP="001A633D">
            <w:pPr>
              <w:pStyle w:val="TableParagraph"/>
              <w:adjustRightInd w:val="0"/>
              <w:snapToGrid w:val="0"/>
              <w:jc w:val="center"/>
              <w:rPr>
                <w:snapToGrid w:val="0"/>
                <w:sz w:val="20"/>
                <w:lang w:val="pt-PT"/>
              </w:rPr>
            </w:pPr>
            <w:r w:rsidRPr="00A03389">
              <w:rPr>
                <w:iCs/>
                <w:snapToGrid w:val="0"/>
                <w:sz w:val="20"/>
                <w:lang w:val="pt-PT"/>
              </w:rPr>
              <w:t xml:space="preserve">Hazard </w:t>
            </w:r>
            <w:r w:rsidR="00836F41" w:rsidRPr="00A03389">
              <w:rPr>
                <w:iCs/>
                <w:snapToGrid w:val="0"/>
                <w:sz w:val="20"/>
                <w:lang w:val="pt-PT"/>
              </w:rPr>
              <w:t>r</w:t>
            </w:r>
            <w:r w:rsidRPr="00A03389">
              <w:rPr>
                <w:iCs/>
                <w:snapToGrid w:val="0"/>
                <w:sz w:val="20"/>
                <w:lang w:val="pt-PT"/>
              </w:rPr>
              <w:t>atio</w:t>
            </w:r>
            <w:r w:rsidRPr="002606DB">
              <w:rPr>
                <w:i/>
                <w:snapToGrid w:val="0"/>
                <w:sz w:val="20"/>
                <w:lang w:val="pt-PT"/>
              </w:rPr>
              <w:t xml:space="preserve"> </w:t>
            </w:r>
            <w:r w:rsidRPr="002606DB">
              <w:rPr>
                <w:snapToGrid w:val="0"/>
                <w:sz w:val="20"/>
                <w:lang w:val="pt-PT"/>
              </w:rPr>
              <w:t>(taxa de risco)</w:t>
            </w:r>
          </w:p>
          <w:p w14:paraId="767267ED"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 xml:space="preserve">(IC 95%) </w:t>
            </w:r>
            <w:r w:rsidRPr="002606DB">
              <w:rPr>
                <w:snapToGrid w:val="0"/>
                <w:sz w:val="20"/>
                <w:vertAlign w:val="superscript"/>
                <w:lang w:val="pt-PT"/>
              </w:rPr>
              <w:t>2</w:t>
            </w:r>
          </w:p>
        </w:tc>
        <w:tc>
          <w:tcPr>
            <w:tcW w:w="2140" w:type="dxa"/>
          </w:tcPr>
          <w:p w14:paraId="1E09E0B1" w14:textId="77777777" w:rsidR="00162CE2" w:rsidRPr="002606DB" w:rsidRDefault="00162CE2" w:rsidP="00056F35">
            <w:pPr>
              <w:pStyle w:val="TableParagraph"/>
              <w:adjustRightInd w:val="0"/>
              <w:snapToGrid w:val="0"/>
              <w:rPr>
                <w:snapToGrid w:val="0"/>
                <w:sz w:val="20"/>
                <w:lang w:val="pt-PT"/>
              </w:rPr>
            </w:pPr>
          </w:p>
        </w:tc>
        <w:tc>
          <w:tcPr>
            <w:tcW w:w="2140" w:type="dxa"/>
          </w:tcPr>
          <w:p w14:paraId="7BFDA7DC" w14:textId="573E2FD3"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 xml:space="preserve">1,07 </w:t>
            </w:r>
            <w:r w:rsidR="001A633D" w:rsidRPr="002606DB">
              <w:rPr>
                <w:snapToGrid w:val="0"/>
                <w:sz w:val="20"/>
                <w:lang w:val="pt-PT"/>
              </w:rPr>
              <w:br/>
            </w:r>
            <w:r w:rsidRPr="002606DB">
              <w:rPr>
                <w:snapToGrid w:val="0"/>
                <w:sz w:val="20"/>
                <w:lang w:val="pt-PT"/>
              </w:rPr>
              <w:t>(0,91; 1,25)</w:t>
            </w:r>
          </w:p>
        </w:tc>
        <w:tc>
          <w:tcPr>
            <w:tcW w:w="2140" w:type="dxa"/>
          </w:tcPr>
          <w:p w14:paraId="4D1DA0A7" w14:textId="07BD96BC"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 xml:space="preserve">0,88 </w:t>
            </w:r>
            <w:r w:rsidR="001A633D" w:rsidRPr="002606DB">
              <w:rPr>
                <w:snapToGrid w:val="0"/>
                <w:sz w:val="20"/>
                <w:lang w:val="pt-PT"/>
              </w:rPr>
              <w:br/>
            </w:r>
            <w:r w:rsidRPr="002606DB">
              <w:rPr>
                <w:snapToGrid w:val="0"/>
                <w:sz w:val="20"/>
                <w:lang w:val="pt-PT"/>
              </w:rPr>
              <w:t>(0,75; 1,04)</w:t>
            </w:r>
          </w:p>
        </w:tc>
      </w:tr>
      <w:tr w:rsidR="00162CE2" w:rsidRPr="002606DB" w14:paraId="3B01B716" w14:textId="77777777" w:rsidTr="001A633D">
        <w:trPr>
          <w:cantSplit/>
        </w:trPr>
        <w:tc>
          <w:tcPr>
            <w:tcW w:w="2764" w:type="dxa"/>
          </w:tcPr>
          <w:p w14:paraId="615A5A59" w14:textId="77777777" w:rsidR="00162CE2" w:rsidRPr="002606DB" w:rsidRDefault="00162CE2" w:rsidP="001A633D">
            <w:pPr>
              <w:pStyle w:val="TableParagraph"/>
              <w:adjustRightInd w:val="0"/>
              <w:snapToGrid w:val="0"/>
              <w:jc w:val="center"/>
              <w:rPr>
                <w:snapToGrid w:val="0"/>
                <w:sz w:val="20"/>
                <w:lang w:val="pt-PT"/>
              </w:rPr>
            </w:pPr>
            <w:r w:rsidRPr="002606DB">
              <w:rPr>
                <w:snapToGrid w:val="0"/>
                <w:sz w:val="20"/>
                <w:lang w:val="pt-PT"/>
              </w:rPr>
              <w:t xml:space="preserve">valor de p </w:t>
            </w:r>
            <w:r w:rsidRPr="002606DB">
              <w:rPr>
                <w:snapToGrid w:val="0"/>
                <w:sz w:val="20"/>
                <w:vertAlign w:val="superscript"/>
                <w:lang w:val="pt-PT"/>
              </w:rPr>
              <w:t>3</w:t>
            </w:r>
          </w:p>
        </w:tc>
        <w:tc>
          <w:tcPr>
            <w:tcW w:w="2140" w:type="dxa"/>
          </w:tcPr>
          <w:p w14:paraId="6248E850" w14:textId="77777777" w:rsidR="00162CE2" w:rsidRPr="002606DB" w:rsidRDefault="00162CE2" w:rsidP="00056F35">
            <w:pPr>
              <w:pStyle w:val="TableParagraph"/>
              <w:adjustRightInd w:val="0"/>
              <w:snapToGrid w:val="0"/>
              <w:rPr>
                <w:snapToGrid w:val="0"/>
                <w:sz w:val="20"/>
                <w:lang w:val="pt-PT"/>
              </w:rPr>
            </w:pPr>
          </w:p>
        </w:tc>
        <w:tc>
          <w:tcPr>
            <w:tcW w:w="2140" w:type="dxa"/>
          </w:tcPr>
          <w:p w14:paraId="2205390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0,2197</w:t>
            </w:r>
          </w:p>
        </w:tc>
        <w:tc>
          <w:tcPr>
            <w:tcW w:w="2140" w:type="dxa"/>
          </w:tcPr>
          <w:p w14:paraId="3D6A887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0,0641</w:t>
            </w:r>
          </w:p>
        </w:tc>
      </w:tr>
    </w:tbl>
    <w:p w14:paraId="4BD9A4E0" w14:textId="5A5C8B5E"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Análise PFS GOG protocolo-específica avaliada pelo investigador (não censurada para progressões CA-125 ou terapia não-protocolo (NPT) anterior a progressão da doença) com data </w:t>
      </w:r>
      <w:r w:rsidRPr="002606DB">
        <w:rPr>
          <w:i/>
          <w:snapToGrid w:val="0"/>
          <w:sz w:val="18"/>
          <w:szCs w:val="18"/>
          <w:lang w:val="pt-PT"/>
        </w:rPr>
        <w:t>cut</w:t>
      </w:r>
      <w:r w:rsidR="0028621A"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dados a 25 fevereiro 2010.</w:t>
      </w:r>
    </w:p>
    <w:p w14:paraId="77971610" w14:textId="60CB36A3"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2</w:t>
      </w:r>
      <w:r w:rsidRPr="002606DB">
        <w:rPr>
          <w:snapToGrid w:val="0"/>
          <w:sz w:val="18"/>
          <w:szCs w:val="18"/>
          <w:lang w:val="pt-PT"/>
        </w:rPr>
        <w:t xml:space="preserve"> Relativo ao </w:t>
      </w:r>
      <w:r w:rsidR="00B72472">
        <w:rPr>
          <w:snapToGrid w:val="0"/>
          <w:sz w:val="18"/>
          <w:szCs w:val="18"/>
          <w:lang w:val="pt-PT"/>
        </w:rPr>
        <w:t>grupo</w:t>
      </w:r>
      <w:r w:rsidRPr="002606DB">
        <w:rPr>
          <w:snapToGrid w:val="0"/>
          <w:sz w:val="18"/>
          <w:szCs w:val="18"/>
          <w:lang w:val="pt-PT"/>
        </w:rPr>
        <w:t xml:space="preserve"> controlo; </w:t>
      </w:r>
      <w:r w:rsidRPr="002606DB">
        <w:rPr>
          <w:i/>
          <w:snapToGrid w:val="0"/>
          <w:sz w:val="18"/>
          <w:szCs w:val="18"/>
          <w:lang w:val="pt-PT"/>
        </w:rPr>
        <w:t xml:space="preserve">Hazard ratio </w:t>
      </w:r>
      <w:r w:rsidRPr="002606DB">
        <w:rPr>
          <w:snapToGrid w:val="0"/>
          <w:sz w:val="18"/>
          <w:szCs w:val="18"/>
          <w:lang w:val="pt-PT"/>
        </w:rPr>
        <w:t>(taxa de risco) estratificado</w:t>
      </w:r>
    </w:p>
    <w:p w14:paraId="7A366B34" w14:textId="2B5B73B6"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3</w:t>
      </w:r>
      <w:r w:rsidRPr="002606DB">
        <w:rPr>
          <w:snapToGrid w:val="0"/>
          <w:sz w:val="18"/>
          <w:szCs w:val="18"/>
          <w:lang w:val="pt-PT"/>
        </w:rPr>
        <w:t xml:space="preserve"> valor de p no teste log</w:t>
      </w:r>
      <w:r w:rsidR="0028621A" w:rsidRPr="002606DB">
        <w:rPr>
          <w:snapToGrid w:val="0"/>
          <w:sz w:val="18"/>
          <w:szCs w:val="18"/>
          <w:lang w:val="pt-PT"/>
        </w:rPr>
        <w:noBreakHyphen/>
      </w:r>
      <w:r w:rsidRPr="002606DB">
        <w:rPr>
          <w:snapToGrid w:val="0"/>
          <w:sz w:val="18"/>
          <w:szCs w:val="18"/>
          <w:lang w:val="pt-PT"/>
        </w:rPr>
        <w:t>rank unilateral</w:t>
      </w:r>
    </w:p>
    <w:p w14:paraId="14BBB2CA"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4</w:t>
      </w:r>
      <w:r w:rsidRPr="002606DB">
        <w:rPr>
          <w:snapToGrid w:val="0"/>
          <w:sz w:val="18"/>
          <w:szCs w:val="18"/>
          <w:lang w:val="pt-PT"/>
        </w:rPr>
        <w:t xml:space="preserve"> Sujeito a um limite de valor de p 0,0116</w:t>
      </w:r>
    </w:p>
    <w:p w14:paraId="7FC69D76"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5</w:t>
      </w:r>
      <w:r w:rsidRPr="002606DB">
        <w:rPr>
          <w:snapToGrid w:val="0"/>
          <w:sz w:val="18"/>
          <w:szCs w:val="18"/>
          <w:lang w:val="pt-PT"/>
        </w:rPr>
        <w:t xml:space="preserve"> Doentes com doença mensurável à entrada no estudo</w:t>
      </w:r>
    </w:p>
    <w:p w14:paraId="0193ACE9" w14:textId="349EB1F2"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6</w:t>
      </w:r>
      <w:r w:rsidRPr="002606DB">
        <w:rPr>
          <w:snapToGrid w:val="0"/>
          <w:sz w:val="18"/>
          <w:szCs w:val="18"/>
          <w:lang w:val="pt-PT"/>
        </w:rPr>
        <w:t xml:space="preserve"> Análise final da </w:t>
      </w:r>
      <w:r w:rsidR="004C3061">
        <w:rPr>
          <w:snapToGrid w:val="0"/>
          <w:sz w:val="18"/>
          <w:szCs w:val="18"/>
          <w:lang w:val="pt-PT"/>
        </w:rPr>
        <w:t>OS</w:t>
      </w:r>
      <w:r w:rsidRPr="002606DB">
        <w:rPr>
          <w:snapToGrid w:val="0"/>
          <w:sz w:val="18"/>
          <w:szCs w:val="18"/>
          <w:lang w:val="pt-PT"/>
        </w:rPr>
        <w:t xml:space="preserve"> realizada quando tinham falecido aproximadamente 46,9% dos doentes</w:t>
      </w:r>
    </w:p>
    <w:p w14:paraId="195D0FA2" w14:textId="77777777" w:rsidR="00162CE2" w:rsidRPr="002606DB" w:rsidRDefault="00162CE2" w:rsidP="00056F35">
      <w:pPr>
        <w:adjustRightInd w:val="0"/>
        <w:snapToGrid w:val="0"/>
        <w:rPr>
          <w:snapToGrid w:val="0"/>
          <w:lang w:val="pt-PT"/>
        </w:rPr>
      </w:pPr>
    </w:p>
    <w:p w14:paraId="222D7B0B" w14:textId="6E72C96F" w:rsidR="00162CE2" w:rsidRPr="002606DB" w:rsidRDefault="00162CE2" w:rsidP="00056F35">
      <w:pPr>
        <w:pStyle w:val="a3"/>
        <w:adjustRightInd w:val="0"/>
        <w:snapToGrid w:val="0"/>
        <w:rPr>
          <w:snapToGrid w:val="0"/>
          <w:lang w:val="pt-PT"/>
        </w:rPr>
      </w:pPr>
      <w:r w:rsidRPr="002606DB">
        <w:rPr>
          <w:snapToGrid w:val="0"/>
          <w:lang w:val="pt-PT"/>
        </w:rPr>
        <w:t xml:space="preserve">Foram realizadas análises pré-especificadas da PFS, todas com data de </w:t>
      </w:r>
      <w:r w:rsidRPr="002606DB">
        <w:rPr>
          <w:i/>
          <w:snapToGrid w:val="0"/>
          <w:lang w:val="pt-PT"/>
        </w:rPr>
        <w:t>cut</w:t>
      </w:r>
      <w:r w:rsidR="0028621A" w:rsidRPr="002606DB">
        <w:rPr>
          <w:i/>
          <w:snapToGrid w:val="0"/>
          <w:lang w:val="pt-PT"/>
        </w:rPr>
        <w:noBreakHyphen/>
      </w:r>
      <w:r w:rsidRPr="002606DB">
        <w:rPr>
          <w:i/>
          <w:snapToGrid w:val="0"/>
          <w:lang w:val="pt-PT"/>
        </w:rPr>
        <w:t xml:space="preserve">off </w:t>
      </w:r>
      <w:r w:rsidRPr="002606DB">
        <w:rPr>
          <w:snapToGrid w:val="0"/>
          <w:lang w:val="pt-PT"/>
        </w:rPr>
        <w:t>29 setembro de 2009. Os resultados destas análises pré-especificadas são os seguintes:</w:t>
      </w:r>
    </w:p>
    <w:p w14:paraId="45D61506" w14:textId="77777777" w:rsidR="00162CE2" w:rsidRPr="002606DB" w:rsidRDefault="00162CE2" w:rsidP="00056F35">
      <w:pPr>
        <w:pStyle w:val="a3"/>
        <w:adjustRightInd w:val="0"/>
        <w:snapToGrid w:val="0"/>
        <w:rPr>
          <w:snapToGrid w:val="0"/>
          <w:lang w:val="pt-PT"/>
        </w:rPr>
      </w:pPr>
    </w:p>
    <w:p w14:paraId="40F155F8" w14:textId="0D36EBB8" w:rsidR="00162CE2" w:rsidRPr="002606DB" w:rsidRDefault="00162CE2" w:rsidP="001A633D">
      <w:pPr>
        <w:pStyle w:val="a4"/>
        <w:numPr>
          <w:ilvl w:val="0"/>
          <w:numId w:val="13"/>
        </w:numPr>
        <w:adjustRightInd w:val="0"/>
        <w:snapToGrid w:val="0"/>
        <w:ind w:left="567" w:hanging="567"/>
        <w:rPr>
          <w:snapToGrid w:val="0"/>
          <w:lang w:val="pt-PT"/>
        </w:rPr>
      </w:pPr>
      <w:r w:rsidRPr="002606DB">
        <w:rPr>
          <w:snapToGrid w:val="0"/>
          <w:lang w:val="pt-PT"/>
        </w:rPr>
        <w:t>A análise especificada por protocolo da PFS avaliada pelo investigador (sem censura para progressão CA-125 ou terapia não-protocolo [NPT]) mostra uma taxa de risco estratificada de 0,71 (IC 95%: 0,61-0,83, valor de p no teste log</w:t>
      </w:r>
      <w:r w:rsidR="0028621A" w:rsidRPr="002606DB">
        <w:rPr>
          <w:snapToGrid w:val="0"/>
          <w:lang w:val="pt-PT"/>
        </w:rPr>
        <w:noBreakHyphen/>
      </w:r>
      <w:r w:rsidRPr="002606DB">
        <w:rPr>
          <w:snapToGrid w:val="0"/>
          <w:lang w:val="pt-PT"/>
        </w:rPr>
        <w:t xml:space="preserve">rank unilateral &lt; 0,0001) quando CPB15+ é comparado com CPP, com uma PFS mediana de 10,4 meses no </w:t>
      </w:r>
      <w:r w:rsidR="00B72472">
        <w:rPr>
          <w:snapToGrid w:val="0"/>
          <w:lang w:val="pt-PT"/>
        </w:rPr>
        <w:t>grupo</w:t>
      </w:r>
      <w:r w:rsidRPr="002606DB">
        <w:rPr>
          <w:snapToGrid w:val="0"/>
          <w:lang w:val="pt-PT"/>
        </w:rPr>
        <w:t xml:space="preserve"> CPP e 14,1 meses no </w:t>
      </w:r>
      <w:r w:rsidR="00B72472">
        <w:rPr>
          <w:snapToGrid w:val="0"/>
          <w:lang w:val="pt-PT"/>
        </w:rPr>
        <w:t>grupo</w:t>
      </w:r>
      <w:r w:rsidRPr="002606DB">
        <w:rPr>
          <w:snapToGrid w:val="0"/>
          <w:lang w:val="pt-PT"/>
        </w:rPr>
        <w:t xml:space="preserve"> CPB15+.</w:t>
      </w:r>
    </w:p>
    <w:p w14:paraId="057BD188" w14:textId="77777777" w:rsidR="00162CE2" w:rsidRPr="002606DB" w:rsidRDefault="00162CE2" w:rsidP="00B34426">
      <w:pPr>
        <w:pStyle w:val="a3"/>
        <w:adjustRightInd w:val="0"/>
        <w:snapToGrid w:val="0"/>
        <w:ind w:left="567" w:hanging="567"/>
        <w:rPr>
          <w:snapToGrid w:val="0"/>
          <w:lang w:val="pt-PT"/>
        </w:rPr>
      </w:pPr>
    </w:p>
    <w:p w14:paraId="7A21F7FD" w14:textId="31F8C0C4" w:rsidR="00162CE2" w:rsidRPr="002606DB" w:rsidRDefault="00162CE2" w:rsidP="001A633D">
      <w:pPr>
        <w:pStyle w:val="a4"/>
        <w:numPr>
          <w:ilvl w:val="0"/>
          <w:numId w:val="13"/>
        </w:numPr>
        <w:adjustRightInd w:val="0"/>
        <w:snapToGrid w:val="0"/>
        <w:ind w:left="567" w:hanging="567"/>
        <w:rPr>
          <w:snapToGrid w:val="0"/>
          <w:lang w:val="pt-PT"/>
        </w:rPr>
      </w:pPr>
      <w:r w:rsidRPr="002606DB">
        <w:rPr>
          <w:snapToGrid w:val="0"/>
          <w:lang w:val="pt-PT"/>
        </w:rPr>
        <w:t>A análise primária da PFS avaliada pelo investigador (censurada para progressão CA-125 e NPT) mostra uma taxa de risco estratificada de 0,62 (IC 95%: 0,52-0,75, valor de p no teste log</w:t>
      </w:r>
      <w:r w:rsidR="0028621A" w:rsidRPr="002606DB">
        <w:rPr>
          <w:snapToGrid w:val="0"/>
          <w:lang w:val="pt-PT"/>
        </w:rPr>
        <w:noBreakHyphen/>
      </w:r>
      <w:r w:rsidRPr="002606DB">
        <w:rPr>
          <w:snapToGrid w:val="0"/>
          <w:lang w:val="pt-PT"/>
        </w:rPr>
        <w:t>rank unilateral &lt;</w:t>
      </w:r>
      <w:r w:rsidR="0028621A" w:rsidRPr="002606DB">
        <w:rPr>
          <w:snapToGrid w:val="0"/>
          <w:lang w:val="pt-PT"/>
        </w:rPr>
        <w:t> </w:t>
      </w:r>
      <w:r w:rsidRPr="002606DB">
        <w:rPr>
          <w:snapToGrid w:val="0"/>
          <w:lang w:val="pt-PT"/>
        </w:rPr>
        <w:t xml:space="preserve">0,0001) quando CPB15+ é comparado com CPP, com uma PFS mediana de 12,0 meses no </w:t>
      </w:r>
      <w:r w:rsidR="00B72472">
        <w:rPr>
          <w:snapToGrid w:val="0"/>
          <w:lang w:val="pt-PT"/>
        </w:rPr>
        <w:t>grupo</w:t>
      </w:r>
      <w:r w:rsidRPr="002606DB">
        <w:rPr>
          <w:snapToGrid w:val="0"/>
          <w:lang w:val="pt-PT"/>
        </w:rPr>
        <w:t xml:space="preserve"> CPP e 18,2 meses no </w:t>
      </w:r>
      <w:r w:rsidR="00B72472">
        <w:rPr>
          <w:snapToGrid w:val="0"/>
          <w:lang w:val="pt-PT"/>
        </w:rPr>
        <w:t>grupo</w:t>
      </w:r>
      <w:r w:rsidRPr="002606DB">
        <w:rPr>
          <w:snapToGrid w:val="0"/>
          <w:lang w:val="pt-PT"/>
        </w:rPr>
        <w:t xml:space="preserve"> CPB15+.</w:t>
      </w:r>
    </w:p>
    <w:p w14:paraId="04339DD9" w14:textId="77777777" w:rsidR="00162CE2" w:rsidRPr="002606DB" w:rsidRDefault="00162CE2" w:rsidP="00B34426">
      <w:pPr>
        <w:pStyle w:val="a3"/>
        <w:adjustRightInd w:val="0"/>
        <w:snapToGrid w:val="0"/>
        <w:ind w:left="567" w:hanging="567"/>
        <w:rPr>
          <w:snapToGrid w:val="0"/>
          <w:lang w:val="pt-PT"/>
        </w:rPr>
      </w:pPr>
    </w:p>
    <w:p w14:paraId="4B3B47E7" w14:textId="27125278" w:rsidR="00162CE2" w:rsidRPr="002606DB" w:rsidRDefault="00162CE2" w:rsidP="001A633D">
      <w:pPr>
        <w:pStyle w:val="a4"/>
        <w:numPr>
          <w:ilvl w:val="0"/>
          <w:numId w:val="13"/>
        </w:numPr>
        <w:adjustRightInd w:val="0"/>
        <w:snapToGrid w:val="0"/>
        <w:ind w:left="567" w:hanging="567"/>
        <w:rPr>
          <w:snapToGrid w:val="0"/>
          <w:lang w:val="pt-PT"/>
        </w:rPr>
      </w:pPr>
      <w:r w:rsidRPr="002606DB">
        <w:rPr>
          <w:snapToGrid w:val="0"/>
          <w:lang w:val="pt-PT"/>
        </w:rPr>
        <w:t>A análise da PFS conforme determinada pelo comité de revisão independente (censurada para NPT) mostra uma taxa de risco estratificada de 0,62 (IC 95%: 0,50-0,77, valor de p no teste log</w:t>
      </w:r>
      <w:r w:rsidR="0028621A" w:rsidRPr="002606DB">
        <w:rPr>
          <w:snapToGrid w:val="0"/>
          <w:lang w:val="pt-PT"/>
        </w:rPr>
        <w:noBreakHyphen/>
      </w:r>
      <w:r w:rsidRPr="002606DB">
        <w:rPr>
          <w:snapToGrid w:val="0"/>
          <w:lang w:val="pt-PT"/>
        </w:rPr>
        <w:t>rank unilateral &lt;</w:t>
      </w:r>
      <w:r w:rsidR="0028621A" w:rsidRPr="002606DB">
        <w:rPr>
          <w:snapToGrid w:val="0"/>
          <w:lang w:val="pt-PT"/>
        </w:rPr>
        <w:t> </w:t>
      </w:r>
      <w:r w:rsidRPr="002606DB">
        <w:rPr>
          <w:snapToGrid w:val="0"/>
          <w:lang w:val="pt-PT"/>
        </w:rPr>
        <w:t>0,0001) quando CPB15+ é com com</w:t>
      </w:r>
      <w:r w:rsidR="001E4974" w:rsidRPr="007155C0">
        <w:rPr>
          <w:iCs/>
          <w:lang w:val="pt-PT"/>
        </w:rPr>
        <w:t>parado com CPP,</w:t>
      </w:r>
      <w:r w:rsidRPr="002606DB">
        <w:rPr>
          <w:snapToGrid w:val="0"/>
          <w:lang w:val="pt-PT"/>
        </w:rPr>
        <w:t xml:space="preserve"> uma PFS mediana de 13,1 no </w:t>
      </w:r>
      <w:r w:rsidR="00B72472">
        <w:rPr>
          <w:snapToGrid w:val="0"/>
          <w:lang w:val="pt-PT"/>
        </w:rPr>
        <w:t>grupo</w:t>
      </w:r>
      <w:r w:rsidRPr="002606DB">
        <w:rPr>
          <w:snapToGrid w:val="0"/>
          <w:lang w:val="pt-PT"/>
        </w:rPr>
        <w:t xml:space="preserve"> CPP e 19,1 no </w:t>
      </w:r>
      <w:r w:rsidR="00B72472">
        <w:rPr>
          <w:snapToGrid w:val="0"/>
          <w:lang w:val="pt-PT"/>
        </w:rPr>
        <w:t>grupo</w:t>
      </w:r>
      <w:r w:rsidRPr="002606DB">
        <w:rPr>
          <w:snapToGrid w:val="0"/>
          <w:lang w:val="pt-PT"/>
        </w:rPr>
        <w:t xml:space="preserve"> CPP15+.</w:t>
      </w:r>
    </w:p>
    <w:p w14:paraId="3C4239FE" w14:textId="77777777" w:rsidR="00162CE2" w:rsidRPr="002606DB" w:rsidRDefault="00162CE2" w:rsidP="00056F35">
      <w:pPr>
        <w:pStyle w:val="a3"/>
        <w:adjustRightInd w:val="0"/>
        <w:snapToGrid w:val="0"/>
        <w:rPr>
          <w:snapToGrid w:val="0"/>
          <w:lang w:val="pt-PT"/>
        </w:rPr>
      </w:pPr>
    </w:p>
    <w:p w14:paraId="53B78D47" w14:textId="68DE6DE2" w:rsidR="00162CE2" w:rsidRPr="002606DB" w:rsidRDefault="00162CE2" w:rsidP="00056F35">
      <w:pPr>
        <w:pStyle w:val="a3"/>
        <w:adjustRightInd w:val="0"/>
        <w:snapToGrid w:val="0"/>
        <w:rPr>
          <w:snapToGrid w:val="0"/>
          <w:lang w:val="pt-PT"/>
        </w:rPr>
      </w:pPr>
      <w:r w:rsidRPr="002606DB">
        <w:rPr>
          <w:snapToGrid w:val="0"/>
          <w:lang w:val="pt-PT"/>
        </w:rPr>
        <w:t>Na Tabela 17 estão resumidas as análises da PFS por subgrupos tendo em conta o est</w:t>
      </w:r>
      <w:r w:rsidR="000D1A1D" w:rsidRPr="007155C0">
        <w:rPr>
          <w:rFonts w:eastAsia="PMingLiU"/>
          <w:lang w:val="pt-PT" w:eastAsia="zh-CN"/>
        </w:rPr>
        <w:t>á</w:t>
      </w:r>
      <w:r w:rsidRPr="002606DB">
        <w:rPr>
          <w:snapToGrid w:val="0"/>
          <w:lang w:val="pt-PT"/>
        </w:rPr>
        <w:t>dio da doença e o est</w:t>
      </w:r>
      <w:r w:rsidR="000D1A1D" w:rsidRPr="007155C0">
        <w:rPr>
          <w:rFonts w:eastAsia="PMingLiU"/>
          <w:lang w:val="pt-PT" w:eastAsia="zh-CN"/>
        </w:rPr>
        <w:t>á</w:t>
      </w:r>
      <w:r w:rsidRPr="002606DB">
        <w:rPr>
          <w:snapToGrid w:val="0"/>
          <w:lang w:val="pt-PT"/>
        </w:rPr>
        <w:t>dio após citoredução. Estes resultados demonstram a robustez das análises da PFS apresentada na Tabela 16.</w:t>
      </w:r>
    </w:p>
    <w:p w14:paraId="43B3CBFD" w14:textId="77777777" w:rsidR="00162CE2" w:rsidRPr="002606DB" w:rsidRDefault="00162CE2" w:rsidP="00056F35">
      <w:pPr>
        <w:pStyle w:val="a3"/>
        <w:adjustRightInd w:val="0"/>
        <w:snapToGrid w:val="0"/>
        <w:rPr>
          <w:snapToGrid w:val="0"/>
          <w:lang w:val="pt-PT"/>
        </w:rPr>
      </w:pPr>
    </w:p>
    <w:p w14:paraId="63A571AA" w14:textId="50329CE1" w:rsidR="00162CE2" w:rsidRPr="00730741" w:rsidRDefault="003A27CE"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17</w:t>
      </w:r>
      <w:r w:rsidR="00162CE2" w:rsidRPr="00730741">
        <w:rPr>
          <w:b/>
          <w:bCs/>
          <w:snapToGrid w:val="0"/>
          <w:lang w:val="pt-PT"/>
        </w:rPr>
        <w:tab/>
        <w:t>Resultados da PFS</w:t>
      </w:r>
      <w:r w:rsidR="00162CE2" w:rsidRPr="00730741">
        <w:rPr>
          <w:b/>
          <w:bCs/>
          <w:snapToGrid w:val="0"/>
          <w:vertAlign w:val="superscript"/>
          <w:lang w:val="pt-PT"/>
        </w:rPr>
        <w:t>1</w:t>
      </w:r>
      <w:r w:rsidR="00162CE2" w:rsidRPr="00730741">
        <w:rPr>
          <w:b/>
          <w:bCs/>
          <w:snapToGrid w:val="0"/>
          <w:lang w:val="pt-PT"/>
        </w:rPr>
        <w:t xml:space="preserve"> do ensaio GOG-0218 por est</w:t>
      </w:r>
      <w:r w:rsidR="00341E43" w:rsidRPr="00730741">
        <w:rPr>
          <w:b/>
          <w:bCs/>
          <w:snapToGrid w:val="0"/>
          <w:lang w:val="pt-PT"/>
        </w:rPr>
        <w:t>á</w:t>
      </w:r>
      <w:r w:rsidR="00162CE2" w:rsidRPr="00730741">
        <w:rPr>
          <w:b/>
          <w:bCs/>
          <w:snapToGrid w:val="0"/>
          <w:lang w:val="pt-PT"/>
        </w:rPr>
        <w:t>dio da doença e est</w:t>
      </w:r>
      <w:r w:rsidR="00341E43" w:rsidRPr="00730741">
        <w:rPr>
          <w:b/>
          <w:bCs/>
          <w:snapToGrid w:val="0"/>
          <w:lang w:val="pt-PT"/>
        </w:rPr>
        <w:t>á</w:t>
      </w:r>
      <w:r w:rsidR="00162CE2" w:rsidRPr="00730741">
        <w:rPr>
          <w:b/>
          <w:bCs/>
          <w:snapToGrid w:val="0"/>
          <w:lang w:val="pt-PT"/>
        </w:rPr>
        <w:t>dio após citoredução</w:t>
      </w:r>
    </w:p>
    <w:p w14:paraId="5D066EE8"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090"/>
        <w:gridCol w:w="2083"/>
        <w:gridCol w:w="2090"/>
      </w:tblGrid>
      <w:tr w:rsidR="00162CE2" w:rsidRPr="002606DB" w14:paraId="6AD75B1E" w14:textId="77777777" w:rsidTr="00247A98">
        <w:trPr>
          <w:cantSplit/>
        </w:trPr>
        <w:tc>
          <w:tcPr>
            <w:tcW w:w="9292" w:type="dxa"/>
            <w:gridSpan w:val="4"/>
          </w:tcPr>
          <w:p w14:paraId="5AD9A68D" w14:textId="40B93902" w:rsidR="00162CE2" w:rsidRPr="00A03389" w:rsidRDefault="00162CE2" w:rsidP="00E71B6B">
            <w:pPr>
              <w:pStyle w:val="TableParagraph"/>
              <w:adjustRightInd w:val="0"/>
              <w:snapToGrid w:val="0"/>
              <w:rPr>
                <w:b/>
                <w:bCs/>
                <w:snapToGrid w:val="0"/>
                <w:sz w:val="20"/>
                <w:lang w:val="pt-PT"/>
              </w:rPr>
            </w:pPr>
            <w:r w:rsidRPr="00A03389">
              <w:rPr>
                <w:b/>
                <w:bCs/>
                <w:snapToGrid w:val="0"/>
                <w:sz w:val="20"/>
                <w:lang w:val="pt-PT"/>
              </w:rPr>
              <w:t>Doentes aleatorizados de est</w:t>
            </w:r>
            <w:r w:rsidR="00217B56" w:rsidRPr="00217B56">
              <w:rPr>
                <w:rFonts w:hint="eastAsia"/>
                <w:b/>
                <w:bCs/>
                <w:snapToGrid w:val="0"/>
                <w:sz w:val="20"/>
                <w:lang w:val="pt-PT"/>
              </w:rPr>
              <w:t>á</w:t>
            </w:r>
            <w:r w:rsidRPr="00A03389">
              <w:rPr>
                <w:b/>
                <w:bCs/>
                <w:snapToGrid w:val="0"/>
                <w:sz w:val="20"/>
                <w:lang w:val="pt-PT"/>
              </w:rPr>
              <w:t xml:space="preserve">dio III com citoredução ótima </w:t>
            </w:r>
            <w:r w:rsidRPr="00A03389">
              <w:rPr>
                <w:b/>
                <w:bCs/>
                <w:snapToGrid w:val="0"/>
                <w:sz w:val="20"/>
                <w:vertAlign w:val="superscript"/>
                <w:lang w:val="pt-PT"/>
              </w:rPr>
              <w:t>2,3</w:t>
            </w:r>
          </w:p>
        </w:tc>
      </w:tr>
      <w:tr w:rsidR="00162CE2" w:rsidRPr="002606DB" w14:paraId="174D2918" w14:textId="77777777" w:rsidTr="00E71B6B">
        <w:trPr>
          <w:cantSplit/>
        </w:trPr>
        <w:tc>
          <w:tcPr>
            <w:tcW w:w="2874" w:type="dxa"/>
          </w:tcPr>
          <w:p w14:paraId="62CF7D51" w14:textId="77777777" w:rsidR="00162CE2" w:rsidRPr="002606DB" w:rsidRDefault="00162CE2" w:rsidP="00056F35">
            <w:pPr>
              <w:pStyle w:val="TableParagraph"/>
              <w:adjustRightInd w:val="0"/>
              <w:snapToGrid w:val="0"/>
              <w:rPr>
                <w:snapToGrid w:val="0"/>
                <w:sz w:val="20"/>
                <w:lang w:val="pt-PT"/>
              </w:rPr>
            </w:pPr>
          </w:p>
        </w:tc>
        <w:tc>
          <w:tcPr>
            <w:tcW w:w="2142" w:type="dxa"/>
          </w:tcPr>
          <w:p w14:paraId="4D076A2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CPP</w:t>
            </w:r>
          </w:p>
          <w:p w14:paraId="308089A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219)</w:t>
            </w:r>
          </w:p>
        </w:tc>
        <w:tc>
          <w:tcPr>
            <w:tcW w:w="2134" w:type="dxa"/>
          </w:tcPr>
          <w:p w14:paraId="4E2D8E94" w14:textId="282AA744"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CPB15 </w:t>
            </w:r>
            <w:r w:rsidR="001A633D" w:rsidRPr="002606DB">
              <w:rPr>
                <w:snapToGrid w:val="0"/>
                <w:sz w:val="20"/>
                <w:lang w:val="pt-PT"/>
              </w:rPr>
              <w:br/>
            </w:r>
            <w:r w:rsidRPr="002606DB">
              <w:rPr>
                <w:snapToGrid w:val="0"/>
                <w:sz w:val="20"/>
                <w:lang w:val="pt-PT"/>
              </w:rPr>
              <w:t>(n = 204)</w:t>
            </w:r>
          </w:p>
        </w:tc>
        <w:tc>
          <w:tcPr>
            <w:tcW w:w="2142" w:type="dxa"/>
          </w:tcPr>
          <w:p w14:paraId="44C3A57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CPB15+</w:t>
            </w:r>
          </w:p>
          <w:p w14:paraId="20AFE76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216)</w:t>
            </w:r>
          </w:p>
        </w:tc>
      </w:tr>
      <w:tr w:rsidR="00162CE2" w:rsidRPr="002606DB" w14:paraId="458CDD0C" w14:textId="77777777" w:rsidTr="00E71B6B">
        <w:trPr>
          <w:cantSplit/>
        </w:trPr>
        <w:tc>
          <w:tcPr>
            <w:tcW w:w="2874" w:type="dxa"/>
          </w:tcPr>
          <w:p w14:paraId="062E4CEC"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PFS mediana (meses)</w:t>
            </w:r>
          </w:p>
        </w:tc>
        <w:tc>
          <w:tcPr>
            <w:tcW w:w="2142" w:type="dxa"/>
          </w:tcPr>
          <w:p w14:paraId="3949ACF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12,4</w:t>
            </w:r>
          </w:p>
        </w:tc>
        <w:tc>
          <w:tcPr>
            <w:tcW w:w="2134" w:type="dxa"/>
          </w:tcPr>
          <w:p w14:paraId="5A7E22A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14,3</w:t>
            </w:r>
          </w:p>
        </w:tc>
        <w:tc>
          <w:tcPr>
            <w:tcW w:w="2142" w:type="dxa"/>
          </w:tcPr>
          <w:p w14:paraId="34052C9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17,5</w:t>
            </w:r>
          </w:p>
        </w:tc>
      </w:tr>
      <w:tr w:rsidR="00162CE2" w:rsidRPr="002606DB" w14:paraId="011BCA35" w14:textId="77777777" w:rsidTr="00E71B6B">
        <w:trPr>
          <w:cantSplit/>
        </w:trPr>
        <w:tc>
          <w:tcPr>
            <w:tcW w:w="2874" w:type="dxa"/>
          </w:tcPr>
          <w:p w14:paraId="4808EBAD"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p>
          <w:p w14:paraId="19462F48"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r w:rsidRPr="002606DB">
              <w:rPr>
                <w:snapToGrid w:val="0"/>
                <w:sz w:val="20"/>
                <w:vertAlign w:val="superscript"/>
                <w:lang w:val="pt-PT"/>
              </w:rPr>
              <w:t>4</w:t>
            </w:r>
          </w:p>
        </w:tc>
        <w:tc>
          <w:tcPr>
            <w:tcW w:w="2142" w:type="dxa"/>
          </w:tcPr>
          <w:p w14:paraId="3490920F" w14:textId="77777777" w:rsidR="00162CE2" w:rsidRPr="002606DB" w:rsidRDefault="00162CE2" w:rsidP="00056F35">
            <w:pPr>
              <w:pStyle w:val="TableParagraph"/>
              <w:adjustRightInd w:val="0"/>
              <w:snapToGrid w:val="0"/>
              <w:rPr>
                <w:snapToGrid w:val="0"/>
                <w:sz w:val="20"/>
                <w:lang w:val="pt-PT"/>
              </w:rPr>
            </w:pPr>
          </w:p>
        </w:tc>
        <w:tc>
          <w:tcPr>
            <w:tcW w:w="2134" w:type="dxa"/>
          </w:tcPr>
          <w:p w14:paraId="2940061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0,81</w:t>
            </w:r>
          </w:p>
          <w:p w14:paraId="183591F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(0,62; 1,05)</w:t>
            </w:r>
          </w:p>
        </w:tc>
        <w:tc>
          <w:tcPr>
            <w:tcW w:w="2142" w:type="dxa"/>
          </w:tcPr>
          <w:p w14:paraId="5A2E929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0,66</w:t>
            </w:r>
          </w:p>
          <w:p w14:paraId="47BB8CF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(0,50; 0,86)</w:t>
            </w:r>
          </w:p>
        </w:tc>
      </w:tr>
      <w:tr w:rsidR="00162CE2" w:rsidRPr="002606DB" w14:paraId="1B97DE3D" w14:textId="77777777" w:rsidTr="00E71B6B">
        <w:trPr>
          <w:cantSplit/>
        </w:trPr>
        <w:tc>
          <w:tcPr>
            <w:tcW w:w="9292" w:type="dxa"/>
            <w:gridSpan w:val="4"/>
          </w:tcPr>
          <w:p w14:paraId="22290B01" w14:textId="1CCCD054" w:rsidR="00162CE2" w:rsidRPr="00A03389" w:rsidRDefault="00162CE2" w:rsidP="00E71B6B">
            <w:pPr>
              <w:pStyle w:val="TableParagraph"/>
              <w:adjustRightInd w:val="0"/>
              <w:snapToGrid w:val="0"/>
              <w:rPr>
                <w:b/>
                <w:bCs/>
                <w:snapToGrid w:val="0"/>
                <w:sz w:val="20"/>
                <w:lang w:val="pt-PT"/>
              </w:rPr>
            </w:pPr>
            <w:r w:rsidRPr="00A03389">
              <w:rPr>
                <w:b/>
                <w:bCs/>
                <w:snapToGrid w:val="0"/>
                <w:sz w:val="20"/>
                <w:lang w:val="pt-PT"/>
              </w:rPr>
              <w:t>Doentes aleatorizados de est</w:t>
            </w:r>
            <w:r w:rsidR="00217B56" w:rsidRPr="00217B56">
              <w:rPr>
                <w:rFonts w:hint="eastAsia"/>
                <w:b/>
                <w:bCs/>
                <w:snapToGrid w:val="0"/>
                <w:sz w:val="20"/>
                <w:lang w:val="pt-PT"/>
              </w:rPr>
              <w:t>á</w:t>
            </w:r>
            <w:r w:rsidRPr="00A03389">
              <w:rPr>
                <w:b/>
                <w:bCs/>
                <w:snapToGrid w:val="0"/>
                <w:sz w:val="20"/>
                <w:lang w:val="pt-PT"/>
              </w:rPr>
              <w:t>dio III com citoredução sub-ótima</w:t>
            </w:r>
            <w:r w:rsidRPr="00A03389">
              <w:rPr>
                <w:b/>
                <w:bCs/>
                <w:snapToGrid w:val="0"/>
                <w:sz w:val="20"/>
                <w:vertAlign w:val="superscript"/>
                <w:lang w:val="pt-PT"/>
              </w:rPr>
              <w:t>3</w:t>
            </w:r>
          </w:p>
        </w:tc>
      </w:tr>
      <w:tr w:rsidR="00162CE2" w:rsidRPr="002606DB" w14:paraId="30EB84E2" w14:textId="77777777" w:rsidTr="00E71B6B">
        <w:trPr>
          <w:cantSplit/>
        </w:trPr>
        <w:tc>
          <w:tcPr>
            <w:tcW w:w="2874" w:type="dxa"/>
          </w:tcPr>
          <w:p w14:paraId="2C3583F8" w14:textId="77777777" w:rsidR="00162CE2" w:rsidRPr="002606DB" w:rsidRDefault="00162CE2" w:rsidP="00056F35">
            <w:pPr>
              <w:pStyle w:val="TableParagraph"/>
              <w:adjustRightInd w:val="0"/>
              <w:snapToGrid w:val="0"/>
              <w:rPr>
                <w:snapToGrid w:val="0"/>
                <w:sz w:val="20"/>
                <w:lang w:val="pt-PT"/>
              </w:rPr>
            </w:pPr>
          </w:p>
        </w:tc>
        <w:tc>
          <w:tcPr>
            <w:tcW w:w="2142" w:type="dxa"/>
          </w:tcPr>
          <w:p w14:paraId="1C148CF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CPP</w:t>
            </w:r>
          </w:p>
          <w:p w14:paraId="5B707C9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253)</w:t>
            </w:r>
          </w:p>
        </w:tc>
        <w:tc>
          <w:tcPr>
            <w:tcW w:w="2134" w:type="dxa"/>
          </w:tcPr>
          <w:p w14:paraId="056980E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CPB15</w:t>
            </w:r>
          </w:p>
          <w:p w14:paraId="3B838C7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256)</w:t>
            </w:r>
          </w:p>
        </w:tc>
        <w:tc>
          <w:tcPr>
            <w:tcW w:w="2142" w:type="dxa"/>
          </w:tcPr>
          <w:p w14:paraId="40B17E7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CPB15+</w:t>
            </w:r>
          </w:p>
          <w:p w14:paraId="744C5F2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242)</w:t>
            </w:r>
          </w:p>
        </w:tc>
      </w:tr>
      <w:tr w:rsidR="00162CE2" w:rsidRPr="002606DB" w14:paraId="6BD8F1A3" w14:textId="77777777" w:rsidTr="00E71B6B">
        <w:trPr>
          <w:cantSplit/>
        </w:trPr>
        <w:tc>
          <w:tcPr>
            <w:tcW w:w="2874" w:type="dxa"/>
          </w:tcPr>
          <w:p w14:paraId="5655959C"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PFS mediana (meses)</w:t>
            </w:r>
          </w:p>
        </w:tc>
        <w:tc>
          <w:tcPr>
            <w:tcW w:w="2142" w:type="dxa"/>
          </w:tcPr>
          <w:p w14:paraId="2C5974C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10,1</w:t>
            </w:r>
          </w:p>
        </w:tc>
        <w:tc>
          <w:tcPr>
            <w:tcW w:w="2134" w:type="dxa"/>
          </w:tcPr>
          <w:p w14:paraId="7EE136A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10,9</w:t>
            </w:r>
          </w:p>
        </w:tc>
        <w:tc>
          <w:tcPr>
            <w:tcW w:w="2142" w:type="dxa"/>
          </w:tcPr>
          <w:p w14:paraId="20FB82E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13,9</w:t>
            </w:r>
          </w:p>
        </w:tc>
      </w:tr>
      <w:tr w:rsidR="00162CE2" w:rsidRPr="002606DB" w14:paraId="76837103" w14:textId="77777777" w:rsidTr="00E71B6B">
        <w:trPr>
          <w:cantSplit/>
        </w:trPr>
        <w:tc>
          <w:tcPr>
            <w:tcW w:w="2874" w:type="dxa"/>
          </w:tcPr>
          <w:p w14:paraId="7CBAFCBD"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p>
          <w:p w14:paraId="2C7EC8AF"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r w:rsidRPr="002606DB">
              <w:rPr>
                <w:snapToGrid w:val="0"/>
                <w:sz w:val="20"/>
                <w:vertAlign w:val="superscript"/>
                <w:lang w:val="pt-PT"/>
              </w:rPr>
              <w:t>4</w:t>
            </w:r>
          </w:p>
        </w:tc>
        <w:tc>
          <w:tcPr>
            <w:tcW w:w="2142" w:type="dxa"/>
          </w:tcPr>
          <w:p w14:paraId="16E5BC51" w14:textId="77777777" w:rsidR="00162CE2" w:rsidRPr="002606DB" w:rsidRDefault="00162CE2" w:rsidP="00056F35">
            <w:pPr>
              <w:pStyle w:val="TableParagraph"/>
              <w:adjustRightInd w:val="0"/>
              <w:snapToGrid w:val="0"/>
              <w:rPr>
                <w:snapToGrid w:val="0"/>
                <w:sz w:val="20"/>
                <w:lang w:val="pt-PT"/>
              </w:rPr>
            </w:pPr>
          </w:p>
        </w:tc>
        <w:tc>
          <w:tcPr>
            <w:tcW w:w="2134" w:type="dxa"/>
          </w:tcPr>
          <w:p w14:paraId="067621A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0,93</w:t>
            </w:r>
          </w:p>
          <w:p w14:paraId="7CF4EBC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(0,77; 1,14)</w:t>
            </w:r>
          </w:p>
        </w:tc>
        <w:tc>
          <w:tcPr>
            <w:tcW w:w="2142" w:type="dxa"/>
          </w:tcPr>
          <w:p w14:paraId="5B06771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0,78</w:t>
            </w:r>
          </w:p>
          <w:p w14:paraId="22140EA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(0,63; 0,96)</w:t>
            </w:r>
          </w:p>
        </w:tc>
      </w:tr>
      <w:tr w:rsidR="00162CE2" w:rsidRPr="00730741" w14:paraId="535A5E41" w14:textId="77777777" w:rsidTr="00E71B6B">
        <w:trPr>
          <w:cantSplit/>
        </w:trPr>
        <w:tc>
          <w:tcPr>
            <w:tcW w:w="9292" w:type="dxa"/>
            <w:gridSpan w:val="4"/>
          </w:tcPr>
          <w:p w14:paraId="2B937774" w14:textId="7860EEBE" w:rsidR="00162CE2" w:rsidRPr="00A03389" w:rsidRDefault="00162CE2" w:rsidP="001A633D">
            <w:pPr>
              <w:pStyle w:val="TableParagraph"/>
              <w:keepNext/>
              <w:widowControl/>
              <w:adjustRightInd w:val="0"/>
              <w:snapToGrid w:val="0"/>
              <w:rPr>
                <w:b/>
                <w:bCs/>
                <w:snapToGrid w:val="0"/>
                <w:sz w:val="20"/>
                <w:lang w:val="pt-PT"/>
              </w:rPr>
            </w:pPr>
            <w:r w:rsidRPr="00A03389">
              <w:rPr>
                <w:b/>
                <w:bCs/>
                <w:snapToGrid w:val="0"/>
                <w:sz w:val="20"/>
                <w:lang w:val="pt-PT"/>
              </w:rPr>
              <w:t>Doentes aleatorizados de est</w:t>
            </w:r>
            <w:r w:rsidR="00BD57D9" w:rsidRPr="00217B56">
              <w:rPr>
                <w:rFonts w:hint="eastAsia"/>
                <w:b/>
                <w:bCs/>
                <w:snapToGrid w:val="0"/>
                <w:sz w:val="20"/>
                <w:lang w:val="pt-PT"/>
              </w:rPr>
              <w:t>á</w:t>
            </w:r>
            <w:r w:rsidRPr="00A03389">
              <w:rPr>
                <w:b/>
                <w:bCs/>
                <w:snapToGrid w:val="0"/>
                <w:sz w:val="20"/>
                <w:lang w:val="pt-PT"/>
              </w:rPr>
              <w:t>dio IV</w:t>
            </w:r>
          </w:p>
        </w:tc>
      </w:tr>
      <w:tr w:rsidR="00162CE2" w:rsidRPr="002606DB" w14:paraId="08D62726" w14:textId="77777777" w:rsidTr="00E71B6B">
        <w:trPr>
          <w:cantSplit/>
        </w:trPr>
        <w:tc>
          <w:tcPr>
            <w:tcW w:w="2874" w:type="dxa"/>
          </w:tcPr>
          <w:p w14:paraId="4CDEB788" w14:textId="77777777" w:rsidR="00162CE2" w:rsidRPr="002606DB" w:rsidRDefault="00162CE2" w:rsidP="00056F35">
            <w:pPr>
              <w:pStyle w:val="TableParagraph"/>
              <w:adjustRightInd w:val="0"/>
              <w:snapToGrid w:val="0"/>
              <w:rPr>
                <w:snapToGrid w:val="0"/>
                <w:sz w:val="20"/>
                <w:lang w:val="pt-PT"/>
              </w:rPr>
            </w:pPr>
          </w:p>
        </w:tc>
        <w:tc>
          <w:tcPr>
            <w:tcW w:w="2142" w:type="dxa"/>
          </w:tcPr>
          <w:p w14:paraId="1733C708"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CPP</w:t>
            </w:r>
          </w:p>
          <w:p w14:paraId="38674397"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153)</w:t>
            </w:r>
          </w:p>
        </w:tc>
        <w:tc>
          <w:tcPr>
            <w:tcW w:w="2134" w:type="dxa"/>
          </w:tcPr>
          <w:p w14:paraId="6C98CED8"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CPB15</w:t>
            </w:r>
          </w:p>
          <w:p w14:paraId="3D443040"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165)</w:t>
            </w:r>
          </w:p>
        </w:tc>
        <w:tc>
          <w:tcPr>
            <w:tcW w:w="2142" w:type="dxa"/>
          </w:tcPr>
          <w:p w14:paraId="7BFBE3C8"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CPB15+</w:t>
            </w:r>
          </w:p>
          <w:p w14:paraId="095E7C60"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165)</w:t>
            </w:r>
          </w:p>
        </w:tc>
      </w:tr>
      <w:tr w:rsidR="00162CE2" w:rsidRPr="002606DB" w14:paraId="19909457" w14:textId="77777777" w:rsidTr="00E71B6B">
        <w:trPr>
          <w:cantSplit/>
        </w:trPr>
        <w:tc>
          <w:tcPr>
            <w:tcW w:w="2874" w:type="dxa"/>
          </w:tcPr>
          <w:p w14:paraId="1AA8A018"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PFS mediana (meses)</w:t>
            </w:r>
          </w:p>
        </w:tc>
        <w:tc>
          <w:tcPr>
            <w:tcW w:w="2142" w:type="dxa"/>
          </w:tcPr>
          <w:p w14:paraId="5212708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9,5</w:t>
            </w:r>
          </w:p>
        </w:tc>
        <w:tc>
          <w:tcPr>
            <w:tcW w:w="2134" w:type="dxa"/>
          </w:tcPr>
          <w:p w14:paraId="2874445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10,4</w:t>
            </w:r>
          </w:p>
        </w:tc>
        <w:tc>
          <w:tcPr>
            <w:tcW w:w="2142" w:type="dxa"/>
          </w:tcPr>
          <w:p w14:paraId="0F6E67C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12,8</w:t>
            </w:r>
          </w:p>
        </w:tc>
      </w:tr>
      <w:tr w:rsidR="00162CE2" w:rsidRPr="002606DB" w14:paraId="38E4273B" w14:textId="77777777" w:rsidTr="00E71B6B">
        <w:trPr>
          <w:cantSplit/>
        </w:trPr>
        <w:tc>
          <w:tcPr>
            <w:tcW w:w="2874" w:type="dxa"/>
          </w:tcPr>
          <w:p w14:paraId="5A978CEB"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0305FFDF"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r w:rsidRPr="002606DB">
              <w:rPr>
                <w:snapToGrid w:val="0"/>
                <w:sz w:val="20"/>
                <w:vertAlign w:val="superscript"/>
                <w:lang w:val="pt-PT"/>
              </w:rPr>
              <w:t>4</w:t>
            </w:r>
          </w:p>
        </w:tc>
        <w:tc>
          <w:tcPr>
            <w:tcW w:w="2142" w:type="dxa"/>
          </w:tcPr>
          <w:p w14:paraId="1835C217" w14:textId="77777777" w:rsidR="00162CE2" w:rsidRPr="002606DB" w:rsidRDefault="00162CE2" w:rsidP="00056F35">
            <w:pPr>
              <w:pStyle w:val="TableParagraph"/>
              <w:adjustRightInd w:val="0"/>
              <w:snapToGrid w:val="0"/>
              <w:rPr>
                <w:snapToGrid w:val="0"/>
                <w:sz w:val="20"/>
                <w:lang w:val="pt-PT"/>
              </w:rPr>
            </w:pPr>
          </w:p>
        </w:tc>
        <w:tc>
          <w:tcPr>
            <w:tcW w:w="2134" w:type="dxa"/>
          </w:tcPr>
          <w:p w14:paraId="6163A90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0,90</w:t>
            </w:r>
          </w:p>
          <w:p w14:paraId="4759272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(0,70; 1,16)</w:t>
            </w:r>
          </w:p>
        </w:tc>
        <w:tc>
          <w:tcPr>
            <w:tcW w:w="2142" w:type="dxa"/>
          </w:tcPr>
          <w:p w14:paraId="423FA4F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0,64</w:t>
            </w:r>
          </w:p>
          <w:p w14:paraId="1EA8482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(0,49; 0,82)</w:t>
            </w:r>
          </w:p>
        </w:tc>
      </w:tr>
    </w:tbl>
    <w:p w14:paraId="23C1C4F9" w14:textId="1C0BE951"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Análise PFS GOG protocolo-específica avaliada pelo investigador (não censurada para progressões CA-125 ou terapia não-protocolo (NPT) anterior a progressão da doença) com data </w:t>
      </w:r>
      <w:r w:rsidRPr="002606DB">
        <w:rPr>
          <w:i/>
          <w:snapToGrid w:val="0"/>
          <w:sz w:val="18"/>
          <w:szCs w:val="18"/>
          <w:lang w:val="pt-PT"/>
        </w:rPr>
        <w:t>cut</w:t>
      </w:r>
      <w:r w:rsidR="0028621A"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dados a 25 fevereiro 2010.</w:t>
      </w:r>
    </w:p>
    <w:p w14:paraId="5BAE4352" w14:textId="4D3C4F4E"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2</w:t>
      </w:r>
      <w:r w:rsidRPr="002606DB">
        <w:rPr>
          <w:snapToGrid w:val="0"/>
          <w:sz w:val="18"/>
          <w:szCs w:val="18"/>
          <w:lang w:val="pt-PT"/>
        </w:rPr>
        <w:t xml:space="preserve"> Com doença residual v</w:t>
      </w:r>
      <w:r w:rsidR="00836F41">
        <w:rPr>
          <w:snapToGrid w:val="0"/>
          <w:sz w:val="18"/>
          <w:szCs w:val="18"/>
          <w:lang w:val="pt-PT"/>
        </w:rPr>
        <w:t>i</w:t>
      </w:r>
      <w:r w:rsidRPr="002606DB">
        <w:rPr>
          <w:snapToGrid w:val="0"/>
          <w:sz w:val="18"/>
          <w:szCs w:val="18"/>
          <w:lang w:val="pt-PT"/>
        </w:rPr>
        <w:t>s</w:t>
      </w:r>
      <w:r w:rsidR="00836F41">
        <w:rPr>
          <w:snapToGrid w:val="0"/>
          <w:sz w:val="18"/>
          <w:szCs w:val="18"/>
          <w:lang w:val="pt-PT"/>
        </w:rPr>
        <w:t>í</w:t>
      </w:r>
      <w:r w:rsidRPr="002606DB">
        <w:rPr>
          <w:snapToGrid w:val="0"/>
          <w:sz w:val="18"/>
          <w:szCs w:val="18"/>
          <w:lang w:val="pt-PT"/>
        </w:rPr>
        <w:t>vel.</w:t>
      </w:r>
    </w:p>
    <w:p w14:paraId="475989D7" w14:textId="39B3F31F"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3</w:t>
      </w:r>
      <w:r w:rsidRPr="002606DB">
        <w:rPr>
          <w:snapToGrid w:val="0"/>
          <w:sz w:val="18"/>
          <w:szCs w:val="18"/>
          <w:lang w:val="pt-PT"/>
        </w:rPr>
        <w:t xml:space="preserve"> 3,7% da população global dos doentes aleatorizados tinha doença de est</w:t>
      </w:r>
      <w:r w:rsidR="000F565C" w:rsidRPr="000F565C">
        <w:rPr>
          <w:rFonts w:hint="eastAsia"/>
          <w:snapToGrid w:val="0"/>
          <w:sz w:val="18"/>
          <w:szCs w:val="18"/>
          <w:lang w:val="pt-PT"/>
        </w:rPr>
        <w:t>á</w:t>
      </w:r>
      <w:r w:rsidRPr="002606DB">
        <w:rPr>
          <w:snapToGrid w:val="0"/>
          <w:sz w:val="18"/>
          <w:szCs w:val="18"/>
          <w:lang w:val="pt-PT"/>
        </w:rPr>
        <w:t>dio IIIB.</w:t>
      </w:r>
    </w:p>
    <w:p w14:paraId="5109C9E8" w14:textId="5D882FB6"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4</w:t>
      </w:r>
      <w:r w:rsidRPr="002606DB">
        <w:rPr>
          <w:snapToGrid w:val="0"/>
          <w:sz w:val="18"/>
          <w:szCs w:val="18"/>
          <w:lang w:val="pt-PT"/>
        </w:rPr>
        <w:t xml:space="preserve"> Em relação ao </w:t>
      </w:r>
      <w:r w:rsidR="00B72472">
        <w:rPr>
          <w:snapToGrid w:val="0"/>
          <w:sz w:val="18"/>
          <w:szCs w:val="18"/>
          <w:lang w:val="pt-PT"/>
        </w:rPr>
        <w:t>grupo</w:t>
      </w:r>
      <w:r w:rsidRPr="002606DB">
        <w:rPr>
          <w:snapToGrid w:val="0"/>
          <w:sz w:val="18"/>
          <w:szCs w:val="18"/>
          <w:lang w:val="pt-PT"/>
        </w:rPr>
        <w:t xml:space="preserve"> controlo.</w:t>
      </w:r>
    </w:p>
    <w:p w14:paraId="7F93AA16" w14:textId="77777777" w:rsidR="00162CE2" w:rsidRPr="002606DB" w:rsidRDefault="00162CE2" w:rsidP="00056F35">
      <w:pPr>
        <w:pStyle w:val="a3"/>
        <w:adjustRightInd w:val="0"/>
        <w:snapToGrid w:val="0"/>
        <w:rPr>
          <w:snapToGrid w:val="0"/>
          <w:lang w:val="pt-PT"/>
        </w:rPr>
      </w:pPr>
    </w:p>
    <w:p w14:paraId="5EF101E8" w14:textId="77777777" w:rsidR="00162CE2" w:rsidRPr="002606DB" w:rsidRDefault="00162CE2" w:rsidP="00056F35">
      <w:pPr>
        <w:adjustRightInd w:val="0"/>
        <w:snapToGrid w:val="0"/>
        <w:rPr>
          <w:i/>
          <w:snapToGrid w:val="0"/>
          <w:lang w:val="pt-PT"/>
        </w:rPr>
      </w:pPr>
      <w:r w:rsidRPr="002606DB">
        <w:rPr>
          <w:i/>
          <w:snapToGrid w:val="0"/>
          <w:lang w:val="pt-PT"/>
        </w:rPr>
        <w:t>BO17707 (ICON7)</w:t>
      </w:r>
    </w:p>
    <w:p w14:paraId="44C8A5EF" w14:textId="004F959A" w:rsidR="00162CE2" w:rsidRPr="002606DB" w:rsidRDefault="00162CE2" w:rsidP="001A633D">
      <w:pPr>
        <w:pStyle w:val="a3"/>
        <w:adjustRightInd w:val="0"/>
        <w:snapToGrid w:val="0"/>
        <w:rPr>
          <w:snapToGrid w:val="0"/>
          <w:lang w:val="pt-PT"/>
        </w:rPr>
      </w:pPr>
      <w:r w:rsidRPr="002606DB">
        <w:rPr>
          <w:snapToGrid w:val="0"/>
          <w:lang w:val="pt-PT"/>
        </w:rPr>
        <w:t xml:space="preserve">BO17707 foi um estudo de fase III, com dois </w:t>
      </w:r>
      <w:r w:rsidR="00B72472">
        <w:rPr>
          <w:snapToGrid w:val="0"/>
          <w:lang w:val="pt-PT"/>
        </w:rPr>
        <w:t>grupo</w:t>
      </w:r>
      <w:r w:rsidRPr="002606DB">
        <w:rPr>
          <w:snapToGrid w:val="0"/>
          <w:lang w:val="pt-PT"/>
        </w:rPr>
        <w:t xml:space="preserve">s, multicêntrico, aleatorizado, controlado, aberto, para comparação dos efeitos da adição de </w:t>
      </w:r>
      <w:r w:rsidRPr="007155C0">
        <w:rPr>
          <w:color w:val="000000"/>
          <w:lang w:val="pt-PT"/>
        </w:rPr>
        <w:t xml:space="preserve">bevacizumab </w:t>
      </w:r>
      <w:r w:rsidRPr="002606DB">
        <w:rPr>
          <w:snapToGrid w:val="0"/>
          <w:lang w:val="pt-PT"/>
        </w:rPr>
        <w:t>a carboplatina e paclitaxel em doentes com cancro epitelial do ovário, da trompa de falópio ou peritoneal primário após cirurgia de est</w:t>
      </w:r>
      <w:r w:rsidR="00FB513B" w:rsidRPr="007155C0">
        <w:rPr>
          <w:lang w:val="pt-PT"/>
        </w:rPr>
        <w:t>á</w:t>
      </w:r>
      <w:r w:rsidRPr="002606DB">
        <w:rPr>
          <w:snapToGrid w:val="0"/>
          <w:lang w:val="pt-PT"/>
        </w:rPr>
        <w:t>dio FIGO I ou IIA (Grau 3 ou histologia de células claras apenas; n=142), ou est</w:t>
      </w:r>
      <w:r w:rsidR="00FB513B" w:rsidRPr="007155C0">
        <w:rPr>
          <w:lang w:val="pt-PT"/>
        </w:rPr>
        <w:t>á</w:t>
      </w:r>
      <w:r w:rsidRPr="002606DB">
        <w:rPr>
          <w:snapToGrid w:val="0"/>
          <w:lang w:val="pt-PT"/>
        </w:rPr>
        <w:t>dio FIGO IIB – IV (todos os Graus e</w:t>
      </w:r>
      <w:r w:rsidR="001A633D" w:rsidRPr="002606DB">
        <w:rPr>
          <w:snapToGrid w:val="0"/>
          <w:lang w:val="pt-PT"/>
        </w:rPr>
        <w:t xml:space="preserve"> </w:t>
      </w:r>
      <w:r w:rsidRPr="002606DB">
        <w:rPr>
          <w:snapToGrid w:val="0"/>
          <w:lang w:val="pt-PT"/>
        </w:rPr>
        <w:t>todos os tipos histológicos; n = 1386) (NCI-CTCAE v.3). Neste ensaio foi utilizada a versão de estadiamento FIGO datada de 1988.</w:t>
      </w:r>
    </w:p>
    <w:p w14:paraId="60929B36" w14:textId="77777777" w:rsidR="00162CE2" w:rsidRPr="002606DB" w:rsidRDefault="00162CE2" w:rsidP="00056F35">
      <w:pPr>
        <w:pStyle w:val="a3"/>
        <w:adjustRightInd w:val="0"/>
        <w:snapToGrid w:val="0"/>
        <w:rPr>
          <w:snapToGrid w:val="0"/>
          <w:lang w:val="pt-PT"/>
        </w:rPr>
      </w:pPr>
    </w:p>
    <w:p w14:paraId="73595B34" w14:textId="77777777" w:rsidR="00162CE2" w:rsidRPr="002606DB" w:rsidRDefault="00162CE2" w:rsidP="00056F35">
      <w:pPr>
        <w:pStyle w:val="a3"/>
        <w:adjustRightInd w:val="0"/>
        <w:snapToGrid w:val="0"/>
        <w:jc w:val="both"/>
        <w:rPr>
          <w:snapToGrid w:val="0"/>
          <w:lang w:val="pt-PT"/>
        </w:rPr>
      </w:pPr>
      <w:r w:rsidRPr="002606DB">
        <w:rPr>
          <w:snapToGrid w:val="0"/>
          <w:lang w:val="pt-PT"/>
        </w:rPr>
        <w:t>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abdomén ou pélvis.</w:t>
      </w:r>
    </w:p>
    <w:p w14:paraId="460CCC02" w14:textId="77777777" w:rsidR="00162CE2" w:rsidRPr="002606DB" w:rsidRDefault="00162CE2" w:rsidP="00056F35">
      <w:pPr>
        <w:pStyle w:val="a3"/>
        <w:adjustRightInd w:val="0"/>
        <w:snapToGrid w:val="0"/>
        <w:rPr>
          <w:snapToGrid w:val="0"/>
          <w:lang w:val="pt-PT"/>
        </w:rPr>
      </w:pPr>
    </w:p>
    <w:p w14:paraId="73FB34C7" w14:textId="78CAF500" w:rsidR="00162CE2" w:rsidRPr="002606DB" w:rsidRDefault="00162CE2" w:rsidP="00056F35">
      <w:pPr>
        <w:pStyle w:val="a3"/>
        <w:adjustRightInd w:val="0"/>
        <w:snapToGrid w:val="0"/>
        <w:jc w:val="both"/>
        <w:rPr>
          <w:snapToGrid w:val="0"/>
          <w:lang w:val="pt-PT"/>
        </w:rPr>
      </w:pPr>
      <w:r w:rsidRPr="002606DB">
        <w:rPr>
          <w:snapToGrid w:val="0"/>
          <w:lang w:val="pt-PT"/>
        </w:rPr>
        <w:t xml:space="preserve">Um total de 1528 doentes foi aleatorizado em proporções iguais para os seguintes dois </w:t>
      </w:r>
      <w:r w:rsidR="00B72472">
        <w:rPr>
          <w:snapToGrid w:val="0"/>
          <w:lang w:val="pt-PT"/>
        </w:rPr>
        <w:t>grupo</w:t>
      </w:r>
      <w:r w:rsidRPr="002606DB">
        <w:rPr>
          <w:snapToGrid w:val="0"/>
          <w:lang w:val="pt-PT"/>
        </w:rPr>
        <w:t>s:</w:t>
      </w:r>
    </w:p>
    <w:p w14:paraId="07249E26" w14:textId="77777777" w:rsidR="00162CE2" w:rsidRPr="002606DB" w:rsidRDefault="00162CE2" w:rsidP="00056F35">
      <w:pPr>
        <w:pStyle w:val="a3"/>
        <w:adjustRightInd w:val="0"/>
        <w:snapToGrid w:val="0"/>
        <w:rPr>
          <w:snapToGrid w:val="0"/>
          <w:lang w:val="pt-PT"/>
        </w:rPr>
      </w:pPr>
    </w:p>
    <w:p w14:paraId="22D3C1FE" w14:textId="1D25FE35" w:rsidR="00162CE2" w:rsidRPr="002606DB" w:rsidRDefault="00B72472" w:rsidP="001A633D">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 Carboplatina (AUC 6) e paclitaxel (175 mg/m</w:t>
      </w:r>
      <w:r w:rsidR="00162CE2" w:rsidRPr="002606DB">
        <w:rPr>
          <w:snapToGrid w:val="0"/>
          <w:vertAlign w:val="superscript"/>
          <w:lang w:val="pt-PT"/>
        </w:rPr>
        <w:t>2</w:t>
      </w:r>
      <w:r w:rsidR="00162CE2" w:rsidRPr="002606DB">
        <w:rPr>
          <w:snapToGrid w:val="0"/>
          <w:lang w:val="pt-PT"/>
        </w:rPr>
        <w:t>) durante 6 ciclos de 3 semanas de duração</w:t>
      </w:r>
    </w:p>
    <w:p w14:paraId="30C5EADE" w14:textId="5595FECF" w:rsidR="00162CE2" w:rsidRPr="002606DB" w:rsidRDefault="00B72472" w:rsidP="001A633D">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CPB7,5+: Carboplatina (AUC 6) e paclitaxel (175 mg/m</w:t>
      </w:r>
      <w:r w:rsidR="00162CE2" w:rsidRPr="002606DB">
        <w:rPr>
          <w:snapToGrid w:val="0"/>
          <w:vertAlign w:val="superscript"/>
          <w:lang w:val="pt-PT"/>
        </w:rPr>
        <w:t>2</w:t>
      </w:r>
      <w:r w:rsidR="00162CE2" w:rsidRPr="002606DB">
        <w:rPr>
          <w:snapToGrid w:val="0"/>
          <w:lang w:val="pt-PT"/>
        </w:rPr>
        <w:t xml:space="preserve">) durante 6 ciclos de 3 semanas mais </w:t>
      </w:r>
      <w:r w:rsidR="00162CE2" w:rsidRPr="007155C0">
        <w:rPr>
          <w:color w:val="000000"/>
          <w:lang w:val="pt-PT"/>
        </w:rPr>
        <w:t xml:space="preserve">bevacizumab </w:t>
      </w:r>
      <w:r w:rsidR="00162CE2" w:rsidRPr="002606DB">
        <w:rPr>
          <w:snapToGrid w:val="0"/>
          <w:lang w:val="pt-PT"/>
        </w:rPr>
        <w:t>(7,5 mg/kg a cada 3 semanas) durante até 12 meses (</w:t>
      </w:r>
      <w:r w:rsidR="00162CE2" w:rsidRPr="007155C0">
        <w:rPr>
          <w:color w:val="000000"/>
          <w:lang w:val="pt-PT"/>
        </w:rPr>
        <w:t xml:space="preserve">bevacizumab </w:t>
      </w:r>
      <w:r w:rsidR="00162CE2" w:rsidRPr="002606DB">
        <w:rPr>
          <w:snapToGrid w:val="0"/>
          <w:lang w:val="pt-PT"/>
        </w:rPr>
        <w:t>foi iniciado no 2º ciclo de quimioterapia se o tratamento tivesse sido iniciado a menos de 4 semanas da cirurgia ou ao 1º ciclo se o tratamento tivesse sido iniciado a mais de 4 semanas após a cirurgia).</w:t>
      </w:r>
    </w:p>
    <w:p w14:paraId="33D005F7" w14:textId="77777777" w:rsidR="00162CE2" w:rsidRPr="002606DB" w:rsidRDefault="00162CE2" w:rsidP="00056F35">
      <w:pPr>
        <w:pStyle w:val="a3"/>
        <w:adjustRightInd w:val="0"/>
        <w:snapToGrid w:val="0"/>
        <w:rPr>
          <w:snapToGrid w:val="0"/>
          <w:lang w:val="pt-PT"/>
        </w:rPr>
      </w:pPr>
    </w:p>
    <w:p w14:paraId="4E819ADD" w14:textId="4CAB5B14" w:rsidR="00162CE2" w:rsidRPr="002606DB" w:rsidRDefault="00162CE2" w:rsidP="00056F35">
      <w:pPr>
        <w:pStyle w:val="a3"/>
        <w:adjustRightInd w:val="0"/>
        <w:snapToGrid w:val="0"/>
        <w:rPr>
          <w:snapToGrid w:val="0"/>
          <w:lang w:val="pt-PT"/>
        </w:rPr>
      </w:pPr>
      <w:r w:rsidRPr="002606DB">
        <w:rPr>
          <w:snapToGrid w:val="0"/>
          <w:lang w:val="pt-PT"/>
        </w:rPr>
        <w:t xml:space="preserve">A maioria dos doentes incluídos no ensaio era de raça branca (96%), a mediana da idade era de 57 anos em ambos os </w:t>
      </w:r>
      <w:r w:rsidR="00B72472">
        <w:rPr>
          <w:snapToGrid w:val="0"/>
          <w:lang w:val="pt-PT"/>
        </w:rPr>
        <w:t>grupo</w:t>
      </w:r>
      <w:r w:rsidRPr="002606DB">
        <w:rPr>
          <w:snapToGrid w:val="0"/>
          <w:lang w:val="pt-PT"/>
        </w:rPr>
        <w:t xml:space="preserve">s de tratamento, 25% dos doentes em cada </w:t>
      </w:r>
      <w:r w:rsidR="00B72472">
        <w:rPr>
          <w:snapToGrid w:val="0"/>
          <w:lang w:val="pt-PT"/>
        </w:rPr>
        <w:t>grupo</w:t>
      </w:r>
      <w:r w:rsidRPr="002606DB">
        <w:rPr>
          <w:snapToGrid w:val="0"/>
          <w:lang w:val="pt-PT"/>
        </w:rPr>
        <w:t xml:space="preserve"> tinha idade igual ou superior a 65 anos, e aproximadamente 50% dos doentes tinha PS ECOG de 1; 7% dos doentes em cada </w:t>
      </w:r>
      <w:r w:rsidR="00B72472">
        <w:rPr>
          <w:snapToGrid w:val="0"/>
          <w:lang w:val="pt-PT"/>
        </w:rPr>
        <w:t>grupo</w:t>
      </w:r>
      <w:r w:rsidRPr="002606DB">
        <w:rPr>
          <w:snapToGrid w:val="0"/>
          <w:lang w:val="pt-PT"/>
        </w:rPr>
        <w:t xml:space="preserve"> de tratamento tinha PS ECOG de 2. A maioria dos doentes tinha cancro epitelial do ovário (87,7%) seguido do cancro peritoneal primário (6,9%) e do cancro da trompa de Falópio (3,7%) ou uma mistura das três origens (1,7%). A maioria dos doentes estavam no est</w:t>
      </w:r>
      <w:r w:rsidR="00FB513B">
        <w:t>á</w:t>
      </w:r>
      <w:r w:rsidRPr="002606DB">
        <w:rPr>
          <w:snapToGrid w:val="0"/>
          <w:lang w:val="pt-PT"/>
        </w:rPr>
        <w:t>dio FIGO III (ambos 68%), seguido do est</w:t>
      </w:r>
      <w:r w:rsidR="00FB513B">
        <w:t>á</w:t>
      </w:r>
      <w:r w:rsidRPr="002606DB">
        <w:rPr>
          <w:snapToGrid w:val="0"/>
          <w:lang w:val="pt-PT"/>
        </w:rPr>
        <w:t>dio FIGO IV (13% e 14%), est</w:t>
      </w:r>
      <w:r w:rsidR="00FB513B">
        <w:t>á</w:t>
      </w:r>
      <w:r w:rsidRPr="002606DB">
        <w:rPr>
          <w:snapToGrid w:val="0"/>
          <w:lang w:val="pt-PT"/>
        </w:rPr>
        <w:t>dio FIGO II (10% e 11%) e est</w:t>
      </w:r>
      <w:r w:rsidR="00FB513B">
        <w:t>á</w:t>
      </w:r>
      <w:r w:rsidRPr="002606DB">
        <w:rPr>
          <w:snapToGrid w:val="0"/>
          <w:lang w:val="pt-PT"/>
        </w:rPr>
        <w:t xml:space="preserve">dio FIGO I (9% e 7%). A maioria dos doentes em cada </w:t>
      </w:r>
      <w:r w:rsidR="00B72472">
        <w:rPr>
          <w:snapToGrid w:val="0"/>
          <w:lang w:val="pt-PT"/>
        </w:rPr>
        <w:t>grupo</w:t>
      </w:r>
      <w:r w:rsidRPr="002606DB">
        <w:rPr>
          <w:snapToGrid w:val="0"/>
          <w:lang w:val="pt-PT"/>
        </w:rPr>
        <w:t xml:space="preserve"> de tratamento (74% e 71%) tinha tumores primários pouco diferenciados (Grau 3) à entrada no ensaio. A incidência de cada sub-tipo histológico EOC era </w:t>
      </w:r>
      <w:r w:rsidRPr="002606DB">
        <w:rPr>
          <w:snapToGrid w:val="0"/>
          <w:lang w:val="pt-PT"/>
        </w:rPr>
        <w:lastRenderedPageBreak/>
        <w:t xml:space="preserve">semelhante entre os </w:t>
      </w:r>
      <w:r w:rsidR="00B72472">
        <w:rPr>
          <w:snapToGrid w:val="0"/>
          <w:lang w:val="pt-PT"/>
        </w:rPr>
        <w:t>grupo</w:t>
      </w:r>
      <w:r w:rsidRPr="002606DB">
        <w:rPr>
          <w:snapToGrid w:val="0"/>
          <w:lang w:val="pt-PT"/>
        </w:rPr>
        <w:t xml:space="preserve">s de tratamento; 69% dos doentes em cada </w:t>
      </w:r>
      <w:r w:rsidR="00B72472">
        <w:rPr>
          <w:snapToGrid w:val="0"/>
          <w:lang w:val="pt-PT"/>
        </w:rPr>
        <w:t>grupo</w:t>
      </w:r>
      <w:r w:rsidRPr="002606DB">
        <w:rPr>
          <w:snapToGrid w:val="0"/>
          <w:lang w:val="pt-PT"/>
        </w:rPr>
        <w:t xml:space="preserve"> tinha adenocarcinoma histológico do tipo seroso.</w:t>
      </w:r>
    </w:p>
    <w:p w14:paraId="5D1EEAB9" w14:textId="77777777" w:rsidR="00162CE2" w:rsidRPr="002606DB" w:rsidRDefault="00162CE2" w:rsidP="00056F35">
      <w:pPr>
        <w:pStyle w:val="a3"/>
        <w:adjustRightInd w:val="0"/>
        <w:snapToGrid w:val="0"/>
        <w:rPr>
          <w:snapToGrid w:val="0"/>
          <w:lang w:val="pt-PT"/>
        </w:rPr>
      </w:pPr>
    </w:p>
    <w:p w14:paraId="061F9E44" w14:textId="77777777" w:rsidR="00162CE2" w:rsidRPr="002606DB" w:rsidRDefault="00162CE2" w:rsidP="00056F35">
      <w:pPr>
        <w:pStyle w:val="a3"/>
        <w:adjustRightInd w:val="0"/>
        <w:snapToGrid w:val="0"/>
        <w:jc w:val="both"/>
        <w:rPr>
          <w:snapToGrid w:val="0"/>
          <w:lang w:val="pt-PT"/>
        </w:rPr>
      </w:pPr>
      <w:r w:rsidRPr="002606DB">
        <w:rPr>
          <w:snapToGrid w:val="0"/>
          <w:lang w:val="pt-PT"/>
        </w:rPr>
        <w:t>O objetivo primário foi a PFS avaliada pelo investigador usando os RECIST.</w:t>
      </w:r>
    </w:p>
    <w:p w14:paraId="06074F21" w14:textId="77777777" w:rsidR="00162CE2" w:rsidRPr="002606DB" w:rsidRDefault="00162CE2" w:rsidP="00056F35">
      <w:pPr>
        <w:pStyle w:val="a3"/>
        <w:adjustRightInd w:val="0"/>
        <w:snapToGrid w:val="0"/>
        <w:rPr>
          <w:snapToGrid w:val="0"/>
          <w:lang w:val="pt-PT"/>
        </w:rPr>
      </w:pPr>
    </w:p>
    <w:p w14:paraId="61734FD8" w14:textId="4DD94941" w:rsidR="00162CE2" w:rsidRPr="002606DB" w:rsidRDefault="00162CE2" w:rsidP="00056F35">
      <w:pPr>
        <w:pStyle w:val="a3"/>
        <w:adjustRightInd w:val="0"/>
        <w:snapToGrid w:val="0"/>
        <w:rPr>
          <w:snapToGrid w:val="0"/>
          <w:lang w:val="pt-PT"/>
        </w:rPr>
      </w:pPr>
      <w:r w:rsidRPr="002606DB">
        <w:rPr>
          <w:snapToGrid w:val="0"/>
          <w:lang w:val="pt-PT"/>
        </w:rPr>
        <w:t>O ensaio atingiu o objetivo primário de aumento da PFS. Comparativamente com os doentes tratados apenas com quimioterapia em primeira linha (carboplatina e paclitaxel), os doentes que receberam bevacizumab numa dose de 7,5 mg/kg a cada 3 semanas em associação com quimioterapia e continuaram a receber bevacizumab durante até 18 ciclos tiveram um aumento estatisticamente significativo da PFS.</w:t>
      </w:r>
    </w:p>
    <w:p w14:paraId="1FCB0DC7" w14:textId="77777777" w:rsidR="00162CE2" w:rsidRPr="002606DB" w:rsidRDefault="00162CE2" w:rsidP="00056F35">
      <w:pPr>
        <w:pStyle w:val="a3"/>
        <w:adjustRightInd w:val="0"/>
        <w:snapToGrid w:val="0"/>
        <w:rPr>
          <w:snapToGrid w:val="0"/>
          <w:lang w:val="pt-PT"/>
        </w:rPr>
      </w:pPr>
    </w:p>
    <w:p w14:paraId="4BDC4BE1" w14:textId="77777777" w:rsidR="00162CE2" w:rsidRPr="002606DB" w:rsidRDefault="00162CE2" w:rsidP="00056F35">
      <w:pPr>
        <w:pStyle w:val="a3"/>
        <w:adjustRightInd w:val="0"/>
        <w:snapToGrid w:val="0"/>
        <w:rPr>
          <w:snapToGrid w:val="0"/>
          <w:lang w:val="pt-PT"/>
        </w:rPr>
      </w:pPr>
      <w:r w:rsidRPr="002606DB">
        <w:rPr>
          <w:snapToGrid w:val="0"/>
          <w:lang w:val="pt-PT"/>
        </w:rPr>
        <w:t>Os resultados deste estudo são resumidos na Tabela 18.</w:t>
      </w:r>
    </w:p>
    <w:p w14:paraId="5D57E69B" w14:textId="77777777" w:rsidR="00162CE2" w:rsidRPr="002606DB" w:rsidRDefault="00162CE2" w:rsidP="00056F35">
      <w:pPr>
        <w:adjustRightInd w:val="0"/>
        <w:snapToGrid w:val="0"/>
        <w:rPr>
          <w:snapToGrid w:val="0"/>
          <w:lang w:val="pt-PT"/>
        </w:rPr>
      </w:pPr>
    </w:p>
    <w:p w14:paraId="1036A96B"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18</w:t>
      </w:r>
      <w:r w:rsidRPr="00730741">
        <w:rPr>
          <w:b/>
          <w:bCs/>
          <w:snapToGrid w:val="0"/>
          <w:lang w:val="pt-PT"/>
        </w:rPr>
        <w:tab/>
        <w:t>Resultados de eficácia do estudo BO17707 (ICON7)</w:t>
      </w:r>
    </w:p>
    <w:p w14:paraId="1C0E30EF" w14:textId="77777777" w:rsidR="00162CE2" w:rsidRPr="002606DB" w:rsidRDefault="00162CE2" w:rsidP="00056F35">
      <w:pPr>
        <w:pStyle w:val="a3"/>
        <w:adjustRightInd w:val="0"/>
        <w:snapToGrid w:val="0"/>
        <w:rPr>
          <w:b/>
          <w:snapToGrid w:val="0"/>
          <w:lang w:val="pt-PT"/>
        </w:rPr>
      </w:pPr>
    </w:p>
    <w:tbl>
      <w:tblPr>
        <w:tblW w:w="5000" w:type="pct"/>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3018"/>
        <w:gridCol w:w="3018"/>
      </w:tblGrid>
      <w:tr w:rsidR="00162CE2" w:rsidRPr="00730741" w14:paraId="03287A04" w14:textId="77777777" w:rsidTr="001271C2">
        <w:trPr>
          <w:cantSplit/>
        </w:trPr>
        <w:tc>
          <w:tcPr>
            <w:tcW w:w="9292" w:type="dxa"/>
            <w:gridSpan w:val="3"/>
          </w:tcPr>
          <w:p w14:paraId="67780A1A" w14:textId="77777777" w:rsidR="00162CE2" w:rsidRPr="00A03389" w:rsidRDefault="00162CE2" w:rsidP="00882296">
            <w:pPr>
              <w:pStyle w:val="TableParagraph"/>
              <w:adjustRightInd w:val="0"/>
              <w:snapToGrid w:val="0"/>
              <w:rPr>
                <w:b/>
                <w:bCs/>
                <w:i/>
                <w:snapToGrid w:val="0"/>
                <w:sz w:val="20"/>
                <w:lang w:val="pt-PT"/>
              </w:rPr>
            </w:pPr>
            <w:r w:rsidRPr="00A03389">
              <w:rPr>
                <w:b/>
                <w:bCs/>
                <w:snapToGrid w:val="0"/>
                <w:sz w:val="20"/>
                <w:lang w:val="pt-PT"/>
              </w:rPr>
              <w:t xml:space="preserve">Sobrevivência livre de progressão </w:t>
            </w:r>
            <w:r w:rsidRPr="00A03389">
              <w:rPr>
                <w:b/>
                <w:bCs/>
                <w:i/>
                <w:snapToGrid w:val="0"/>
                <w:sz w:val="20"/>
                <w:lang w:val="pt-PT"/>
              </w:rPr>
              <w:t>(PFS)</w:t>
            </w:r>
          </w:p>
        </w:tc>
      </w:tr>
      <w:tr w:rsidR="00162CE2" w:rsidRPr="002606DB" w14:paraId="1E00B999" w14:textId="77777777" w:rsidTr="00882296">
        <w:trPr>
          <w:cantSplit/>
        </w:trPr>
        <w:tc>
          <w:tcPr>
            <w:tcW w:w="3106" w:type="dxa"/>
          </w:tcPr>
          <w:p w14:paraId="42DD9484" w14:textId="77777777" w:rsidR="00162CE2" w:rsidRPr="002606DB" w:rsidRDefault="00162CE2" w:rsidP="00056F35">
            <w:pPr>
              <w:pStyle w:val="TableParagraph"/>
              <w:adjustRightInd w:val="0"/>
              <w:snapToGrid w:val="0"/>
              <w:rPr>
                <w:snapToGrid w:val="0"/>
                <w:sz w:val="20"/>
                <w:lang w:val="pt-PT"/>
              </w:rPr>
            </w:pPr>
          </w:p>
        </w:tc>
        <w:tc>
          <w:tcPr>
            <w:tcW w:w="3093" w:type="dxa"/>
          </w:tcPr>
          <w:p w14:paraId="4997541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w:t>
            </w:r>
          </w:p>
          <w:p w14:paraId="4D82A3F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764)</w:t>
            </w:r>
          </w:p>
        </w:tc>
        <w:tc>
          <w:tcPr>
            <w:tcW w:w="3093" w:type="dxa"/>
          </w:tcPr>
          <w:p w14:paraId="27D8325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 xml:space="preserve">CPB7,5+ </w:t>
            </w:r>
          </w:p>
          <w:p w14:paraId="2C10DD2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764)</w:t>
            </w:r>
          </w:p>
        </w:tc>
      </w:tr>
      <w:tr w:rsidR="00162CE2" w:rsidRPr="002606DB" w14:paraId="7AE09832" w14:textId="77777777" w:rsidTr="00882296">
        <w:trPr>
          <w:cantSplit/>
        </w:trPr>
        <w:tc>
          <w:tcPr>
            <w:tcW w:w="3106" w:type="dxa"/>
          </w:tcPr>
          <w:p w14:paraId="1CDCDE4D" w14:textId="23DC1FC0" w:rsidR="00162CE2" w:rsidRPr="002606DB" w:rsidRDefault="00162CE2" w:rsidP="001A633D">
            <w:pPr>
              <w:pStyle w:val="TableParagraph"/>
              <w:adjustRightInd w:val="0"/>
              <w:snapToGrid w:val="0"/>
              <w:ind w:firstLine="246"/>
              <w:rPr>
                <w:snapToGrid w:val="0"/>
                <w:sz w:val="20"/>
                <w:lang w:val="pt-PT"/>
              </w:rPr>
            </w:pPr>
            <w:r w:rsidRPr="002606DB">
              <w:rPr>
                <w:snapToGrid w:val="0"/>
                <w:sz w:val="20"/>
                <w:lang w:val="pt-PT"/>
              </w:rPr>
              <w:t>PFS mediana (meses)</w:t>
            </w:r>
            <w:r w:rsidRPr="002606DB">
              <w:rPr>
                <w:snapToGrid w:val="0"/>
                <w:sz w:val="20"/>
                <w:vertAlign w:val="superscript"/>
                <w:lang w:val="pt-PT"/>
              </w:rPr>
              <w:t>2</w:t>
            </w:r>
          </w:p>
        </w:tc>
        <w:tc>
          <w:tcPr>
            <w:tcW w:w="3093" w:type="dxa"/>
          </w:tcPr>
          <w:p w14:paraId="604900E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16,9</w:t>
            </w:r>
          </w:p>
        </w:tc>
        <w:tc>
          <w:tcPr>
            <w:tcW w:w="3093" w:type="dxa"/>
          </w:tcPr>
          <w:p w14:paraId="6BB4319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19,3</w:t>
            </w:r>
          </w:p>
        </w:tc>
      </w:tr>
      <w:tr w:rsidR="00162CE2" w:rsidRPr="002606DB" w14:paraId="2E39C890" w14:textId="77777777" w:rsidTr="00882296">
        <w:trPr>
          <w:cantSplit/>
        </w:trPr>
        <w:tc>
          <w:tcPr>
            <w:tcW w:w="3106" w:type="dxa"/>
          </w:tcPr>
          <w:p w14:paraId="153BA4B0" w14:textId="77777777" w:rsidR="00162CE2" w:rsidRPr="002606DB" w:rsidRDefault="00162CE2" w:rsidP="001A633D">
            <w:pPr>
              <w:pStyle w:val="TableParagraph"/>
              <w:adjustRightInd w:val="0"/>
              <w:snapToGrid w:val="0"/>
              <w:ind w:firstLine="246"/>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p>
          <w:p w14:paraId="2C29A46B" w14:textId="4EBADA1F" w:rsidR="00162CE2" w:rsidRPr="002606DB" w:rsidRDefault="00162CE2" w:rsidP="001A633D">
            <w:pPr>
              <w:pStyle w:val="TableParagraph"/>
              <w:adjustRightInd w:val="0"/>
              <w:snapToGrid w:val="0"/>
              <w:ind w:firstLine="246"/>
              <w:rPr>
                <w:snapToGrid w:val="0"/>
                <w:sz w:val="20"/>
                <w:lang w:val="pt-PT"/>
              </w:rPr>
            </w:pPr>
            <w:r w:rsidRPr="002606DB">
              <w:rPr>
                <w:snapToGrid w:val="0"/>
                <w:sz w:val="20"/>
                <w:lang w:val="pt-PT"/>
              </w:rPr>
              <w:t>[IC 95%]</w:t>
            </w:r>
            <w:r w:rsidRPr="002606DB">
              <w:rPr>
                <w:snapToGrid w:val="0"/>
                <w:sz w:val="20"/>
                <w:vertAlign w:val="superscript"/>
                <w:lang w:val="pt-PT"/>
              </w:rPr>
              <w:t>2</w:t>
            </w:r>
          </w:p>
        </w:tc>
        <w:tc>
          <w:tcPr>
            <w:tcW w:w="6186" w:type="dxa"/>
            <w:gridSpan w:val="2"/>
          </w:tcPr>
          <w:p w14:paraId="5495645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0,86 [0,75; 0,98]</w:t>
            </w:r>
          </w:p>
          <w:p w14:paraId="0237B57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0,0185)</w:t>
            </w:r>
          </w:p>
        </w:tc>
      </w:tr>
      <w:tr w:rsidR="00162CE2" w:rsidRPr="002606DB" w14:paraId="3AEF6CE2" w14:textId="77777777" w:rsidTr="00882296">
        <w:trPr>
          <w:cantSplit/>
        </w:trPr>
        <w:tc>
          <w:tcPr>
            <w:tcW w:w="9292" w:type="dxa"/>
            <w:gridSpan w:val="3"/>
          </w:tcPr>
          <w:p w14:paraId="79CFFB7A" w14:textId="714EBB23" w:rsidR="00162CE2" w:rsidRPr="00A03389" w:rsidRDefault="00162CE2" w:rsidP="00882296">
            <w:pPr>
              <w:pStyle w:val="TableParagraph"/>
              <w:adjustRightInd w:val="0"/>
              <w:snapToGrid w:val="0"/>
              <w:rPr>
                <w:b/>
                <w:bCs/>
                <w:snapToGrid w:val="0"/>
                <w:sz w:val="20"/>
                <w:lang w:val="pt-PT"/>
              </w:rPr>
            </w:pPr>
            <w:r w:rsidRPr="00A03389">
              <w:rPr>
                <w:b/>
                <w:bCs/>
                <w:snapToGrid w:val="0"/>
                <w:sz w:val="20"/>
                <w:lang w:val="pt-PT"/>
              </w:rPr>
              <w:t>Taxa de resposta objetiva</w:t>
            </w:r>
            <w:r w:rsidRPr="00A03389">
              <w:rPr>
                <w:b/>
                <w:bCs/>
                <w:snapToGrid w:val="0"/>
                <w:sz w:val="20"/>
                <w:vertAlign w:val="superscript"/>
                <w:lang w:val="pt-PT"/>
              </w:rPr>
              <w:t>1</w:t>
            </w:r>
          </w:p>
        </w:tc>
      </w:tr>
      <w:tr w:rsidR="00EF46C3" w:rsidRPr="002606DB" w14:paraId="2134D5BD" w14:textId="77777777" w:rsidTr="00882296">
        <w:trPr>
          <w:cantSplit/>
        </w:trPr>
        <w:tc>
          <w:tcPr>
            <w:tcW w:w="3106" w:type="dxa"/>
          </w:tcPr>
          <w:p w14:paraId="779F2E50" w14:textId="1AA8048E" w:rsidR="00EF46C3" w:rsidRPr="002606DB" w:rsidRDefault="00EF46C3" w:rsidP="00056F35">
            <w:pPr>
              <w:pStyle w:val="TableParagraph"/>
              <w:adjustRightInd w:val="0"/>
              <w:snapToGrid w:val="0"/>
              <w:rPr>
                <w:snapToGrid w:val="0"/>
                <w:sz w:val="20"/>
                <w:lang w:val="pt-PT"/>
              </w:rPr>
            </w:pPr>
          </w:p>
        </w:tc>
        <w:tc>
          <w:tcPr>
            <w:tcW w:w="3093" w:type="dxa"/>
          </w:tcPr>
          <w:p w14:paraId="30C0A6E7"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CP</w:t>
            </w:r>
          </w:p>
          <w:p w14:paraId="69CFBEDD"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(n = 277)</w:t>
            </w:r>
          </w:p>
        </w:tc>
        <w:tc>
          <w:tcPr>
            <w:tcW w:w="3093" w:type="dxa"/>
          </w:tcPr>
          <w:p w14:paraId="61DA010B"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 xml:space="preserve">CPB7,5+ </w:t>
            </w:r>
          </w:p>
          <w:p w14:paraId="0366FE42"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(n = 272)</w:t>
            </w:r>
          </w:p>
        </w:tc>
      </w:tr>
      <w:tr w:rsidR="00EF46C3" w:rsidRPr="002606DB" w14:paraId="1F603666" w14:textId="77777777" w:rsidTr="00882296">
        <w:trPr>
          <w:cantSplit/>
        </w:trPr>
        <w:tc>
          <w:tcPr>
            <w:tcW w:w="3106" w:type="dxa"/>
          </w:tcPr>
          <w:p w14:paraId="02F86A23" w14:textId="3AC38B89" w:rsidR="00EF46C3" w:rsidRPr="002606DB" w:rsidRDefault="00EF46C3" w:rsidP="00EF46C3">
            <w:pPr>
              <w:pStyle w:val="TableParagraph"/>
              <w:adjustRightInd w:val="0"/>
              <w:snapToGrid w:val="0"/>
              <w:ind w:firstLine="246"/>
              <w:rPr>
                <w:snapToGrid w:val="0"/>
                <w:sz w:val="20"/>
                <w:szCs w:val="2"/>
                <w:lang w:val="pt-PT"/>
              </w:rPr>
            </w:pPr>
            <w:r w:rsidRPr="002606DB">
              <w:rPr>
                <w:snapToGrid w:val="0"/>
                <w:sz w:val="20"/>
                <w:lang w:val="pt-PT"/>
              </w:rPr>
              <w:t>Taxa de resposta</w:t>
            </w:r>
          </w:p>
        </w:tc>
        <w:tc>
          <w:tcPr>
            <w:tcW w:w="3093" w:type="dxa"/>
          </w:tcPr>
          <w:p w14:paraId="0F0C7638"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54,9%</w:t>
            </w:r>
          </w:p>
        </w:tc>
        <w:tc>
          <w:tcPr>
            <w:tcW w:w="3093" w:type="dxa"/>
          </w:tcPr>
          <w:p w14:paraId="6C1FE9FB"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64,7%</w:t>
            </w:r>
          </w:p>
        </w:tc>
      </w:tr>
      <w:tr w:rsidR="00EF46C3" w:rsidRPr="002606DB" w14:paraId="611928FB" w14:textId="77777777" w:rsidTr="00882296">
        <w:trPr>
          <w:cantSplit/>
        </w:trPr>
        <w:tc>
          <w:tcPr>
            <w:tcW w:w="3106" w:type="dxa"/>
          </w:tcPr>
          <w:p w14:paraId="4913B667" w14:textId="77777777" w:rsidR="00EF46C3" w:rsidRPr="002606DB" w:rsidRDefault="00EF46C3" w:rsidP="00056F35">
            <w:pPr>
              <w:adjustRightInd w:val="0"/>
              <w:snapToGrid w:val="0"/>
              <w:rPr>
                <w:snapToGrid w:val="0"/>
                <w:sz w:val="20"/>
                <w:szCs w:val="2"/>
                <w:lang w:val="pt-PT"/>
              </w:rPr>
            </w:pPr>
          </w:p>
        </w:tc>
        <w:tc>
          <w:tcPr>
            <w:tcW w:w="6186" w:type="dxa"/>
            <w:gridSpan w:val="2"/>
          </w:tcPr>
          <w:p w14:paraId="144974F9"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(valor de p = 0,0188)</w:t>
            </w:r>
          </w:p>
        </w:tc>
      </w:tr>
      <w:tr w:rsidR="00162CE2" w:rsidRPr="002606DB" w14:paraId="233B24FF" w14:textId="77777777" w:rsidTr="00882296">
        <w:trPr>
          <w:cantSplit/>
        </w:trPr>
        <w:tc>
          <w:tcPr>
            <w:tcW w:w="9292" w:type="dxa"/>
            <w:gridSpan w:val="3"/>
          </w:tcPr>
          <w:p w14:paraId="1D460BB0" w14:textId="1DBB3888" w:rsidR="00162CE2" w:rsidRPr="00A03389" w:rsidRDefault="00162CE2" w:rsidP="00882296">
            <w:pPr>
              <w:pStyle w:val="TableParagraph"/>
              <w:adjustRightInd w:val="0"/>
              <w:snapToGrid w:val="0"/>
              <w:rPr>
                <w:b/>
                <w:bCs/>
                <w:snapToGrid w:val="0"/>
                <w:sz w:val="20"/>
                <w:lang w:val="pt-PT"/>
              </w:rPr>
            </w:pPr>
            <w:r w:rsidRPr="00A03389">
              <w:rPr>
                <w:b/>
                <w:bCs/>
                <w:snapToGrid w:val="0"/>
                <w:sz w:val="20"/>
                <w:lang w:val="pt-PT"/>
              </w:rPr>
              <w:t xml:space="preserve">Sobrevivência </w:t>
            </w:r>
            <w:r w:rsidR="00836F41" w:rsidRPr="00A03389">
              <w:rPr>
                <w:b/>
                <w:bCs/>
                <w:snapToGrid w:val="0"/>
                <w:sz w:val="20"/>
                <w:lang w:val="pt-PT"/>
              </w:rPr>
              <w:t>g</w:t>
            </w:r>
            <w:r w:rsidRPr="00A03389">
              <w:rPr>
                <w:b/>
                <w:bCs/>
                <w:snapToGrid w:val="0"/>
                <w:sz w:val="20"/>
                <w:lang w:val="pt-PT"/>
              </w:rPr>
              <w:t>lobal</w:t>
            </w:r>
            <w:r w:rsidRPr="00A03389">
              <w:rPr>
                <w:b/>
                <w:bCs/>
                <w:snapToGrid w:val="0"/>
                <w:sz w:val="20"/>
                <w:vertAlign w:val="superscript"/>
                <w:lang w:val="pt-PT"/>
              </w:rPr>
              <w:t>3</w:t>
            </w:r>
          </w:p>
        </w:tc>
      </w:tr>
      <w:tr w:rsidR="00162CE2" w:rsidRPr="002606DB" w14:paraId="60BA1AE7" w14:textId="77777777" w:rsidTr="00882296">
        <w:trPr>
          <w:cantSplit/>
        </w:trPr>
        <w:tc>
          <w:tcPr>
            <w:tcW w:w="3106" w:type="dxa"/>
          </w:tcPr>
          <w:p w14:paraId="2F071E1C" w14:textId="77777777" w:rsidR="00162CE2" w:rsidRPr="002606DB" w:rsidRDefault="00162CE2" w:rsidP="00056F35">
            <w:pPr>
              <w:pStyle w:val="TableParagraph"/>
              <w:adjustRightInd w:val="0"/>
              <w:snapToGrid w:val="0"/>
              <w:rPr>
                <w:snapToGrid w:val="0"/>
                <w:sz w:val="20"/>
                <w:lang w:val="pt-PT"/>
              </w:rPr>
            </w:pPr>
          </w:p>
        </w:tc>
        <w:tc>
          <w:tcPr>
            <w:tcW w:w="3093" w:type="dxa"/>
          </w:tcPr>
          <w:p w14:paraId="3F1AD8F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w:t>
            </w:r>
          </w:p>
          <w:p w14:paraId="040319F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764)</w:t>
            </w:r>
          </w:p>
        </w:tc>
        <w:tc>
          <w:tcPr>
            <w:tcW w:w="3093" w:type="dxa"/>
          </w:tcPr>
          <w:p w14:paraId="0607A0C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 xml:space="preserve">CPB7,5+ </w:t>
            </w:r>
          </w:p>
          <w:p w14:paraId="6DAEA9E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764)</w:t>
            </w:r>
          </w:p>
        </w:tc>
      </w:tr>
      <w:tr w:rsidR="00162CE2" w:rsidRPr="002606DB" w14:paraId="1453000B" w14:textId="77777777" w:rsidTr="00882296">
        <w:trPr>
          <w:cantSplit/>
        </w:trPr>
        <w:tc>
          <w:tcPr>
            <w:tcW w:w="3106" w:type="dxa"/>
          </w:tcPr>
          <w:p w14:paraId="5EA6EB1B" w14:textId="77777777" w:rsidR="00162CE2" w:rsidRPr="002606DB" w:rsidRDefault="00162CE2" w:rsidP="00EF46C3">
            <w:pPr>
              <w:pStyle w:val="TableParagraph"/>
              <w:adjustRightInd w:val="0"/>
              <w:snapToGrid w:val="0"/>
              <w:ind w:firstLine="246"/>
              <w:rPr>
                <w:snapToGrid w:val="0"/>
                <w:sz w:val="20"/>
                <w:lang w:val="pt-PT"/>
              </w:rPr>
            </w:pPr>
            <w:r w:rsidRPr="002606DB">
              <w:rPr>
                <w:snapToGrid w:val="0"/>
                <w:sz w:val="20"/>
                <w:lang w:val="pt-PT"/>
              </w:rPr>
              <w:t>Mediana (meses)</w:t>
            </w:r>
          </w:p>
        </w:tc>
        <w:tc>
          <w:tcPr>
            <w:tcW w:w="3093" w:type="dxa"/>
          </w:tcPr>
          <w:p w14:paraId="449646D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58,0</w:t>
            </w:r>
          </w:p>
        </w:tc>
        <w:tc>
          <w:tcPr>
            <w:tcW w:w="3093" w:type="dxa"/>
          </w:tcPr>
          <w:p w14:paraId="5427C23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57,4</w:t>
            </w:r>
          </w:p>
        </w:tc>
      </w:tr>
      <w:tr w:rsidR="00162CE2" w:rsidRPr="002606DB" w14:paraId="43399FCB" w14:textId="77777777" w:rsidTr="00882296">
        <w:trPr>
          <w:cantSplit/>
        </w:trPr>
        <w:tc>
          <w:tcPr>
            <w:tcW w:w="3106" w:type="dxa"/>
          </w:tcPr>
          <w:p w14:paraId="4F3558B9" w14:textId="77777777" w:rsidR="00162CE2" w:rsidRPr="002606DB" w:rsidRDefault="00162CE2" w:rsidP="00EF46C3">
            <w:pPr>
              <w:pStyle w:val="TableParagraph"/>
              <w:adjustRightInd w:val="0"/>
              <w:snapToGrid w:val="0"/>
              <w:ind w:firstLine="246"/>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4C9989EC" w14:textId="77777777" w:rsidR="00162CE2" w:rsidRPr="002606DB" w:rsidRDefault="00162CE2" w:rsidP="00EF46C3">
            <w:pPr>
              <w:pStyle w:val="TableParagraph"/>
              <w:adjustRightInd w:val="0"/>
              <w:snapToGrid w:val="0"/>
              <w:ind w:firstLine="246"/>
              <w:rPr>
                <w:snapToGrid w:val="0"/>
                <w:sz w:val="20"/>
                <w:lang w:val="pt-PT"/>
              </w:rPr>
            </w:pPr>
            <w:r w:rsidRPr="002606DB">
              <w:rPr>
                <w:snapToGrid w:val="0"/>
                <w:sz w:val="20"/>
                <w:lang w:val="pt-PT"/>
              </w:rPr>
              <w:t>[IC 95%]</w:t>
            </w:r>
          </w:p>
        </w:tc>
        <w:tc>
          <w:tcPr>
            <w:tcW w:w="6186" w:type="dxa"/>
            <w:gridSpan w:val="2"/>
          </w:tcPr>
          <w:p w14:paraId="394CFEF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0,99 [0,85; 1,15]</w:t>
            </w:r>
          </w:p>
          <w:p w14:paraId="59DE60E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 = 0,8910)</w:t>
            </w:r>
          </w:p>
        </w:tc>
      </w:tr>
    </w:tbl>
    <w:p w14:paraId="14B408F6"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Em doentes com doença mensurável à entrada no estudo</w:t>
      </w:r>
    </w:p>
    <w:p w14:paraId="59C89384" w14:textId="429F39A3"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2</w:t>
      </w:r>
      <w:r w:rsidRPr="002606DB">
        <w:rPr>
          <w:snapToGrid w:val="0"/>
          <w:sz w:val="18"/>
          <w:szCs w:val="18"/>
          <w:lang w:val="pt-PT"/>
        </w:rPr>
        <w:t xml:space="preserve"> Análise da PFS avaliada pelo investigador com data </w:t>
      </w:r>
      <w:r w:rsidRPr="002606DB">
        <w:rPr>
          <w:i/>
          <w:snapToGrid w:val="0"/>
          <w:sz w:val="18"/>
          <w:szCs w:val="18"/>
          <w:lang w:val="pt-PT"/>
        </w:rPr>
        <w:t>cut</w:t>
      </w:r>
      <w:r w:rsidR="0028621A"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dados a 30 novembro 2010</w:t>
      </w:r>
    </w:p>
    <w:p w14:paraId="7ED01A19" w14:textId="3274810A"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3</w:t>
      </w:r>
      <w:r w:rsidRPr="002606DB">
        <w:rPr>
          <w:snapToGrid w:val="0"/>
          <w:sz w:val="18"/>
          <w:szCs w:val="18"/>
          <w:lang w:val="pt-PT"/>
        </w:rPr>
        <w:t xml:space="preserve"> Análise final da </w:t>
      </w:r>
      <w:r w:rsidR="004C3061">
        <w:rPr>
          <w:snapToGrid w:val="0"/>
          <w:sz w:val="18"/>
          <w:szCs w:val="18"/>
          <w:lang w:val="pt-PT"/>
        </w:rPr>
        <w:t>OS</w:t>
      </w:r>
      <w:r w:rsidRPr="002606DB">
        <w:rPr>
          <w:snapToGrid w:val="0"/>
          <w:sz w:val="18"/>
          <w:szCs w:val="18"/>
          <w:lang w:val="pt-PT"/>
        </w:rPr>
        <w:t xml:space="preserve"> realizada quando tinham morrido 46,7% dos doentes com data </w:t>
      </w:r>
      <w:r w:rsidRPr="002606DB">
        <w:rPr>
          <w:i/>
          <w:snapToGrid w:val="0"/>
          <w:sz w:val="18"/>
          <w:szCs w:val="18"/>
          <w:lang w:val="pt-PT"/>
        </w:rPr>
        <w:t>cut</w:t>
      </w:r>
      <w:r w:rsidR="0028621A"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dados a 31 março 2013.</w:t>
      </w:r>
    </w:p>
    <w:p w14:paraId="1086278C" w14:textId="77777777" w:rsidR="00162CE2" w:rsidRPr="002606DB" w:rsidRDefault="00162CE2" w:rsidP="00056F35">
      <w:pPr>
        <w:pStyle w:val="a3"/>
        <w:adjustRightInd w:val="0"/>
        <w:snapToGrid w:val="0"/>
        <w:rPr>
          <w:snapToGrid w:val="0"/>
          <w:lang w:val="pt-PT"/>
        </w:rPr>
      </w:pPr>
    </w:p>
    <w:p w14:paraId="05A7E015" w14:textId="4FAEB7FE" w:rsidR="00162CE2" w:rsidRPr="002606DB" w:rsidRDefault="00162CE2" w:rsidP="00056F35">
      <w:pPr>
        <w:pStyle w:val="a3"/>
        <w:adjustRightInd w:val="0"/>
        <w:snapToGrid w:val="0"/>
        <w:rPr>
          <w:snapToGrid w:val="0"/>
          <w:lang w:val="pt-PT"/>
        </w:rPr>
      </w:pPr>
      <w:r w:rsidRPr="002606DB">
        <w:rPr>
          <w:snapToGrid w:val="0"/>
          <w:lang w:val="pt-PT"/>
        </w:rPr>
        <w:t xml:space="preserve">A análise primária da PFS avaliada pelo investigador com uma data de </w:t>
      </w:r>
      <w:r w:rsidRPr="002606DB">
        <w:rPr>
          <w:i/>
          <w:snapToGrid w:val="0"/>
          <w:lang w:val="pt-PT"/>
        </w:rPr>
        <w:t>cut</w:t>
      </w:r>
      <w:r w:rsidR="0028621A" w:rsidRPr="002606DB">
        <w:rPr>
          <w:i/>
          <w:snapToGrid w:val="0"/>
          <w:lang w:val="pt-PT"/>
        </w:rPr>
        <w:noBreakHyphen/>
      </w:r>
      <w:r w:rsidRPr="002606DB">
        <w:rPr>
          <w:i/>
          <w:snapToGrid w:val="0"/>
          <w:lang w:val="pt-PT"/>
        </w:rPr>
        <w:t xml:space="preserve">off </w:t>
      </w:r>
      <w:r w:rsidRPr="002606DB">
        <w:rPr>
          <w:snapToGrid w:val="0"/>
          <w:lang w:val="pt-PT"/>
        </w:rPr>
        <w:t>a 28 de fevereiro de 2010, mostra uma taxa de risco estratificada de 0,79 (IC 95%: 0,68-0,91, valor de p no teste log</w:t>
      </w:r>
      <w:r w:rsidR="0028621A" w:rsidRPr="002606DB">
        <w:rPr>
          <w:snapToGrid w:val="0"/>
          <w:lang w:val="pt-PT"/>
        </w:rPr>
        <w:noBreakHyphen/>
      </w:r>
      <w:r w:rsidRPr="002606DB">
        <w:rPr>
          <w:snapToGrid w:val="0"/>
          <w:lang w:val="pt-PT"/>
        </w:rPr>
        <w:t xml:space="preserve">rank bilateral &lt;0,0010) com uma PFS mediana de 16,0 meses no </w:t>
      </w:r>
      <w:r w:rsidR="00B72472">
        <w:rPr>
          <w:snapToGrid w:val="0"/>
          <w:lang w:val="pt-PT"/>
        </w:rPr>
        <w:t>grupo</w:t>
      </w:r>
      <w:r w:rsidRPr="002606DB">
        <w:rPr>
          <w:snapToGrid w:val="0"/>
          <w:lang w:val="pt-PT"/>
        </w:rPr>
        <w:t xml:space="preserve"> CP e 18,3 meses no </w:t>
      </w:r>
      <w:r w:rsidR="00B72472">
        <w:rPr>
          <w:snapToGrid w:val="0"/>
          <w:lang w:val="pt-PT"/>
        </w:rPr>
        <w:t>grupo</w:t>
      </w:r>
      <w:r w:rsidRPr="002606DB">
        <w:rPr>
          <w:snapToGrid w:val="0"/>
          <w:lang w:val="pt-PT"/>
        </w:rPr>
        <w:t xml:space="preserve"> CPB7,5+.</w:t>
      </w:r>
    </w:p>
    <w:p w14:paraId="144C3E47" w14:textId="77777777" w:rsidR="00162CE2" w:rsidRPr="002606DB" w:rsidRDefault="00162CE2" w:rsidP="00056F35">
      <w:pPr>
        <w:pStyle w:val="a3"/>
        <w:adjustRightInd w:val="0"/>
        <w:snapToGrid w:val="0"/>
        <w:rPr>
          <w:snapToGrid w:val="0"/>
          <w:lang w:val="pt-PT"/>
        </w:rPr>
      </w:pPr>
    </w:p>
    <w:p w14:paraId="4BFDE98E" w14:textId="66E70144" w:rsidR="00162CE2" w:rsidRPr="002606DB" w:rsidRDefault="00162CE2" w:rsidP="00056F35">
      <w:pPr>
        <w:pStyle w:val="a3"/>
        <w:adjustRightInd w:val="0"/>
        <w:snapToGrid w:val="0"/>
        <w:rPr>
          <w:snapToGrid w:val="0"/>
          <w:lang w:val="pt-PT"/>
        </w:rPr>
      </w:pPr>
      <w:r w:rsidRPr="002606DB">
        <w:rPr>
          <w:snapToGrid w:val="0"/>
          <w:lang w:val="pt-PT"/>
        </w:rPr>
        <w:t>Na Tabela 19 está resumida a análise da PFS por subgrupos tendo em conta o est</w:t>
      </w:r>
      <w:r w:rsidR="00267092" w:rsidRPr="007155C0">
        <w:rPr>
          <w:lang w:val="pt-PT"/>
        </w:rPr>
        <w:t>á</w:t>
      </w:r>
      <w:r w:rsidRPr="002606DB">
        <w:rPr>
          <w:snapToGrid w:val="0"/>
          <w:lang w:val="pt-PT"/>
        </w:rPr>
        <w:t>dio da doença e o est</w:t>
      </w:r>
      <w:r w:rsidR="00FB513B" w:rsidRPr="007155C0">
        <w:rPr>
          <w:lang w:val="pt-PT"/>
        </w:rPr>
        <w:t>á</w:t>
      </w:r>
      <w:r w:rsidRPr="002606DB">
        <w:rPr>
          <w:snapToGrid w:val="0"/>
          <w:lang w:val="pt-PT"/>
        </w:rPr>
        <w:t>dio após citoredução. Estes resultados demonstram a robustez da análise primária da PFS apresentada na Tabela 18.</w:t>
      </w:r>
    </w:p>
    <w:p w14:paraId="66F5DC87" w14:textId="77777777" w:rsidR="00162CE2" w:rsidRPr="002606DB" w:rsidRDefault="00162CE2" w:rsidP="00056F35">
      <w:pPr>
        <w:adjustRightInd w:val="0"/>
        <w:snapToGrid w:val="0"/>
        <w:rPr>
          <w:snapToGrid w:val="0"/>
          <w:lang w:val="pt-PT"/>
        </w:rPr>
      </w:pPr>
    </w:p>
    <w:p w14:paraId="011A0F1F" w14:textId="795494E6"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lastRenderedPageBreak/>
        <w:t>Tabela 19</w:t>
      </w:r>
      <w:r w:rsidR="0028621A" w:rsidRPr="00730741">
        <w:rPr>
          <w:b/>
          <w:bCs/>
          <w:snapToGrid w:val="0"/>
          <w:lang w:val="pt-PT"/>
        </w:rPr>
        <w:tab/>
      </w:r>
      <w:r w:rsidRPr="00730741">
        <w:rPr>
          <w:b/>
          <w:bCs/>
          <w:snapToGrid w:val="0"/>
          <w:lang w:val="pt-PT"/>
        </w:rPr>
        <w:t>Resultados da PFS</w:t>
      </w:r>
      <w:r w:rsidRPr="00730741">
        <w:rPr>
          <w:b/>
          <w:bCs/>
          <w:snapToGrid w:val="0"/>
          <w:vertAlign w:val="superscript"/>
          <w:lang w:val="pt-PT"/>
        </w:rPr>
        <w:t>1</w:t>
      </w:r>
      <w:r w:rsidRPr="00730741">
        <w:rPr>
          <w:b/>
          <w:bCs/>
          <w:snapToGrid w:val="0"/>
          <w:lang w:val="pt-PT"/>
        </w:rPr>
        <w:t xml:space="preserve"> do ensaio BO17707 (ICON7) por est</w:t>
      </w:r>
      <w:r w:rsidR="00764922" w:rsidRPr="00730741">
        <w:rPr>
          <w:b/>
          <w:bCs/>
          <w:lang w:val="pt-PT"/>
        </w:rPr>
        <w:t>á</w:t>
      </w:r>
      <w:r w:rsidRPr="00730741">
        <w:rPr>
          <w:b/>
          <w:bCs/>
          <w:snapToGrid w:val="0"/>
          <w:lang w:val="pt-PT"/>
        </w:rPr>
        <w:t>dio da doença e est</w:t>
      </w:r>
      <w:r w:rsidR="00764922" w:rsidRPr="00730741">
        <w:rPr>
          <w:b/>
          <w:bCs/>
          <w:lang w:val="pt-PT"/>
        </w:rPr>
        <w:t>á</w:t>
      </w:r>
      <w:r w:rsidRPr="00730741">
        <w:rPr>
          <w:b/>
          <w:bCs/>
          <w:snapToGrid w:val="0"/>
          <w:lang w:val="pt-PT"/>
        </w:rPr>
        <w:t>dio após citoredução</w:t>
      </w:r>
    </w:p>
    <w:p w14:paraId="5FC2D733" w14:textId="77777777" w:rsidR="00162CE2" w:rsidRPr="002606DB" w:rsidRDefault="00162CE2" w:rsidP="00654CE6">
      <w:pPr>
        <w:pStyle w:val="a3"/>
        <w:keepNext/>
        <w:keepLines/>
        <w:adjustRightInd w:val="0"/>
        <w:snapToGrid w:val="0"/>
        <w:rPr>
          <w:b/>
          <w:snapToGrid w:val="0"/>
          <w:lang w:val="pt-PT"/>
        </w:rPr>
      </w:pPr>
    </w:p>
    <w:tbl>
      <w:tblPr>
        <w:tblW w:w="499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0"/>
        <w:gridCol w:w="2604"/>
        <w:gridCol w:w="2774"/>
      </w:tblGrid>
      <w:tr w:rsidR="00162CE2" w:rsidRPr="002606DB" w14:paraId="71496200" w14:textId="77777777" w:rsidTr="00914003">
        <w:trPr>
          <w:cantSplit/>
        </w:trPr>
        <w:tc>
          <w:tcPr>
            <w:tcW w:w="9274" w:type="dxa"/>
            <w:gridSpan w:val="3"/>
          </w:tcPr>
          <w:p w14:paraId="50C6AF8C" w14:textId="3CE1390F" w:rsidR="00162CE2" w:rsidRPr="00A03389" w:rsidRDefault="00162CE2" w:rsidP="00654CE6">
            <w:pPr>
              <w:pStyle w:val="TableParagraph"/>
              <w:keepNext/>
              <w:keepLines/>
              <w:adjustRightInd w:val="0"/>
              <w:snapToGrid w:val="0"/>
              <w:rPr>
                <w:b/>
                <w:bCs/>
                <w:snapToGrid w:val="0"/>
                <w:sz w:val="20"/>
                <w:lang w:val="pt-PT"/>
              </w:rPr>
            </w:pPr>
            <w:r w:rsidRPr="00A03389">
              <w:rPr>
                <w:b/>
                <w:bCs/>
                <w:snapToGrid w:val="0"/>
                <w:sz w:val="20"/>
                <w:lang w:val="pt-PT"/>
              </w:rPr>
              <w:t>Doentes aleatorizados de est</w:t>
            </w:r>
            <w:r w:rsidR="00D660C7" w:rsidRPr="00D660C7">
              <w:rPr>
                <w:rFonts w:hint="eastAsia"/>
                <w:b/>
                <w:bCs/>
                <w:snapToGrid w:val="0"/>
                <w:sz w:val="20"/>
                <w:lang w:val="pt-PT"/>
              </w:rPr>
              <w:t>á</w:t>
            </w:r>
            <w:r w:rsidRPr="00A03389">
              <w:rPr>
                <w:b/>
                <w:bCs/>
                <w:snapToGrid w:val="0"/>
                <w:sz w:val="20"/>
                <w:lang w:val="pt-PT"/>
              </w:rPr>
              <w:t>dio III com citoredução ótima</w:t>
            </w:r>
            <w:r w:rsidRPr="00A03389">
              <w:rPr>
                <w:b/>
                <w:bCs/>
                <w:snapToGrid w:val="0"/>
                <w:sz w:val="20"/>
                <w:vertAlign w:val="superscript"/>
                <w:lang w:val="pt-PT"/>
              </w:rPr>
              <w:t>2,3</w:t>
            </w:r>
          </w:p>
        </w:tc>
      </w:tr>
      <w:tr w:rsidR="00162CE2" w:rsidRPr="002606DB" w14:paraId="67573BB9" w14:textId="77777777" w:rsidTr="00914003">
        <w:trPr>
          <w:cantSplit/>
        </w:trPr>
        <w:tc>
          <w:tcPr>
            <w:tcW w:w="3763" w:type="dxa"/>
          </w:tcPr>
          <w:p w14:paraId="27419988" w14:textId="77777777" w:rsidR="00162CE2" w:rsidRPr="002606DB" w:rsidRDefault="00162CE2" w:rsidP="00654CE6">
            <w:pPr>
              <w:pStyle w:val="TableParagraph"/>
              <w:keepNext/>
              <w:keepLines/>
              <w:adjustRightInd w:val="0"/>
              <w:snapToGrid w:val="0"/>
              <w:rPr>
                <w:snapToGrid w:val="0"/>
                <w:sz w:val="20"/>
                <w:lang w:val="pt-PT"/>
              </w:rPr>
            </w:pPr>
          </w:p>
        </w:tc>
        <w:tc>
          <w:tcPr>
            <w:tcW w:w="2668" w:type="dxa"/>
          </w:tcPr>
          <w:p w14:paraId="1AABAFE1" w14:textId="77777777" w:rsidR="00162CE2" w:rsidRPr="002606DB" w:rsidRDefault="00162CE2" w:rsidP="00654CE6">
            <w:pPr>
              <w:pStyle w:val="TableParagraph"/>
              <w:keepNext/>
              <w:keepLines/>
              <w:adjustRightInd w:val="0"/>
              <w:snapToGrid w:val="0"/>
              <w:jc w:val="center"/>
              <w:rPr>
                <w:snapToGrid w:val="0"/>
                <w:sz w:val="20"/>
                <w:lang w:val="pt-PT"/>
              </w:rPr>
            </w:pPr>
            <w:r w:rsidRPr="002606DB">
              <w:rPr>
                <w:snapToGrid w:val="0"/>
                <w:sz w:val="20"/>
                <w:lang w:val="pt-PT"/>
              </w:rPr>
              <w:t>CP</w:t>
            </w:r>
          </w:p>
          <w:p w14:paraId="47870A6D" w14:textId="77777777" w:rsidR="00162CE2" w:rsidRPr="002606DB" w:rsidRDefault="00162CE2" w:rsidP="00654CE6">
            <w:pPr>
              <w:pStyle w:val="TableParagraph"/>
              <w:keepNext/>
              <w:keepLines/>
              <w:adjustRightInd w:val="0"/>
              <w:snapToGrid w:val="0"/>
              <w:jc w:val="center"/>
              <w:rPr>
                <w:snapToGrid w:val="0"/>
                <w:sz w:val="20"/>
                <w:lang w:val="pt-PT"/>
              </w:rPr>
            </w:pPr>
            <w:r w:rsidRPr="002606DB">
              <w:rPr>
                <w:snapToGrid w:val="0"/>
                <w:sz w:val="20"/>
                <w:lang w:val="pt-PT"/>
              </w:rPr>
              <w:t>(n = 368)</w:t>
            </w:r>
          </w:p>
        </w:tc>
        <w:tc>
          <w:tcPr>
            <w:tcW w:w="2843" w:type="dxa"/>
          </w:tcPr>
          <w:p w14:paraId="22A7E093" w14:textId="77777777" w:rsidR="00162CE2" w:rsidRPr="002606DB" w:rsidRDefault="00162CE2" w:rsidP="00654CE6">
            <w:pPr>
              <w:pStyle w:val="TableParagraph"/>
              <w:keepNext/>
              <w:keepLines/>
              <w:adjustRightInd w:val="0"/>
              <w:snapToGrid w:val="0"/>
              <w:jc w:val="center"/>
              <w:rPr>
                <w:snapToGrid w:val="0"/>
                <w:sz w:val="20"/>
                <w:lang w:val="pt-PT"/>
              </w:rPr>
            </w:pPr>
            <w:r w:rsidRPr="002606DB">
              <w:rPr>
                <w:snapToGrid w:val="0"/>
                <w:sz w:val="20"/>
                <w:lang w:val="pt-PT"/>
              </w:rPr>
              <w:t>CPB7,5+</w:t>
            </w:r>
          </w:p>
          <w:p w14:paraId="1D5F2D3D" w14:textId="77777777" w:rsidR="00162CE2" w:rsidRPr="002606DB" w:rsidRDefault="00162CE2" w:rsidP="00654CE6">
            <w:pPr>
              <w:pStyle w:val="TableParagraph"/>
              <w:keepNext/>
              <w:keepLines/>
              <w:adjustRightInd w:val="0"/>
              <w:snapToGrid w:val="0"/>
              <w:jc w:val="center"/>
              <w:rPr>
                <w:snapToGrid w:val="0"/>
                <w:sz w:val="20"/>
                <w:lang w:val="pt-PT"/>
              </w:rPr>
            </w:pPr>
            <w:r w:rsidRPr="002606DB">
              <w:rPr>
                <w:snapToGrid w:val="0"/>
                <w:sz w:val="20"/>
                <w:lang w:val="pt-PT"/>
              </w:rPr>
              <w:t>(n = 383)</w:t>
            </w:r>
          </w:p>
        </w:tc>
      </w:tr>
      <w:tr w:rsidR="00162CE2" w:rsidRPr="002606DB" w14:paraId="15F11B63" w14:textId="77777777" w:rsidTr="00914003">
        <w:trPr>
          <w:cantSplit/>
        </w:trPr>
        <w:tc>
          <w:tcPr>
            <w:tcW w:w="3763" w:type="dxa"/>
          </w:tcPr>
          <w:p w14:paraId="189B1BC0" w14:textId="77777777" w:rsidR="00162CE2" w:rsidRPr="002606DB" w:rsidRDefault="00162CE2" w:rsidP="00914003">
            <w:pPr>
              <w:pStyle w:val="TableParagraph"/>
              <w:keepNext/>
              <w:keepLines/>
              <w:adjustRightInd w:val="0"/>
              <w:snapToGrid w:val="0"/>
              <w:ind w:firstLine="246"/>
              <w:rPr>
                <w:snapToGrid w:val="0"/>
                <w:sz w:val="20"/>
                <w:lang w:val="pt-PT"/>
              </w:rPr>
            </w:pPr>
            <w:r w:rsidRPr="002606DB">
              <w:rPr>
                <w:snapToGrid w:val="0"/>
                <w:sz w:val="20"/>
                <w:lang w:val="pt-PT"/>
              </w:rPr>
              <w:t>PFS mediana (meses)</w:t>
            </w:r>
          </w:p>
        </w:tc>
        <w:tc>
          <w:tcPr>
            <w:tcW w:w="2668" w:type="dxa"/>
          </w:tcPr>
          <w:p w14:paraId="11844BAD"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17,7</w:t>
            </w:r>
          </w:p>
        </w:tc>
        <w:tc>
          <w:tcPr>
            <w:tcW w:w="2843" w:type="dxa"/>
          </w:tcPr>
          <w:p w14:paraId="1B57E4CC"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19,3</w:t>
            </w:r>
          </w:p>
        </w:tc>
      </w:tr>
      <w:tr w:rsidR="00162CE2" w:rsidRPr="002606DB" w14:paraId="12086B9B" w14:textId="77777777" w:rsidTr="00914003">
        <w:trPr>
          <w:cantSplit/>
        </w:trPr>
        <w:tc>
          <w:tcPr>
            <w:tcW w:w="3763" w:type="dxa"/>
          </w:tcPr>
          <w:p w14:paraId="5DB45E0F" w14:textId="77777777" w:rsidR="00162CE2" w:rsidRPr="002606DB" w:rsidRDefault="00162CE2" w:rsidP="00914003">
            <w:pPr>
              <w:pStyle w:val="TableParagraph"/>
              <w:keepNext/>
              <w:keepLines/>
              <w:adjustRightInd w:val="0"/>
              <w:snapToGrid w:val="0"/>
              <w:ind w:firstLine="246"/>
              <w:rPr>
                <w:snapToGrid w:val="0"/>
                <w:sz w:val="20"/>
                <w:lang w:val="pt-PT"/>
              </w:rPr>
            </w:pPr>
            <w:r w:rsidRPr="002606DB">
              <w:rPr>
                <w:i/>
                <w:snapToGrid w:val="0"/>
                <w:sz w:val="20"/>
                <w:lang w:val="pt-PT"/>
              </w:rPr>
              <w:t xml:space="preserve">Hazard ratio </w:t>
            </w:r>
            <w:r w:rsidRPr="002606DB">
              <w:rPr>
                <w:snapToGrid w:val="0"/>
                <w:sz w:val="20"/>
                <w:lang w:val="pt-PT"/>
              </w:rPr>
              <w:t xml:space="preserve">(taxa de risco) </w:t>
            </w:r>
          </w:p>
          <w:p w14:paraId="6B894F05" w14:textId="77777777" w:rsidR="00162CE2" w:rsidRPr="002606DB" w:rsidRDefault="00162CE2" w:rsidP="00914003">
            <w:pPr>
              <w:pStyle w:val="TableParagraph"/>
              <w:keepNext/>
              <w:keepLines/>
              <w:adjustRightInd w:val="0"/>
              <w:snapToGrid w:val="0"/>
              <w:ind w:firstLine="246"/>
              <w:rPr>
                <w:snapToGrid w:val="0"/>
                <w:sz w:val="20"/>
                <w:lang w:val="pt-PT"/>
              </w:rPr>
            </w:pPr>
            <w:r w:rsidRPr="002606DB">
              <w:rPr>
                <w:snapToGrid w:val="0"/>
                <w:sz w:val="20"/>
                <w:lang w:val="pt-PT"/>
              </w:rPr>
              <w:t>(IC 95%)</w:t>
            </w:r>
            <w:r w:rsidRPr="002606DB">
              <w:rPr>
                <w:snapToGrid w:val="0"/>
                <w:sz w:val="20"/>
                <w:vertAlign w:val="superscript"/>
                <w:lang w:val="pt-PT"/>
              </w:rPr>
              <w:t>4</w:t>
            </w:r>
          </w:p>
        </w:tc>
        <w:tc>
          <w:tcPr>
            <w:tcW w:w="2668" w:type="dxa"/>
          </w:tcPr>
          <w:p w14:paraId="0DA97066" w14:textId="77777777" w:rsidR="00162CE2" w:rsidRPr="002606DB" w:rsidRDefault="00162CE2" w:rsidP="00914003">
            <w:pPr>
              <w:pStyle w:val="TableParagraph"/>
              <w:keepNext/>
              <w:keepLines/>
              <w:adjustRightInd w:val="0"/>
              <w:snapToGrid w:val="0"/>
              <w:jc w:val="center"/>
              <w:rPr>
                <w:snapToGrid w:val="0"/>
                <w:sz w:val="20"/>
                <w:lang w:val="pt-PT"/>
              </w:rPr>
            </w:pPr>
          </w:p>
        </w:tc>
        <w:tc>
          <w:tcPr>
            <w:tcW w:w="2843" w:type="dxa"/>
          </w:tcPr>
          <w:p w14:paraId="3849BD0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0,89</w:t>
            </w:r>
          </w:p>
          <w:p w14:paraId="7FE5129F"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(0,74; 1,07)</w:t>
            </w:r>
          </w:p>
        </w:tc>
      </w:tr>
      <w:tr w:rsidR="00162CE2" w:rsidRPr="002606DB" w14:paraId="0020D6C8" w14:textId="77777777" w:rsidTr="00914003">
        <w:trPr>
          <w:cantSplit/>
        </w:trPr>
        <w:tc>
          <w:tcPr>
            <w:tcW w:w="9274" w:type="dxa"/>
            <w:gridSpan w:val="3"/>
          </w:tcPr>
          <w:p w14:paraId="6814C6F0" w14:textId="2756D7E2" w:rsidR="00162CE2" w:rsidRPr="00A03389" w:rsidRDefault="00162CE2" w:rsidP="00914003">
            <w:pPr>
              <w:pStyle w:val="TableParagraph"/>
              <w:keepNext/>
              <w:keepLines/>
              <w:adjustRightInd w:val="0"/>
              <w:snapToGrid w:val="0"/>
              <w:rPr>
                <w:b/>
                <w:bCs/>
                <w:snapToGrid w:val="0"/>
                <w:sz w:val="20"/>
                <w:lang w:val="pt-PT"/>
              </w:rPr>
            </w:pPr>
            <w:r w:rsidRPr="00A03389">
              <w:rPr>
                <w:b/>
                <w:bCs/>
                <w:snapToGrid w:val="0"/>
                <w:sz w:val="20"/>
                <w:lang w:val="pt-PT"/>
              </w:rPr>
              <w:t>Doentes aleatorizados de est</w:t>
            </w:r>
            <w:r w:rsidR="00D660C7" w:rsidRPr="00D660C7">
              <w:rPr>
                <w:rFonts w:hint="eastAsia"/>
                <w:b/>
                <w:bCs/>
                <w:snapToGrid w:val="0"/>
                <w:sz w:val="20"/>
                <w:lang w:val="pt-PT"/>
              </w:rPr>
              <w:t>á</w:t>
            </w:r>
            <w:r w:rsidRPr="00A03389">
              <w:rPr>
                <w:b/>
                <w:bCs/>
                <w:snapToGrid w:val="0"/>
                <w:sz w:val="20"/>
                <w:lang w:val="pt-PT"/>
              </w:rPr>
              <w:t>dio III com citoredução sub-ótima</w:t>
            </w:r>
            <w:r w:rsidRPr="00A03389">
              <w:rPr>
                <w:b/>
                <w:bCs/>
                <w:snapToGrid w:val="0"/>
                <w:sz w:val="20"/>
                <w:vertAlign w:val="superscript"/>
                <w:lang w:val="pt-PT"/>
              </w:rPr>
              <w:t>3</w:t>
            </w:r>
          </w:p>
        </w:tc>
      </w:tr>
      <w:tr w:rsidR="00162CE2" w:rsidRPr="002606DB" w14:paraId="05088618" w14:textId="77777777" w:rsidTr="00914003">
        <w:trPr>
          <w:cantSplit/>
          <w:trHeight w:val="470"/>
        </w:trPr>
        <w:tc>
          <w:tcPr>
            <w:tcW w:w="3763" w:type="dxa"/>
          </w:tcPr>
          <w:p w14:paraId="06DC7839" w14:textId="77777777" w:rsidR="00162CE2" w:rsidRPr="002606DB" w:rsidRDefault="00162CE2" w:rsidP="00914003">
            <w:pPr>
              <w:pStyle w:val="TableParagraph"/>
              <w:keepNext/>
              <w:keepLines/>
              <w:adjustRightInd w:val="0"/>
              <w:snapToGrid w:val="0"/>
              <w:rPr>
                <w:snapToGrid w:val="0"/>
                <w:sz w:val="20"/>
                <w:lang w:val="pt-PT"/>
              </w:rPr>
            </w:pPr>
          </w:p>
        </w:tc>
        <w:tc>
          <w:tcPr>
            <w:tcW w:w="2668" w:type="dxa"/>
          </w:tcPr>
          <w:p w14:paraId="52FCD3B6"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CP</w:t>
            </w:r>
          </w:p>
          <w:p w14:paraId="4852CD64"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(n = 154)</w:t>
            </w:r>
          </w:p>
        </w:tc>
        <w:tc>
          <w:tcPr>
            <w:tcW w:w="2843" w:type="dxa"/>
          </w:tcPr>
          <w:p w14:paraId="2B9E4F8B"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CPB7,5+</w:t>
            </w:r>
          </w:p>
          <w:p w14:paraId="735E55A5"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(n = 140)</w:t>
            </w:r>
          </w:p>
        </w:tc>
      </w:tr>
      <w:tr w:rsidR="00162CE2" w:rsidRPr="002606DB" w14:paraId="61F3149F" w14:textId="77777777" w:rsidTr="00914003">
        <w:trPr>
          <w:cantSplit/>
        </w:trPr>
        <w:tc>
          <w:tcPr>
            <w:tcW w:w="3763" w:type="dxa"/>
          </w:tcPr>
          <w:p w14:paraId="330CF09B" w14:textId="77777777" w:rsidR="00162CE2" w:rsidRPr="002606DB" w:rsidRDefault="00162CE2" w:rsidP="00914003">
            <w:pPr>
              <w:pStyle w:val="TableParagraph"/>
              <w:keepNext/>
              <w:keepLines/>
              <w:adjustRightInd w:val="0"/>
              <w:snapToGrid w:val="0"/>
              <w:ind w:firstLine="246"/>
              <w:rPr>
                <w:snapToGrid w:val="0"/>
                <w:sz w:val="20"/>
                <w:lang w:val="pt-PT"/>
              </w:rPr>
            </w:pPr>
            <w:r w:rsidRPr="002606DB">
              <w:rPr>
                <w:snapToGrid w:val="0"/>
                <w:sz w:val="20"/>
                <w:lang w:val="pt-PT"/>
              </w:rPr>
              <w:t>PFS mediana (meses)</w:t>
            </w:r>
          </w:p>
        </w:tc>
        <w:tc>
          <w:tcPr>
            <w:tcW w:w="2668" w:type="dxa"/>
          </w:tcPr>
          <w:p w14:paraId="12773265"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10,1</w:t>
            </w:r>
          </w:p>
        </w:tc>
        <w:tc>
          <w:tcPr>
            <w:tcW w:w="2843" w:type="dxa"/>
          </w:tcPr>
          <w:p w14:paraId="01D4F622"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16,9</w:t>
            </w:r>
          </w:p>
        </w:tc>
      </w:tr>
      <w:tr w:rsidR="00EF46C3" w:rsidRPr="002606DB" w14:paraId="5CD0A7C8" w14:textId="77777777" w:rsidTr="00914003">
        <w:trPr>
          <w:cantSplit/>
          <w:trHeight w:val="470"/>
        </w:trPr>
        <w:tc>
          <w:tcPr>
            <w:tcW w:w="3763" w:type="dxa"/>
          </w:tcPr>
          <w:p w14:paraId="1BA65C6E" w14:textId="77777777" w:rsidR="00EF46C3" w:rsidRPr="002606DB" w:rsidRDefault="00EF46C3" w:rsidP="00914003">
            <w:pPr>
              <w:pStyle w:val="TableParagraph"/>
              <w:keepNext/>
              <w:keepLines/>
              <w:adjustRightInd w:val="0"/>
              <w:snapToGrid w:val="0"/>
              <w:ind w:firstLine="246"/>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456B004A" w14:textId="5834B9B5" w:rsidR="00EF46C3" w:rsidRPr="002606DB" w:rsidRDefault="00EF46C3" w:rsidP="00914003">
            <w:pPr>
              <w:pStyle w:val="TableParagraph"/>
              <w:keepNext/>
              <w:keepLines/>
              <w:adjustRightInd w:val="0"/>
              <w:snapToGrid w:val="0"/>
              <w:ind w:firstLine="246"/>
              <w:rPr>
                <w:snapToGrid w:val="0"/>
                <w:sz w:val="20"/>
                <w:lang w:val="pt-PT"/>
              </w:rPr>
            </w:pPr>
            <w:r w:rsidRPr="002606DB">
              <w:rPr>
                <w:snapToGrid w:val="0"/>
                <w:sz w:val="20"/>
                <w:lang w:val="pt-PT"/>
              </w:rPr>
              <w:t>(IC 95%)</w:t>
            </w:r>
            <w:r w:rsidRPr="002606DB">
              <w:rPr>
                <w:snapToGrid w:val="0"/>
                <w:sz w:val="20"/>
                <w:vertAlign w:val="superscript"/>
                <w:lang w:val="pt-PT"/>
              </w:rPr>
              <w:t>4</w:t>
            </w:r>
          </w:p>
        </w:tc>
        <w:tc>
          <w:tcPr>
            <w:tcW w:w="2668" w:type="dxa"/>
          </w:tcPr>
          <w:p w14:paraId="34F6F046" w14:textId="77777777" w:rsidR="00EF46C3" w:rsidRPr="002606DB" w:rsidRDefault="00EF46C3" w:rsidP="00914003">
            <w:pPr>
              <w:pStyle w:val="TableParagraph"/>
              <w:keepNext/>
              <w:keepLines/>
              <w:adjustRightInd w:val="0"/>
              <w:snapToGrid w:val="0"/>
              <w:jc w:val="center"/>
              <w:rPr>
                <w:snapToGrid w:val="0"/>
                <w:sz w:val="20"/>
                <w:lang w:val="pt-PT"/>
              </w:rPr>
            </w:pPr>
          </w:p>
        </w:tc>
        <w:tc>
          <w:tcPr>
            <w:tcW w:w="2843" w:type="dxa"/>
          </w:tcPr>
          <w:p w14:paraId="4D83EA64" w14:textId="77777777" w:rsidR="00EF46C3" w:rsidRPr="002606DB" w:rsidRDefault="00EF46C3" w:rsidP="00914003">
            <w:pPr>
              <w:pStyle w:val="TableParagraph"/>
              <w:keepNext/>
              <w:keepLines/>
              <w:adjustRightInd w:val="0"/>
              <w:snapToGrid w:val="0"/>
              <w:jc w:val="center"/>
              <w:rPr>
                <w:snapToGrid w:val="0"/>
                <w:sz w:val="20"/>
                <w:lang w:val="pt-PT"/>
              </w:rPr>
            </w:pPr>
            <w:r w:rsidRPr="002606DB">
              <w:rPr>
                <w:snapToGrid w:val="0"/>
                <w:sz w:val="20"/>
                <w:lang w:val="pt-PT"/>
              </w:rPr>
              <w:t>0,67</w:t>
            </w:r>
          </w:p>
          <w:p w14:paraId="006C7BA9" w14:textId="58C3E2F5" w:rsidR="00EF46C3" w:rsidRPr="002606DB" w:rsidRDefault="00EF46C3" w:rsidP="00914003">
            <w:pPr>
              <w:pStyle w:val="TableParagraph"/>
              <w:keepNext/>
              <w:keepLines/>
              <w:adjustRightInd w:val="0"/>
              <w:snapToGrid w:val="0"/>
              <w:jc w:val="center"/>
              <w:rPr>
                <w:snapToGrid w:val="0"/>
                <w:sz w:val="20"/>
                <w:lang w:val="pt-PT"/>
              </w:rPr>
            </w:pPr>
            <w:r w:rsidRPr="002606DB">
              <w:rPr>
                <w:snapToGrid w:val="0"/>
                <w:sz w:val="20"/>
                <w:lang w:val="pt-PT"/>
              </w:rPr>
              <w:t>(0,52; 0,87)</w:t>
            </w:r>
          </w:p>
        </w:tc>
      </w:tr>
      <w:tr w:rsidR="00162CE2" w:rsidRPr="00730741" w14:paraId="13B89585" w14:textId="77777777" w:rsidTr="00914003">
        <w:trPr>
          <w:cantSplit/>
        </w:trPr>
        <w:tc>
          <w:tcPr>
            <w:tcW w:w="9274" w:type="dxa"/>
            <w:gridSpan w:val="3"/>
          </w:tcPr>
          <w:p w14:paraId="1A38E512" w14:textId="49A4AE00" w:rsidR="00162CE2" w:rsidRPr="00A03389" w:rsidRDefault="00162CE2" w:rsidP="00882296">
            <w:pPr>
              <w:pStyle w:val="TableParagraph"/>
              <w:adjustRightInd w:val="0"/>
              <w:snapToGrid w:val="0"/>
              <w:rPr>
                <w:b/>
                <w:bCs/>
                <w:snapToGrid w:val="0"/>
                <w:sz w:val="20"/>
                <w:lang w:val="pt-PT"/>
              </w:rPr>
            </w:pPr>
            <w:r w:rsidRPr="00A03389">
              <w:rPr>
                <w:b/>
                <w:bCs/>
                <w:snapToGrid w:val="0"/>
                <w:sz w:val="20"/>
                <w:lang w:val="pt-PT"/>
              </w:rPr>
              <w:t>Doentes aleatorizados de est</w:t>
            </w:r>
            <w:r w:rsidR="00D660C7" w:rsidRPr="00D660C7">
              <w:rPr>
                <w:rFonts w:hint="eastAsia"/>
                <w:b/>
                <w:bCs/>
                <w:snapToGrid w:val="0"/>
                <w:sz w:val="20"/>
                <w:lang w:val="pt-PT"/>
              </w:rPr>
              <w:t>á</w:t>
            </w:r>
            <w:r w:rsidRPr="00A03389">
              <w:rPr>
                <w:b/>
                <w:bCs/>
                <w:snapToGrid w:val="0"/>
                <w:sz w:val="20"/>
                <w:lang w:val="pt-PT"/>
              </w:rPr>
              <w:t>dio IV</w:t>
            </w:r>
          </w:p>
        </w:tc>
      </w:tr>
      <w:tr w:rsidR="00162CE2" w:rsidRPr="002606DB" w14:paraId="1B02048D" w14:textId="77777777" w:rsidTr="00914003">
        <w:trPr>
          <w:cantSplit/>
          <w:trHeight w:val="470"/>
        </w:trPr>
        <w:tc>
          <w:tcPr>
            <w:tcW w:w="3763" w:type="dxa"/>
          </w:tcPr>
          <w:p w14:paraId="2B4CC8B7" w14:textId="77777777" w:rsidR="00162CE2" w:rsidRPr="002606DB" w:rsidRDefault="00162CE2" w:rsidP="00056F35">
            <w:pPr>
              <w:pStyle w:val="TableParagraph"/>
              <w:adjustRightInd w:val="0"/>
              <w:snapToGrid w:val="0"/>
              <w:rPr>
                <w:snapToGrid w:val="0"/>
                <w:sz w:val="20"/>
                <w:lang w:val="pt-PT"/>
              </w:rPr>
            </w:pPr>
          </w:p>
        </w:tc>
        <w:tc>
          <w:tcPr>
            <w:tcW w:w="2668" w:type="dxa"/>
          </w:tcPr>
          <w:p w14:paraId="3BBCCD34"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w:t>
            </w:r>
          </w:p>
          <w:p w14:paraId="55190A9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97)</w:t>
            </w:r>
          </w:p>
        </w:tc>
        <w:tc>
          <w:tcPr>
            <w:tcW w:w="2843" w:type="dxa"/>
          </w:tcPr>
          <w:p w14:paraId="3CB9619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CPB7,5+</w:t>
            </w:r>
          </w:p>
          <w:p w14:paraId="2EE1799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(n = 104)</w:t>
            </w:r>
          </w:p>
        </w:tc>
      </w:tr>
      <w:tr w:rsidR="00162CE2" w:rsidRPr="002606DB" w14:paraId="210F135B" w14:textId="77777777" w:rsidTr="00914003">
        <w:trPr>
          <w:cantSplit/>
        </w:trPr>
        <w:tc>
          <w:tcPr>
            <w:tcW w:w="3763" w:type="dxa"/>
          </w:tcPr>
          <w:p w14:paraId="37754A46" w14:textId="77777777" w:rsidR="00162CE2" w:rsidRPr="002606DB" w:rsidRDefault="00162CE2" w:rsidP="00EF46C3">
            <w:pPr>
              <w:pStyle w:val="TableParagraph"/>
              <w:adjustRightInd w:val="0"/>
              <w:snapToGrid w:val="0"/>
              <w:ind w:firstLine="246"/>
              <w:rPr>
                <w:snapToGrid w:val="0"/>
                <w:sz w:val="20"/>
                <w:lang w:val="pt-PT"/>
              </w:rPr>
            </w:pPr>
            <w:r w:rsidRPr="002606DB">
              <w:rPr>
                <w:snapToGrid w:val="0"/>
                <w:sz w:val="20"/>
                <w:lang w:val="pt-PT"/>
              </w:rPr>
              <w:t>PFS mediana (meses)</w:t>
            </w:r>
          </w:p>
        </w:tc>
        <w:tc>
          <w:tcPr>
            <w:tcW w:w="2668" w:type="dxa"/>
          </w:tcPr>
          <w:p w14:paraId="29AF29F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10,1</w:t>
            </w:r>
          </w:p>
        </w:tc>
        <w:tc>
          <w:tcPr>
            <w:tcW w:w="2843" w:type="dxa"/>
          </w:tcPr>
          <w:p w14:paraId="3FEA781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13,5</w:t>
            </w:r>
          </w:p>
        </w:tc>
      </w:tr>
      <w:tr w:rsidR="00EF46C3" w:rsidRPr="002606DB" w14:paraId="44C7907A" w14:textId="77777777" w:rsidTr="00914003">
        <w:trPr>
          <w:cantSplit/>
          <w:trHeight w:val="470"/>
        </w:trPr>
        <w:tc>
          <w:tcPr>
            <w:tcW w:w="3763" w:type="dxa"/>
          </w:tcPr>
          <w:p w14:paraId="65B315BB" w14:textId="77777777" w:rsidR="00EF46C3" w:rsidRPr="002606DB" w:rsidRDefault="00EF46C3" w:rsidP="00EF46C3">
            <w:pPr>
              <w:pStyle w:val="TableParagraph"/>
              <w:adjustRightInd w:val="0"/>
              <w:snapToGrid w:val="0"/>
              <w:ind w:firstLine="246"/>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5A665895" w14:textId="225588CB" w:rsidR="00EF46C3" w:rsidRPr="002606DB" w:rsidRDefault="00EF46C3" w:rsidP="00EF46C3">
            <w:pPr>
              <w:pStyle w:val="TableParagraph"/>
              <w:adjustRightInd w:val="0"/>
              <w:snapToGrid w:val="0"/>
              <w:ind w:firstLine="246"/>
              <w:rPr>
                <w:snapToGrid w:val="0"/>
                <w:sz w:val="20"/>
                <w:lang w:val="pt-PT"/>
              </w:rPr>
            </w:pPr>
            <w:r w:rsidRPr="002606DB">
              <w:rPr>
                <w:snapToGrid w:val="0"/>
                <w:sz w:val="20"/>
                <w:lang w:val="pt-PT"/>
              </w:rPr>
              <w:t>(IC 95%)</w:t>
            </w:r>
            <w:r w:rsidRPr="002606DB">
              <w:rPr>
                <w:snapToGrid w:val="0"/>
                <w:sz w:val="20"/>
                <w:vertAlign w:val="superscript"/>
                <w:lang w:val="pt-PT"/>
              </w:rPr>
              <w:t>4</w:t>
            </w:r>
          </w:p>
        </w:tc>
        <w:tc>
          <w:tcPr>
            <w:tcW w:w="2668" w:type="dxa"/>
          </w:tcPr>
          <w:p w14:paraId="236133C2" w14:textId="77777777" w:rsidR="00EF46C3" w:rsidRPr="002606DB" w:rsidRDefault="00EF46C3" w:rsidP="00056F35">
            <w:pPr>
              <w:pStyle w:val="TableParagraph"/>
              <w:adjustRightInd w:val="0"/>
              <w:snapToGrid w:val="0"/>
              <w:rPr>
                <w:snapToGrid w:val="0"/>
                <w:sz w:val="20"/>
                <w:lang w:val="pt-PT"/>
              </w:rPr>
            </w:pPr>
          </w:p>
        </w:tc>
        <w:tc>
          <w:tcPr>
            <w:tcW w:w="2843" w:type="dxa"/>
          </w:tcPr>
          <w:p w14:paraId="1EC2C030" w14:textId="77777777"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0,74</w:t>
            </w:r>
          </w:p>
          <w:p w14:paraId="630B54F8" w14:textId="3053BB48" w:rsidR="00EF46C3" w:rsidRPr="002606DB" w:rsidRDefault="00EF46C3" w:rsidP="00056F35">
            <w:pPr>
              <w:pStyle w:val="TableParagraph"/>
              <w:adjustRightInd w:val="0"/>
              <w:snapToGrid w:val="0"/>
              <w:jc w:val="center"/>
              <w:rPr>
                <w:snapToGrid w:val="0"/>
                <w:sz w:val="20"/>
                <w:lang w:val="pt-PT"/>
              </w:rPr>
            </w:pPr>
            <w:r w:rsidRPr="002606DB">
              <w:rPr>
                <w:snapToGrid w:val="0"/>
                <w:sz w:val="20"/>
                <w:lang w:val="pt-PT"/>
              </w:rPr>
              <w:t>(0,55; 1,01)</w:t>
            </w:r>
          </w:p>
        </w:tc>
      </w:tr>
    </w:tbl>
    <w:p w14:paraId="62E41C99" w14:textId="526DE962"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Análise PFS avaliada pelo investigador com data </w:t>
      </w:r>
      <w:r w:rsidRPr="002606DB">
        <w:rPr>
          <w:i/>
          <w:snapToGrid w:val="0"/>
          <w:sz w:val="18"/>
          <w:szCs w:val="18"/>
          <w:lang w:val="pt-PT"/>
        </w:rPr>
        <w:t>cut</w:t>
      </w:r>
      <w:r w:rsidR="0028621A"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dados a 30 novembro 2010.</w:t>
      </w:r>
    </w:p>
    <w:p w14:paraId="642A1031"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2</w:t>
      </w:r>
      <w:r w:rsidRPr="002606DB">
        <w:rPr>
          <w:snapToGrid w:val="0"/>
          <w:sz w:val="18"/>
          <w:szCs w:val="18"/>
          <w:lang w:val="pt-PT"/>
        </w:rPr>
        <w:t xml:space="preserve"> Com ou sem doença residual visível.</w:t>
      </w:r>
    </w:p>
    <w:p w14:paraId="3CBC163F" w14:textId="4DB418FB"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3</w:t>
      </w:r>
      <w:r w:rsidRPr="002606DB">
        <w:rPr>
          <w:snapToGrid w:val="0"/>
          <w:sz w:val="18"/>
          <w:szCs w:val="18"/>
          <w:lang w:val="pt-PT"/>
        </w:rPr>
        <w:t xml:space="preserve"> 5,8% da população de doentes global aleatorizada tinha doença de est</w:t>
      </w:r>
      <w:r w:rsidR="008B3D36" w:rsidRPr="008B3D36">
        <w:rPr>
          <w:rFonts w:hint="eastAsia"/>
          <w:snapToGrid w:val="0"/>
          <w:sz w:val="18"/>
          <w:szCs w:val="18"/>
          <w:lang w:val="pt-PT"/>
        </w:rPr>
        <w:t>á</w:t>
      </w:r>
      <w:r w:rsidRPr="002606DB">
        <w:rPr>
          <w:snapToGrid w:val="0"/>
          <w:sz w:val="18"/>
          <w:szCs w:val="18"/>
          <w:lang w:val="pt-PT"/>
        </w:rPr>
        <w:t>dio IIIB.</w:t>
      </w:r>
    </w:p>
    <w:p w14:paraId="16AE3EB0" w14:textId="7CD57658"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4</w:t>
      </w:r>
      <w:r w:rsidRPr="002606DB">
        <w:rPr>
          <w:snapToGrid w:val="0"/>
          <w:sz w:val="18"/>
          <w:szCs w:val="18"/>
          <w:lang w:val="pt-PT"/>
        </w:rPr>
        <w:t xml:space="preserve"> Em relação ao </w:t>
      </w:r>
      <w:r w:rsidR="00B72472">
        <w:rPr>
          <w:snapToGrid w:val="0"/>
          <w:sz w:val="18"/>
          <w:szCs w:val="18"/>
          <w:lang w:val="pt-PT"/>
        </w:rPr>
        <w:t>grupo</w:t>
      </w:r>
      <w:r w:rsidRPr="002606DB">
        <w:rPr>
          <w:snapToGrid w:val="0"/>
          <w:sz w:val="18"/>
          <w:szCs w:val="18"/>
          <w:lang w:val="pt-PT"/>
        </w:rPr>
        <w:t xml:space="preserve"> controlo.</w:t>
      </w:r>
    </w:p>
    <w:p w14:paraId="35A7AA93" w14:textId="77777777" w:rsidR="00162CE2" w:rsidRPr="002606DB" w:rsidRDefault="00162CE2" w:rsidP="00056F35">
      <w:pPr>
        <w:pStyle w:val="a3"/>
        <w:adjustRightInd w:val="0"/>
        <w:snapToGrid w:val="0"/>
        <w:rPr>
          <w:snapToGrid w:val="0"/>
          <w:lang w:val="pt-PT"/>
        </w:rPr>
      </w:pPr>
    </w:p>
    <w:p w14:paraId="7C478B90" w14:textId="77777777" w:rsidR="00162CE2" w:rsidRPr="001C687C" w:rsidRDefault="00162CE2" w:rsidP="00EF46C3">
      <w:pPr>
        <w:keepNext/>
        <w:widowControl/>
        <w:adjustRightInd w:val="0"/>
        <w:snapToGrid w:val="0"/>
        <w:rPr>
          <w:i/>
          <w:snapToGrid w:val="0"/>
          <w:u w:val="single"/>
          <w:lang w:val="pt-PT"/>
        </w:rPr>
      </w:pPr>
      <w:r w:rsidRPr="001C687C">
        <w:rPr>
          <w:i/>
          <w:snapToGrid w:val="0"/>
          <w:u w:val="single"/>
          <w:lang w:val="pt-PT"/>
        </w:rPr>
        <w:t>Cancro do ovário recorrente</w:t>
      </w:r>
    </w:p>
    <w:p w14:paraId="5FC1FC10" w14:textId="77777777" w:rsidR="00162CE2" w:rsidRPr="002606DB" w:rsidRDefault="00162CE2" w:rsidP="00EF46C3">
      <w:pPr>
        <w:pStyle w:val="a3"/>
        <w:keepNext/>
        <w:widowControl/>
        <w:adjustRightInd w:val="0"/>
        <w:snapToGrid w:val="0"/>
        <w:rPr>
          <w:i/>
          <w:snapToGrid w:val="0"/>
          <w:lang w:val="pt-PT"/>
        </w:rPr>
      </w:pPr>
    </w:p>
    <w:p w14:paraId="2FEFC941" w14:textId="6E3C28E8" w:rsidR="00162CE2" w:rsidRPr="002606DB" w:rsidRDefault="00162CE2" w:rsidP="00EF46C3">
      <w:pPr>
        <w:pStyle w:val="a3"/>
        <w:keepNext/>
        <w:widowControl/>
        <w:adjustRightInd w:val="0"/>
        <w:snapToGrid w:val="0"/>
        <w:rPr>
          <w:snapToGrid w:val="0"/>
          <w:lang w:val="pt-PT"/>
        </w:rPr>
      </w:pPr>
      <w:r w:rsidRPr="002606DB">
        <w:rPr>
          <w:snapToGrid w:val="0"/>
          <w:lang w:val="pt-PT"/>
        </w:rPr>
        <w:t xml:space="preserve">A segurança e eficácia de </w:t>
      </w:r>
      <w:r w:rsidR="00642AE9" w:rsidRPr="007155C0">
        <w:rPr>
          <w:color w:val="000000"/>
          <w:lang w:val="pt-PT"/>
        </w:rPr>
        <w:t>bevacizumab</w:t>
      </w:r>
      <w:r w:rsidRPr="002606DB">
        <w:rPr>
          <w:snapToGrid w:val="0"/>
          <w:lang w:val="pt-PT"/>
        </w:rPr>
        <w:t xml:space="preserve"> no tratamento de cancro epitelial do ovário, da trompa de Falópio ou cancro peritoneal primário, recorrentes, foi estudada em três ensaios de fase III (AVF4095g, MO22224 e GOG-0213) com diferentes populações de doentes e regimes de quimioterapia.</w:t>
      </w:r>
    </w:p>
    <w:p w14:paraId="1D089B7B" w14:textId="77777777" w:rsidR="00162CE2" w:rsidRPr="002606DB" w:rsidRDefault="00162CE2" w:rsidP="00056F35">
      <w:pPr>
        <w:pStyle w:val="a3"/>
        <w:adjustRightInd w:val="0"/>
        <w:snapToGrid w:val="0"/>
        <w:rPr>
          <w:snapToGrid w:val="0"/>
          <w:lang w:val="pt-PT"/>
        </w:rPr>
      </w:pPr>
    </w:p>
    <w:p w14:paraId="6E41817E" w14:textId="4AFED4FE" w:rsidR="00162CE2" w:rsidRPr="002606DB" w:rsidRDefault="00162CE2" w:rsidP="00EF46C3">
      <w:pPr>
        <w:pStyle w:val="a4"/>
        <w:numPr>
          <w:ilvl w:val="0"/>
          <w:numId w:val="13"/>
        </w:numPr>
        <w:adjustRightInd w:val="0"/>
        <w:snapToGrid w:val="0"/>
        <w:ind w:left="567" w:hanging="567"/>
        <w:rPr>
          <w:snapToGrid w:val="0"/>
          <w:lang w:val="pt-PT"/>
        </w:rPr>
      </w:pPr>
      <w:r w:rsidRPr="002606DB">
        <w:rPr>
          <w:snapToGrid w:val="0"/>
          <w:lang w:val="pt-PT"/>
        </w:rPr>
        <w:t>AVF4095g avaliou a eficácia e segurança de bevacizumab em associação com carboplatina e gemcitabina, seguido de bevacizumab como agente único em doentes com cancro epitelial do ovário, da trompa de Falópio ou cancro peritoneal primário, recorrentes, sensíveis a platina.</w:t>
      </w:r>
    </w:p>
    <w:p w14:paraId="6211A75F" w14:textId="3BF8BF4D" w:rsidR="00162CE2" w:rsidRPr="002606DB" w:rsidRDefault="00162CE2" w:rsidP="00EF46C3">
      <w:pPr>
        <w:pStyle w:val="a4"/>
        <w:numPr>
          <w:ilvl w:val="0"/>
          <w:numId w:val="13"/>
        </w:numPr>
        <w:adjustRightInd w:val="0"/>
        <w:snapToGrid w:val="0"/>
        <w:ind w:left="567" w:hanging="567"/>
        <w:rPr>
          <w:snapToGrid w:val="0"/>
          <w:lang w:val="pt-PT"/>
        </w:rPr>
      </w:pPr>
      <w:r w:rsidRPr="002606DB">
        <w:rPr>
          <w:snapToGrid w:val="0"/>
          <w:lang w:val="pt-PT"/>
        </w:rPr>
        <w:t>GOG-0213 avaliou a eficácia e a segurança de bevacizumab em associação com carboplatina e paclitaxel, seguido de bevacizumab como agente único em doentes com cancro epitelial do ovário, da trompa de Falópio ou cancro peritoneal primário, recorrentes, sensíveis a platina.</w:t>
      </w:r>
    </w:p>
    <w:p w14:paraId="5A4ED73B" w14:textId="4F66BB96" w:rsidR="00162CE2" w:rsidRPr="002606DB" w:rsidRDefault="00162CE2" w:rsidP="00EF46C3">
      <w:pPr>
        <w:pStyle w:val="a4"/>
        <w:numPr>
          <w:ilvl w:val="0"/>
          <w:numId w:val="13"/>
        </w:numPr>
        <w:adjustRightInd w:val="0"/>
        <w:snapToGrid w:val="0"/>
        <w:ind w:left="567" w:hanging="567"/>
        <w:rPr>
          <w:snapToGrid w:val="0"/>
          <w:lang w:val="pt-PT"/>
        </w:rPr>
      </w:pPr>
      <w:r w:rsidRPr="002606DB">
        <w:rPr>
          <w:snapToGrid w:val="0"/>
          <w:lang w:val="pt-PT"/>
        </w:rPr>
        <w:t>MO22224 avaliou a segurança e eficácia de bevacizumab em associação com paclitaxel, topotecano, ou doxorrubicina lipossómica peguilada em doentes com cancro epitelial do ovário, da trompa de Falópio ou cancro peritoneal primário, recorrentes, resistentes a platina.</w:t>
      </w:r>
    </w:p>
    <w:p w14:paraId="1DA3C59B" w14:textId="77777777" w:rsidR="00162CE2" w:rsidRPr="002606DB" w:rsidRDefault="00162CE2" w:rsidP="00056F35">
      <w:pPr>
        <w:pStyle w:val="a3"/>
        <w:adjustRightInd w:val="0"/>
        <w:snapToGrid w:val="0"/>
        <w:rPr>
          <w:snapToGrid w:val="0"/>
          <w:lang w:val="pt-PT"/>
        </w:rPr>
      </w:pPr>
    </w:p>
    <w:p w14:paraId="2EE0969D" w14:textId="77777777" w:rsidR="00162CE2" w:rsidRPr="002606DB" w:rsidRDefault="00162CE2" w:rsidP="00056F35">
      <w:pPr>
        <w:adjustRightInd w:val="0"/>
        <w:snapToGrid w:val="0"/>
        <w:rPr>
          <w:i/>
          <w:snapToGrid w:val="0"/>
          <w:lang w:val="pt-PT"/>
        </w:rPr>
      </w:pPr>
      <w:r w:rsidRPr="002606DB">
        <w:rPr>
          <w:i/>
          <w:snapToGrid w:val="0"/>
          <w:lang w:val="pt-PT"/>
        </w:rPr>
        <w:t>AVF4095g</w:t>
      </w:r>
    </w:p>
    <w:p w14:paraId="78FECD90" w14:textId="70DBDE76" w:rsidR="00162CE2" w:rsidRPr="002606DB" w:rsidRDefault="00162CE2" w:rsidP="00056F35">
      <w:pPr>
        <w:pStyle w:val="a3"/>
        <w:adjustRightInd w:val="0"/>
        <w:snapToGrid w:val="0"/>
        <w:rPr>
          <w:snapToGrid w:val="0"/>
          <w:lang w:val="pt-PT"/>
        </w:rPr>
      </w:pPr>
      <w:r w:rsidRPr="002606DB">
        <w:rPr>
          <w:snapToGrid w:val="0"/>
          <w:lang w:val="pt-PT"/>
        </w:rPr>
        <w:t xml:space="preserve">A segurança e eficácia de </w:t>
      </w:r>
      <w:r w:rsidR="00642AE9" w:rsidRPr="007155C0">
        <w:rPr>
          <w:color w:val="000000"/>
          <w:lang w:val="pt-PT"/>
        </w:rPr>
        <w:t>bevacizumab</w:t>
      </w:r>
      <w:r w:rsidRPr="002606DB">
        <w:rPr>
          <w:snapToGrid w:val="0"/>
          <w:lang w:val="pt-PT"/>
        </w:rPr>
        <w:t xml:space="preserve"> no tratamento de doentes com cancro epitelial do ovário, da trompa de Falópio ou peritoneal primário, sensíveis a platina, que não receberam quimioterapia anterior no contexto recorrente, ou tratamento prévio com bevacizumab, foram estudadas num ensaio de fase III, aleatorizado, em dupla ocultação, controlado com placebo (AVF4095g). O estudo comparou o efeito da adição de </w:t>
      </w:r>
      <w:r w:rsidR="00642AE9" w:rsidRPr="007155C0">
        <w:rPr>
          <w:color w:val="000000"/>
          <w:lang w:val="pt-PT"/>
        </w:rPr>
        <w:t>bevacizumab</w:t>
      </w:r>
      <w:r w:rsidRPr="002606DB">
        <w:rPr>
          <w:snapToGrid w:val="0"/>
          <w:lang w:val="pt-PT"/>
        </w:rPr>
        <w:t xml:space="preserve"> à quimioterapia com carboplatina e gemcitabina com continuação de </w:t>
      </w:r>
      <w:r w:rsidR="00642AE9" w:rsidRPr="007155C0">
        <w:rPr>
          <w:color w:val="000000"/>
          <w:lang w:val="pt-PT"/>
        </w:rPr>
        <w:t>bevacizumab</w:t>
      </w:r>
      <w:r w:rsidRPr="002606DB">
        <w:rPr>
          <w:snapToGrid w:val="0"/>
          <w:lang w:val="pt-PT"/>
        </w:rPr>
        <w:t xml:space="preserve"> como agente único até à progressão, a carboplatina e gemcitabina isoladamente.</w:t>
      </w:r>
    </w:p>
    <w:p w14:paraId="622106EB" w14:textId="77777777" w:rsidR="00162CE2" w:rsidRPr="002606DB" w:rsidRDefault="00162CE2" w:rsidP="00056F35">
      <w:pPr>
        <w:pStyle w:val="a3"/>
        <w:adjustRightInd w:val="0"/>
        <w:snapToGrid w:val="0"/>
        <w:rPr>
          <w:snapToGrid w:val="0"/>
          <w:lang w:val="pt-PT"/>
        </w:rPr>
      </w:pPr>
    </w:p>
    <w:p w14:paraId="28135E15" w14:textId="77777777" w:rsidR="00162CE2" w:rsidRPr="002606DB" w:rsidRDefault="00162CE2" w:rsidP="00056F35">
      <w:pPr>
        <w:pStyle w:val="a3"/>
        <w:adjustRightInd w:val="0"/>
        <w:snapToGrid w:val="0"/>
        <w:rPr>
          <w:snapToGrid w:val="0"/>
          <w:lang w:val="pt-PT"/>
        </w:rPr>
      </w:pPr>
      <w:r w:rsidRPr="002606DB">
        <w:rPr>
          <w:snapToGrid w:val="0"/>
          <w:lang w:val="pt-PT"/>
        </w:rPr>
        <w:t>Apenas foram incluídos no estudo doentes com cancro do ovário, peritoneal primário ou carcinoma da trompa de falópio, histologicamente documentados, que tenham recorrido há mais de 6 meses após quimioterapia com base em platina, que não tinham recebido quimioterapia no contexto recorrente e que não tinham recebido tratamento prévio com bevacizumab ou outros inibidores do VEGF ou agentes dirigidos ao recetor do VEGF.</w:t>
      </w:r>
    </w:p>
    <w:p w14:paraId="0A0D1703" w14:textId="77777777" w:rsidR="00162CE2" w:rsidRPr="002606DB" w:rsidRDefault="00162CE2" w:rsidP="00056F35">
      <w:pPr>
        <w:adjustRightInd w:val="0"/>
        <w:snapToGrid w:val="0"/>
        <w:rPr>
          <w:snapToGrid w:val="0"/>
          <w:lang w:val="pt-PT"/>
        </w:rPr>
      </w:pPr>
    </w:p>
    <w:p w14:paraId="3338773A" w14:textId="77777777" w:rsidR="00162CE2" w:rsidRPr="002606DB" w:rsidRDefault="00162CE2" w:rsidP="00056F35">
      <w:pPr>
        <w:pStyle w:val="a3"/>
        <w:adjustRightInd w:val="0"/>
        <w:snapToGrid w:val="0"/>
        <w:rPr>
          <w:snapToGrid w:val="0"/>
          <w:lang w:val="pt-PT"/>
        </w:rPr>
      </w:pPr>
      <w:r w:rsidRPr="002606DB">
        <w:rPr>
          <w:snapToGrid w:val="0"/>
          <w:lang w:val="pt-PT"/>
        </w:rPr>
        <w:t>Um total de 484 doentes com doença mensurável foram aleatorizados 1:1 para:</w:t>
      </w:r>
    </w:p>
    <w:p w14:paraId="1842BB33" w14:textId="5D9F41FF" w:rsidR="00162CE2" w:rsidRPr="002606DB" w:rsidRDefault="00162CE2" w:rsidP="00EF46C3">
      <w:pPr>
        <w:pStyle w:val="a4"/>
        <w:numPr>
          <w:ilvl w:val="0"/>
          <w:numId w:val="13"/>
        </w:numPr>
        <w:adjustRightInd w:val="0"/>
        <w:snapToGrid w:val="0"/>
        <w:ind w:left="567" w:hanging="567"/>
        <w:rPr>
          <w:snapToGrid w:val="0"/>
          <w:lang w:val="pt-PT"/>
        </w:rPr>
      </w:pPr>
      <w:r w:rsidRPr="002606DB">
        <w:rPr>
          <w:snapToGrid w:val="0"/>
          <w:lang w:val="pt-PT"/>
        </w:rPr>
        <w:lastRenderedPageBreak/>
        <w:t>Carboplatina (AUC4, Dia 1) e gemcitabina (1000 mg/m</w:t>
      </w:r>
      <w:r w:rsidRPr="002606DB">
        <w:rPr>
          <w:snapToGrid w:val="0"/>
          <w:vertAlign w:val="superscript"/>
          <w:lang w:val="pt-PT"/>
        </w:rPr>
        <w:t>2</w:t>
      </w:r>
      <w:r w:rsidRPr="002606DB">
        <w:rPr>
          <w:snapToGrid w:val="0"/>
          <w:lang w:val="pt-PT"/>
        </w:rPr>
        <w:t xml:space="preserve"> nos Dias 1 e 8) e placebo concomitante a cada 3 semanas durante 6 e até 10 ciclos, seguido de placebo (a cada 3 semanas) isoladamente até progressão da doença ou toxicidade inaceitável.</w:t>
      </w:r>
    </w:p>
    <w:p w14:paraId="53143FCF" w14:textId="01E52634" w:rsidR="00162CE2" w:rsidRPr="002606DB" w:rsidRDefault="00162CE2" w:rsidP="00EF46C3">
      <w:pPr>
        <w:pStyle w:val="a4"/>
        <w:numPr>
          <w:ilvl w:val="0"/>
          <w:numId w:val="13"/>
        </w:numPr>
        <w:adjustRightInd w:val="0"/>
        <w:snapToGrid w:val="0"/>
        <w:ind w:left="567" w:hanging="567"/>
        <w:rPr>
          <w:snapToGrid w:val="0"/>
          <w:lang w:val="pt-PT"/>
        </w:rPr>
      </w:pPr>
      <w:r w:rsidRPr="002606DB">
        <w:rPr>
          <w:snapToGrid w:val="0"/>
          <w:lang w:val="pt-PT"/>
        </w:rPr>
        <w:t>Carboplatina (AUC4, Dia 1) e gemcitabina (1000 mg/m</w:t>
      </w:r>
      <w:r w:rsidRPr="002606DB">
        <w:rPr>
          <w:snapToGrid w:val="0"/>
          <w:vertAlign w:val="superscript"/>
          <w:lang w:val="pt-PT"/>
        </w:rPr>
        <w:t>2</w:t>
      </w:r>
      <w:r w:rsidRPr="002606DB">
        <w:rPr>
          <w:snapToGrid w:val="0"/>
          <w:lang w:val="pt-PT"/>
        </w:rPr>
        <w:t xml:space="preserve"> nos Dias 1 e 8) e </w:t>
      </w:r>
      <w:r w:rsidRPr="001C687C">
        <w:rPr>
          <w:color w:val="000000"/>
          <w:lang w:val="pt-PT"/>
        </w:rPr>
        <w:t xml:space="preserve">bevacizumab </w:t>
      </w:r>
      <w:r w:rsidRPr="002606DB">
        <w:rPr>
          <w:snapToGrid w:val="0"/>
          <w:lang w:val="pt-PT"/>
        </w:rPr>
        <w:t xml:space="preserve">concomitante (15 mg/kg Dia 1) a cada 3 semanas durante 6 e até 10 ciclos, seguido de </w:t>
      </w:r>
      <w:r w:rsidRPr="001C687C">
        <w:rPr>
          <w:color w:val="000000"/>
          <w:lang w:val="pt-PT"/>
        </w:rPr>
        <w:t xml:space="preserve">bevacizumab </w:t>
      </w:r>
      <w:r w:rsidRPr="002606DB">
        <w:rPr>
          <w:snapToGrid w:val="0"/>
          <w:lang w:val="pt-PT"/>
        </w:rPr>
        <w:t>(15 mg/kg a cada 3 semanas) como agente único até progressão da doença ou toxicidade inaceitável.</w:t>
      </w:r>
    </w:p>
    <w:p w14:paraId="4AE0CF73" w14:textId="77777777" w:rsidR="00162CE2" w:rsidRPr="002606DB" w:rsidRDefault="00162CE2" w:rsidP="00056F35">
      <w:pPr>
        <w:pStyle w:val="a3"/>
        <w:adjustRightInd w:val="0"/>
        <w:snapToGrid w:val="0"/>
        <w:rPr>
          <w:snapToGrid w:val="0"/>
          <w:lang w:val="pt-PT"/>
        </w:rPr>
      </w:pPr>
    </w:p>
    <w:p w14:paraId="2D835428" w14:textId="112FCDE6" w:rsidR="00162CE2" w:rsidRPr="002606DB" w:rsidRDefault="00162CE2" w:rsidP="00056F35">
      <w:pPr>
        <w:pStyle w:val="a3"/>
        <w:adjustRightInd w:val="0"/>
        <w:snapToGrid w:val="0"/>
        <w:rPr>
          <w:snapToGrid w:val="0"/>
          <w:lang w:val="pt-PT"/>
        </w:rPr>
      </w:pPr>
      <w:r w:rsidRPr="002606DB">
        <w:rPr>
          <w:snapToGrid w:val="0"/>
          <w:lang w:val="pt-PT"/>
        </w:rPr>
        <w:t xml:space="preserve">O objetivo primário foi a </w:t>
      </w:r>
      <w:r w:rsidR="004C3061">
        <w:rPr>
          <w:snapToGrid w:val="0"/>
          <w:lang w:val="pt-PT"/>
        </w:rPr>
        <w:t>PFS</w:t>
      </w:r>
      <w:r w:rsidRPr="002606DB">
        <w:rPr>
          <w:snapToGrid w:val="0"/>
          <w:lang w:val="pt-PT"/>
        </w:rPr>
        <w:t xml:space="preserve">, com base na avaliação do investigador, usando os RECIST 1.0 modificados. Objetivos adicionais incluíram a resposta objetiva, duração da resposta, </w:t>
      </w:r>
      <w:r w:rsidR="004C3061">
        <w:rPr>
          <w:snapToGrid w:val="0"/>
          <w:lang w:val="pt-PT"/>
        </w:rPr>
        <w:t>OS</w:t>
      </w:r>
      <w:r w:rsidRPr="002606DB">
        <w:rPr>
          <w:snapToGrid w:val="0"/>
          <w:lang w:val="pt-PT"/>
        </w:rPr>
        <w:t xml:space="preserve"> e segurança. Foi também realizada uma revisão independente do objetivo primário.</w:t>
      </w:r>
    </w:p>
    <w:p w14:paraId="22405328" w14:textId="77777777" w:rsidR="00162CE2" w:rsidRPr="002606DB" w:rsidRDefault="00162CE2" w:rsidP="00056F35">
      <w:pPr>
        <w:pStyle w:val="a3"/>
        <w:adjustRightInd w:val="0"/>
        <w:snapToGrid w:val="0"/>
        <w:rPr>
          <w:snapToGrid w:val="0"/>
          <w:lang w:val="pt-PT"/>
        </w:rPr>
      </w:pPr>
    </w:p>
    <w:p w14:paraId="18C2EA18" w14:textId="77777777" w:rsidR="00162CE2" w:rsidRPr="002606DB" w:rsidRDefault="00162CE2" w:rsidP="00056F35">
      <w:pPr>
        <w:pStyle w:val="a3"/>
        <w:adjustRightInd w:val="0"/>
        <w:snapToGrid w:val="0"/>
        <w:rPr>
          <w:snapToGrid w:val="0"/>
          <w:lang w:val="pt-PT"/>
        </w:rPr>
      </w:pPr>
      <w:r w:rsidRPr="002606DB">
        <w:rPr>
          <w:snapToGrid w:val="0"/>
          <w:lang w:val="pt-PT"/>
        </w:rPr>
        <w:t>Os resultados deste estudo são resumidos na Tabela 20.</w:t>
      </w:r>
    </w:p>
    <w:p w14:paraId="089B55EA" w14:textId="77777777" w:rsidR="00162CE2" w:rsidRPr="002606DB" w:rsidRDefault="00162CE2" w:rsidP="00056F35">
      <w:pPr>
        <w:pStyle w:val="a3"/>
        <w:adjustRightInd w:val="0"/>
        <w:snapToGrid w:val="0"/>
        <w:rPr>
          <w:snapToGrid w:val="0"/>
          <w:lang w:val="pt-PT"/>
        </w:rPr>
      </w:pPr>
    </w:p>
    <w:p w14:paraId="4A3BB884"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20</w:t>
      </w:r>
      <w:r w:rsidRPr="00730741">
        <w:rPr>
          <w:b/>
          <w:bCs/>
          <w:snapToGrid w:val="0"/>
          <w:lang w:val="pt-PT"/>
        </w:rPr>
        <w:tab/>
        <w:t>Resultados de eficácia do estudo AVF4095g</w:t>
      </w:r>
    </w:p>
    <w:p w14:paraId="702276DE"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4"/>
        <w:gridCol w:w="1465"/>
        <w:gridCol w:w="1841"/>
        <w:gridCol w:w="353"/>
        <w:gridCol w:w="1185"/>
        <w:gridCol w:w="1768"/>
      </w:tblGrid>
      <w:tr w:rsidR="00162CE2" w:rsidRPr="002606DB" w14:paraId="5D8BEA99" w14:textId="77777777" w:rsidTr="00A04960">
        <w:trPr>
          <w:cantSplit/>
          <w:tblHeader/>
        </w:trPr>
        <w:tc>
          <w:tcPr>
            <w:tcW w:w="9292" w:type="dxa"/>
            <w:gridSpan w:val="6"/>
          </w:tcPr>
          <w:p w14:paraId="75371775" w14:textId="77777777" w:rsidR="00162CE2" w:rsidRPr="002606DB" w:rsidRDefault="00162CE2" w:rsidP="00056F35">
            <w:pPr>
              <w:pStyle w:val="TableParagraph"/>
              <w:adjustRightInd w:val="0"/>
              <w:snapToGrid w:val="0"/>
              <w:rPr>
                <w:b/>
                <w:bCs/>
                <w:snapToGrid w:val="0"/>
                <w:sz w:val="20"/>
                <w:lang w:val="pt-PT"/>
              </w:rPr>
            </w:pPr>
            <w:r w:rsidRPr="002606DB">
              <w:rPr>
                <w:b/>
                <w:bCs/>
                <w:snapToGrid w:val="0"/>
                <w:sz w:val="20"/>
                <w:u w:val="single"/>
                <w:lang w:val="pt-PT"/>
              </w:rPr>
              <w:t>Sobrevivência livre de progressão</w:t>
            </w:r>
          </w:p>
        </w:tc>
      </w:tr>
      <w:tr w:rsidR="00162CE2" w:rsidRPr="002606DB" w14:paraId="7660BE9D" w14:textId="77777777" w:rsidTr="007161C5">
        <w:trPr>
          <w:cantSplit/>
        </w:trPr>
        <w:tc>
          <w:tcPr>
            <w:tcW w:w="2518" w:type="dxa"/>
          </w:tcPr>
          <w:p w14:paraId="5BB3DC9A" w14:textId="77777777" w:rsidR="00162CE2" w:rsidRPr="002606DB" w:rsidRDefault="00162CE2" w:rsidP="00056F35">
            <w:pPr>
              <w:pStyle w:val="TableParagraph"/>
              <w:adjustRightInd w:val="0"/>
              <w:snapToGrid w:val="0"/>
              <w:rPr>
                <w:snapToGrid w:val="0"/>
                <w:sz w:val="20"/>
                <w:lang w:val="pt-PT"/>
              </w:rPr>
            </w:pPr>
          </w:p>
        </w:tc>
        <w:tc>
          <w:tcPr>
            <w:tcW w:w="3387" w:type="dxa"/>
            <w:gridSpan w:val="2"/>
          </w:tcPr>
          <w:p w14:paraId="1E22E4CD" w14:textId="71FAA035"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Avaliação do </w:t>
            </w:r>
            <w:r w:rsidR="00642AE9" w:rsidRPr="00A03389">
              <w:rPr>
                <w:b/>
                <w:bCs/>
                <w:snapToGrid w:val="0"/>
                <w:sz w:val="20"/>
                <w:lang w:val="pt-PT"/>
              </w:rPr>
              <w:t>i</w:t>
            </w:r>
            <w:r w:rsidRPr="00A03389">
              <w:rPr>
                <w:b/>
                <w:bCs/>
                <w:snapToGrid w:val="0"/>
                <w:sz w:val="20"/>
                <w:lang w:val="pt-PT"/>
              </w:rPr>
              <w:t>nvestigador</w:t>
            </w:r>
          </w:p>
        </w:tc>
        <w:tc>
          <w:tcPr>
            <w:tcW w:w="3387" w:type="dxa"/>
            <w:gridSpan w:val="3"/>
          </w:tcPr>
          <w:p w14:paraId="3BB052AE" w14:textId="77777777"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u w:val="single"/>
                <w:lang w:val="pt-PT"/>
              </w:rPr>
              <w:t>Avaliação do IRC</w:t>
            </w:r>
          </w:p>
        </w:tc>
      </w:tr>
      <w:tr w:rsidR="00162CE2" w:rsidRPr="002606DB" w14:paraId="5EE32F6D" w14:textId="77777777" w:rsidTr="007161C5">
        <w:trPr>
          <w:cantSplit/>
        </w:trPr>
        <w:tc>
          <w:tcPr>
            <w:tcW w:w="2518" w:type="dxa"/>
          </w:tcPr>
          <w:p w14:paraId="787D9254" w14:textId="77777777" w:rsidR="00162CE2" w:rsidRPr="002606DB" w:rsidRDefault="00162CE2" w:rsidP="00056F35">
            <w:pPr>
              <w:pStyle w:val="TableParagraph"/>
              <w:adjustRightInd w:val="0"/>
              <w:snapToGrid w:val="0"/>
              <w:rPr>
                <w:snapToGrid w:val="0"/>
                <w:sz w:val="20"/>
                <w:lang w:val="pt-PT"/>
              </w:rPr>
            </w:pPr>
          </w:p>
        </w:tc>
        <w:tc>
          <w:tcPr>
            <w:tcW w:w="1500" w:type="dxa"/>
          </w:tcPr>
          <w:p w14:paraId="0463A61E" w14:textId="2A655F03"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Placebo+ C/G </w:t>
            </w:r>
            <w:r w:rsidR="007161C5" w:rsidRPr="00A03389">
              <w:rPr>
                <w:b/>
                <w:bCs/>
                <w:snapToGrid w:val="0"/>
                <w:sz w:val="20"/>
                <w:lang w:val="pt-PT"/>
              </w:rPr>
              <w:br/>
            </w:r>
            <w:r w:rsidRPr="00A03389">
              <w:rPr>
                <w:b/>
                <w:bCs/>
                <w:snapToGrid w:val="0"/>
                <w:sz w:val="20"/>
                <w:lang w:val="pt-PT"/>
              </w:rPr>
              <w:t>(n = 242)</w:t>
            </w:r>
          </w:p>
        </w:tc>
        <w:tc>
          <w:tcPr>
            <w:tcW w:w="1887" w:type="dxa"/>
          </w:tcPr>
          <w:p w14:paraId="7DE87B47" w14:textId="4EF749AB"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Bevacizumab + C/G (n = 242)</w:t>
            </w:r>
          </w:p>
        </w:tc>
        <w:tc>
          <w:tcPr>
            <w:tcW w:w="1575" w:type="dxa"/>
            <w:gridSpan w:val="2"/>
          </w:tcPr>
          <w:p w14:paraId="5ACE3D57" w14:textId="0DFABF60"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Placebo+ C/G </w:t>
            </w:r>
            <w:r w:rsidR="007161C5" w:rsidRPr="00A03389">
              <w:rPr>
                <w:b/>
                <w:bCs/>
                <w:snapToGrid w:val="0"/>
                <w:sz w:val="20"/>
                <w:lang w:val="pt-PT"/>
              </w:rPr>
              <w:br/>
            </w:r>
            <w:r w:rsidRPr="00A03389">
              <w:rPr>
                <w:b/>
                <w:bCs/>
                <w:snapToGrid w:val="0"/>
                <w:sz w:val="20"/>
                <w:lang w:val="pt-PT"/>
              </w:rPr>
              <w:t>(n = 242)</w:t>
            </w:r>
          </w:p>
        </w:tc>
        <w:tc>
          <w:tcPr>
            <w:tcW w:w="1812" w:type="dxa"/>
          </w:tcPr>
          <w:p w14:paraId="351417D6" w14:textId="7FD2087A"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Bevacizumab + C/G (n = 242)</w:t>
            </w:r>
          </w:p>
        </w:tc>
      </w:tr>
      <w:tr w:rsidR="00162CE2" w:rsidRPr="002606DB" w14:paraId="1E42EC53" w14:textId="77777777" w:rsidTr="007161C5">
        <w:trPr>
          <w:cantSplit/>
        </w:trPr>
        <w:tc>
          <w:tcPr>
            <w:tcW w:w="2518" w:type="dxa"/>
          </w:tcPr>
          <w:p w14:paraId="4C9F5BC3" w14:textId="77777777" w:rsidR="00162CE2" w:rsidRPr="002606DB" w:rsidRDefault="00162CE2" w:rsidP="00056F35">
            <w:pPr>
              <w:pStyle w:val="TableParagraph"/>
              <w:adjustRightInd w:val="0"/>
              <w:snapToGrid w:val="0"/>
              <w:rPr>
                <w:i/>
                <w:snapToGrid w:val="0"/>
                <w:sz w:val="20"/>
                <w:lang w:val="pt-PT"/>
              </w:rPr>
            </w:pPr>
            <w:r w:rsidRPr="002606DB">
              <w:rPr>
                <w:i/>
                <w:snapToGrid w:val="0"/>
                <w:sz w:val="20"/>
                <w:lang w:val="pt-PT"/>
              </w:rPr>
              <w:t>Não censurada para TNP</w:t>
            </w:r>
          </w:p>
        </w:tc>
        <w:tc>
          <w:tcPr>
            <w:tcW w:w="3387" w:type="dxa"/>
            <w:gridSpan w:val="2"/>
          </w:tcPr>
          <w:p w14:paraId="189028A6" w14:textId="77777777" w:rsidR="00162CE2" w:rsidRPr="002606DB" w:rsidRDefault="00162CE2" w:rsidP="004E23F3">
            <w:pPr>
              <w:pStyle w:val="TableParagraph"/>
              <w:adjustRightInd w:val="0"/>
              <w:snapToGrid w:val="0"/>
              <w:jc w:val="center"/>
              <w:rPr>
                <w:snapToGrid w:val="0"/>
                <w:sz w:val="20"/>
                <w:lang w:val="pt-PT"/>
              </w:rPr>
            </w:pPr>
          </w:p>
        </w:tc>
        <w:tc>
          <w:tcPr>
            <w:tcW w:w="3387" w:type="dxa"/>
            <w:gridSpan w:val="3"/>
          </w:tcPr>
          <w:p w14:paraId="6D7435DA" w14:textId="77777777" w:rsidR="00162CE2" w:rsidRPr="002606DB" w:rsidRDefault="00162CE2" w:rsidP="004E23F3">
            <w:pPr>
              <w:pStyle w:val="TableParagraph"/>
              <w:adjustRightInd w:val="0"/>
              <w:snapToGrid w:val="0"/>
              <w:jc w:val="center"/>
              <w:rPr>
                <w:snapToGrid w:val="0"/>
                <w:sz w:val="20"/>
                <w:lang w:val="pt-PT"/>
              </w:rPr>
            </w:pPr>
          </w:p>
        </w:tc>
      </w:tr>
      <w:tr w:rsidR="00162CE2" w:rsidRPr="002606DB" w14:paraId="1D6B2DC2" w14:textId="77777777" w:rsidTr="007161C5">
        <w:trPr>
          <w:cantSplit/>
        </w:trPr>
        <w:tc>
          <w:tcPr>
            <w:tcW w:w="2518" w:type="dxa"/>
          </w:tcPr>
          <w:p w14:paraId="0870F702"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PFS Mediana (meses)</w:t>
            </w:r>
          </w:p>
        </w:tc>
        <w:tc>
          <w:tcPr>
            <w:tcW w:w="1500" w:type="dxa"/>
          </w:tcPr>
          <w:p w14:paraId="70C0CCCF"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8,4</w:t>
            </w:r>
          </w:p>
        </w:tc>
        <w:tc>
          <w:tcPr>
            <w:tcW w:w="1887" w:type="dxa"/>
          </w:tcPr>
          <w:p w14:paraId="2F7E0D2C"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12,4</w:t>
            </w:r>
          </w:p>
        </w:tc>
        <w:tc>
          <w:tcPr>
            <w:tcW w:w="1575" w:type="dxa"/>
            <w:gridSpan w:val="2"/>
          </w:tcPr>
          <w:p w14:paraId="11CC2116"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8,6</w:t>
            </w:r>
          </w:p>
        </w:tc>
        <w:tc>
          <w:tcPr>
            <w:tcW w:w="1812" w:type="dxa"/>
          </w:tcPr>
          <w:p w14:paraId="5F1E0323"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12,3</w:t>
            </w:r>
          </w:p>
        </w:tc>
      </w:tr>
      <w:tr w:rsidR="00162CE2" w:rsidRPr="002606DB" w14:paraId="52EFAFE6" w14:textId="77777777" w:rsidTr="007161C5">
        <w:trPr>
          <w:cantSplit/>
        </w:trPr>
        <w:tc>
          <w:tcPr>
            <w:tcW w:w="2518" w:type="dxa"/>
          </w:tcPr>
          <w:p w14:paraId="33C72F5D"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7B70CBFD"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p>
        </w:tc>
        <w:tc>
          <w:tcPr>
            <w:tcW w:w="3387" w:type="dxa"/>
            <w:gridSpan w:val="2"/>
          </w:tcPr>
          <w:p w14:paraId="314E9482" w14:textId="77777777" w:rsidR="00162CE2" w:rsidRPr="002606DB" w:rsidRDefault="00162CE2" w:rsidP="004E23F3">
            <w:pPr>
              <w:pStyle w:val="TableParagraph"/>
              <w:adjustRightInd w:val="0"/>
              <w:snapToGrid w:val="0"/>
              <w:jc w:val="center"/>
              <w:rPr>
                <w:b/>
                <w:snapToGrid w:val="0"/>
                <w:sz w:val="20"/>
                <w:lang w:val="pt-PT"/>
              </w:rPr>
            </w:pPr>
          </w:p>
          <w:p w14:paraId="2EA412C6"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0,524 [0,425; 0,645]</w:t>
            </w:r>
          </w:p>
        </w:tc>
        <w:tc>
          <w:tcPr>
            <w:tcW w:w="3387" w:type="dxa"/>
            <w:gridSpan w:val="3"/>
          </w:tcPr>
          <w:p w14:paraId="6770FDB5" w14:textId="77777777" w:rsidR="00162CE2" w:rsidRPr="002606DB" w:rsidRDefault="00162CE2" w:rsidP="004E23F3">
            <w:pPr>
              <w:pStyle w:val="TableParagraph"/>
              <w:adjustRightInd w:val="0"/>
              <w:snapToGrid w:val="0"/>
              <w:jc w:val="center"/>
              <w:rPr>
                <w:b/>
                <w:snapToGrid w:val="0"/>
                <w:sz w:val="20"/>
                <w:lang w:val="pt-PT"/>
              </w:rPr>
            </w:pPr>
          </w:p>
          <w:p w14:paraId="74C20967"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0,480 [0,377; 0,613]</w:t>
            </w:r>
          </w:p>
        </w:tc>
      </w:tr>
      <w:tr w:rsidR="00162CE2" w:rsidRPr="002606DB" w14:paraId="717DBD42" w14:textId="77777777" w:rsidTr="007161C5">
        <w:trPr>
          <w:cantSplit/>
        </w:trPr>
        <w:tc>
          <w:tcPr>
            <w:tcW w:w="2518" w:type="dxa"/>
          </w:tcPr>
          <w:p w14:paraId="503BF195"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3387" w:type="dxa"/>
            <w:gridSpan w:val="2"/>
          </w:tcPr>
          <w:p w14:paraId="26AFB19B"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 0,0001</w:t>
            </w:r>
          </w:p>
        </w:tc>
        <w:tc>
          <w:tcPr>
            <w:tcW w:w="3387" w:type="dxa"/>
            <w:gridSpan w:val="3"/>
          </w:tcPr>
          <w:p w14:paraId="3D3D3DEF"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 0,0001</w:t>
            </w:r>
          </w:p>
        </w:tc>
      </w:tr>
      <w:tr w:rsidR="007161C5" w:rsidRPr="002606DB" w14:paraId="351F4CFB" w14:textId="77777777" w:rsidTr="009C3F5C">
        <w:trPr>
          <w:cantSplit/>
        </w:trPr>
        <w:tc>
          <w:tcPr>
            <w:tcW w:w="2518" w:type="dxa"/>
          </w:tcPr>
          <w:p w14:paraId="7FD27918" w14:textId="77777777" w:rsidR="007161C5" w:rsidRPr="002606DB" w:rsidRDefault="007161C5" w:rsidP="007161C5">
            <w:pPr>
              <w:pStyle w:val="TableParagraph"/>
              <w:keepNext/>
              <w:widowControl/>
              <w:adjustRightInd w:val="0"/>
              <w:snapToGrid w:val="0"/>
              <w:rPr>
                <w:i/>
                <w:snapToGrid w:val="0"/>
                <w:sz w:val="20"/>
                <w:lang w:val="pt-PT"/>
              </w:rPr>
            </w:pPr>
            <w:r w:rsidRPr="002606DB">
              <w:rPr>
                <w:i/>
                <w:snapToGrid w:val="0"/>
                <w:sz w:val="20"/>
                <w:lang w:val="pt-PT"/>
              </w:rPr>
              <w:t>Censurada para TNP</w:t>
            </w:r>
          </w:p>
        </w:tc>
        <w:tc>
          <w:tcPr>
            <w:tcW w:w="6774" w:type="dxa"/>
            <w:gridSpan w:val="5"/>
          </w:tcPr>
          <w:p w14:paraId="3FF8569B" w14:textId="77777777" w:rsidR="007161C5" w:rsidRPr="002606DB" w:rsidRDefault="007161C5" w:rsidP="004E23F3">
            <w:pPr>
              <w:pStyle w:val="TableParagraph"/>
              <w:adjustRightInd w:val="0"/>
              <w:snapToGrid w:val="0"/>
              <w:jc w:val="center"/>
              <w:rPr>
                <w:snapToGrid w:val="0"/>
                <w:sz w:val="20"/>
                <w:lang w:val="pt-PT"/>
              </w:rPr>
            </w:pPr>
          </w:p>
        </w:tc>
      </w:tr>
      <w:tr w:rsidR="00162CE2" w:rsidRPr="002606DB" w14:paraId="06106D10" w14:textId="77777777" w:rsidTr="007161C5">
        <w:trPr>
          <w:cantSplit/>
        </w:trPr>
        <w:tc>
          <w:tcPr>
            <w:tcW w:w="2518" w:type="dxa"/>
          </w:tcPr>
          <w:p w14:paraId="0CD8F667"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PFS Mediana (meses)</w:t>
            </w:r>
          </w:p>
        </w:tc>
        <w:tc>
          <w:tcPr>
            <w:tcW w:w="1500" w:type="dxa"/>
          </w:tcPr>
          <w:p w14:paraId="7A719040"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8,4</w:t>
            </w:r>
          </w:p>
        </w:tc>
        <w:tc>
          <w:tcPr>
            <w:tcW w:w="1887" w:type="dxa"/>
          </w:tcPr>
          <w:p w14:paraId="71B7E859"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12,4</w:t>
            </w:r>
          </w:p>
        </w:tc>
        <w:tc>
          <w:tcPr>
            <w:tcW w:w="1575" w:type="dxa"/>
            <w:gridSpan w:val="2"/>
          </w:tcPr>
          <w:p w14:paraId="37599D56"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8,6</w:t>
            </w:r>
          </w:p>
        </w:tc>
        <w:tc>
          <w:tcPr>
            <w:tcW w:w="1812" w:type="dxa"/>
          </w:tcPr>
          <w:p w14:paraId="03F5C197"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12,3</w:t>
            </w:r>
          </w:p>
        </w:tc>
      </w:tr>
      <w:tr w:rsidR="00162CE2" w:rsidRPr="002606DB" w14:paraId="59D2078B" w14:textId="77777777" w:rsidTr="007161C5">
        <w:trPr>
          <w:cantSplit/>
        </w:trPr>
        <w:tc>
          <w:tcPr>
            <w:tcW w:w="2518" w:type="dxa"/>
          </w:tcPr>
          <w:p w14:paraId="3F34C2EC"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w:t>
            </w:r>
          </w:p>
          <w:p w14:paraId="6626B5D8"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p>
        </w:tc>
        <w:tc>
          <w:tcPr>
            <w:tcW w:w="3387" w:type="dxa"/>
            <w:gridSpan w:val="2"/>
          </w:tcPr>
          <w:p w14:paraId="761AFEB3" w14:textId="77777777" w:rsidR="00162CE2" w:rsidRPr="002606DB" w:rsidRDefault="00162CE2" w:rsidP="004E23F3">
            <w:pPr>
              <w:pStyle w:val="TableParagraph"/>
              <w:adjustRightInd w:val="0"/>
              <w:snapToGrid w:val="0"/>
              <w:jc w:val="center"/>
              <w:rPr>
                <w:b/>
                <w:snapToGrid w:val="0"/>
                <w:sz w:val="20"/>
                <w:lang w:val="pt-PT"/>
              </w:rPr>
            </w:pPr>
          </w:p>
          <w:p w14:paraId="04AA1410"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0,484 [0,388; 0,605]</w:t>
            </w:r>
          </w:p>
        </w:tc>
        <w:tc>
          <w:tcPr>
            <w:tcW w:w="3387" w:type="dxa"/>
            <w:gridSpan w:val="3"/>
          </w:tcPr>
          <w:p w14:paraId="0BD0672F" w14:textId="77777777" w:rsidR="00162CE2" w:rsidRPr="002606DB" w:rsidRDefault="00162CE2" w:rsidP="004E23F3">
            <w:pPr>
              <w:pStyle w:val="TableParagraph"/>
              <w:adjustRightInd w:val="0"/>
              <w:snapToGrid w:val="0"/>
              <w:jc w:val="center"/>
              <w:rPr>
                <w:b/>
                <w:snapToGrid w:val="0"/>
                <w:sz w:val="20"/>
                <w:lang w:val="pt-PT"/>
              </w:rPr>
            </w:pPr>
          </w:p>
          <w:p w14:paraId="5513207C"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0,451 [0,351; 0,580]</w:t>
            </w:r>
          </w:p>
        </w:tc>
      </w:tr>
      <w:tr w:rsidR="00162CE2" w:rsidRPr="002606DB" w14:paraId="051D58DD" w14:textId="77777777" w:rsidTr="007161C5">
        <w:trPr>
          <w:cantSplit/>
        </w:trPr>
        <w:tc>
          <w:tcPr>
            <w:tcW w:w="2518" w:type="dxa"/>
          </w:tcPr>
          <w:p w14:paraId="697838CF"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3387" w:type="dxa"/>
            <w:gridSpan w:val="2"/>
          </w:tcPr>
          <w:p w14:paraId="44284AD2"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 0,0001</w:t>
            </w:r>
          </w:p>
        </w:tc>
        <w:tc>
          <w:tcPr>
            <w:tcW w:w="3387" w:type="dxa"/>
            <w:gridSpan w:val="3"/>
          </w:tcPr>
          <w:p w14:paraId="58CB2A29"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 0,0001</w:t>
            </w:r>
          </w:p>
        </w:tc>
      </w:tr>
      <w:tr w:rsidR="00162CE2" w:rsidRPr="002606DB" w14:paraId="1F6C5D47" w14:textId="77777777" w:rsidTr="00882296">
        <w:trPr>
          <w:cantSplit/>
        </w:trPr>
        <w:tc>
          <w:tcPr>
            <w:tcW w:w="9292" w:type="dxa"/>
            <w:gridSpan w:val="6"/>
          </w:tcPr>
          <w:p w14:paraId="51E6D453" w14:textId="77777777" w:rsidR="00162CE2" w:rsidRPr="00A03389" w:rsidRDefault="00162CE2">
            <w:pPr>
              <w:pStyle w:val="TableParagraph"/>
              <w:adjustRightInd w:val="0"/>
              <w:snapToGrid w:val="0"/>
              <w:rPr>
                <w:b/>
                <w:bCs/>
                <w:snapToGrid w:val="0"/>
                <w:sz w:val="20"/>
                <w:u w:val="single"/>
                <w:lang w:val="pt-PT"/>
              </w:rPr>
            </w:pPr>
            <w:r w:rsidRPr="00A03389">
              <w:rPr>
                <w:b/>
                <w:bCs/>
                <w:snapToGrid w:val="0"/>
                <w:sz w:val="20"/>
                <w:u w:val="single"/>
                <w:lang w:val="pt-PT"/>
              </w:rPr>
              <w:t>Taxa de resposta objetiva</w:t>
            </w:r>
          </w:p>
        </w:tc>
      </w:tr>
      <w:tr w:rsidR="00162CE2" w:rsidRPr="002606DB" w14:paraId="320CCC57" w14:textId="77777777" w:rsidTr="007161C5">
        <w:trPr>
          <w:cantSplit/>
        </w:trPr>
        <w:tc>
          <w:tcPr>
            <w:tcW w:w="2518" w:type="dxa"/>
          </w:tcPr>
          <w:p w14:paraId="1B434091" w14:textId="77777777" w:rsidR="00162CE2" w:rsidRPr="002606DB" w:rsidRDefault="00162CE2" w:rsidP="00056F35">
            <w:pPr>
              <w:pStyle w:val="TableParagraph"/>
              <w:adjustRightInd w:val="0"/>
              <w:snapToGrid w:val="0"/>
              <w:rPr>
                <w:snapToGrid w:val="0"/>
                <w:sz w:val="20"/>
                <w:lang w:val="pt-PT"/>
              </w:rPr>
            </w:pPr>
          </w:p>
        </w:tc>
        <w:tc>
          <w:tcPr>
            <w:tcW w:w="3387" w:type="dxa"/>
            <w:gridSpan w:val="2"/>
          </w:tcPr>
          <w:p w14:paraId="7E10B0FF" w14:textId="36E0FF2D"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Avaliação do </w:t>
            </w:r>
            <w:r w:rsidR="00642AE9" w:rsidRPr="00A03389">
              <w:rPr>
                <w:b/>
                <w:bCs/>
                <w:snapToGrid w:val="0"/>
                <w:sz w:val="20"/>
                <w:lang w:val="pt-PT"/>
              </w:rPr>
              <w:t>i</w:t>
            </w:r>
            <w:r w:rsidRPr="00A03389">
              <w:rPr>
                <w:b/>
                <w:bCs/>
                <w:snapToGrid w:val="0"/>
                <w:sz w:val="20"/>
                <w:lang w:val="pt-PT"/>
              </w:rPr>
              <w:t>nvestigador</w:t>
            </w:r>
          </w:p>
        </w:tc>
        <w:tc>
          <w:tcPr>
            <w:tcW w:w="3387" w:type="dxa"/>
            <w:gridSpan w:val="3"/>
          </w:tcPr>
          <w:p w14:paraId="61631AEC" w14:textId="77777777"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u w:val="single"/>
                <w:lang w:val="pt-PT"/>
              </w:rPr>
              <w:t>Avaliação do IRC</w:t>
            </w:r>
          </w:p>
        </w:tc>
      </w:tr>
      <w:tr w:rsidR="00162CE2" w:rsidRPr="002606DB" w14:paraId="2BD24F45" w14:textId="77777777" w:rsidTr="007161C5">
        <w:trPr>
          <w:cantSplit/>
        </w:trPr>
        <w:tc>
          <w:tcPr>
            <w:tcW w:w="2518" w:type="dxa"/>
          </w:tcPr>
          <w:p w14:paraId="30080211" w14:textId="77777777" w:rsidR="00162CE2" w:rsidRPr="002606DB" w:rsidRDefault="00162CE2" w:rsidP="00056F35">
            <w:pPr>
              <w:pStyle w:val="TableParagraph"/>
              <w:adjustRightInd w:val="0"/>
              <w:snapToGrid w:val="0"/>
              <w:rPr>
                <w:snapToGrid w:val="0"/>
                <w:sz w:val="20"/>
                <w:lang w:val="pt-PT"/>
              </w:rPr>
            </w:pPr>
          </w:p>
        </w:tc>
        <w:tc>
          <w:tcPr>
            <w:tcW w:w="1500" w:type="dxa"/>
          </w:tcPr>
          <w:p w14:paraId="3E44258F" w14:textId="3C9DF73C"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Placebo+ C/G </w:t>
            </w:r>
            <w:r w:rsidR="0028621A" w:rsidRPr="00A03389">
              <w:rPr>
                <w:b/>
                <w:bCs/>
                <w:snapToGrid w:val="0"/>
                <w:sz w:val="20"/>
                <w:lang w:val="pt-PT"/>
              </w:rPr>
              <w:br/>
            </w:r>
            <w:r w:rsidRPr="00A03389">
              <w:rPr>
                <w:b/>
                <w:bCs/>
                <w:snapToGrid w:val="0"/>
                <w:sz w:val="20"/>
                <w:lang w:val="pt-PT"/>
              </w:rPr>
              <w:t>(n = 242)</w:t>
            </w:r>
          </w:p>
        </w:tc>
        <w:tc>
          <w:tcPr>
            <w:tcW w:w="1887" w:type="dxa"/>
          </w:tcPr>
          <w:p w14:paraId="5761C18E" w14:textId="379C1B9E"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Bevacizumab + C/G </w:t>
            </w:r>
            <w:r w:rsidR="0028621A" w:rsidRPr="00A03389">
              <w:rPr>
                <w:b/>
                <w:bCs/>
                <w:snapToGrid w:val="0"/>
                <w:sz w:val="20"/>
                <w:lang w:val="pt-PT"/>
              </w:rPr>
              <w:br/>
            </w:r>
            <w:r w:rsidRPr="00A03389">
              <w:rPr>
                <w:b/>
                <w:bCs/>
                <w:snapToGrid w:val="0"/>
                <w:sz w:val="20"/>
                <w:lang w:val="pt-PT"/>
              </w:rPr>
              <w:t>(n = 242)</w:t>
            </w:r>
          </w:p>
        </w:tc>
        <w:tc>
          <w:tcPr>
            <w:tcW w:w="1575" w:type="dxa"/>
            <w:gridSpan w:val="2"/>
          </w:tcPr>
          <w:p w14:paraId="5C4B3FEC" w14:textId="7242BB11"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Placebo+ C/G </w:t>
            </w:r>
            <w:r w:rsidR="0028621A" w:rsidRPr="00A03389">
              <w:rPr>
                <w:b/>
                <w:bCs/>
                <w:snapToGrid w:val="0"/>
                <w:sz w:val="20"/>
                <w:lang w:val="pt-PT"/>
              </w:rPr>
              <w:br/>
            </w:r>
            <w:r w:rsidRPr="00A03389">
              <w:rPr>
                <w:b/>
                <w:bCs/>
                <w:snapToGrid w:val="0"/>
                <w:sz w:val="20"/>
                <w:lang w:val="pt-PT"/>
              </w:rPr>
              <w:t>(n = 242)</w:t>
            </w:r>
          </w:p>
        </w:tc>
        <w:tc>
          <w:tcPr>
            <w:tcW w:w="1812" w:type="dxa"/>
          </w:tcPr>
          <w:p w14:paraId="4DE02AAF" w14:textId="7ADC5A6E" w:rsidR="00162CE2" w:rsidRPr="00A03389" w:rsidRDefault="00162CE2" w:rsidP="004E23F3">
            <w:pPr>
              <w:pStyle w:val="TableParagraph"/>
              <w:adjustRightInd w:val="0"/>
              <w:snapToGrid w:val="0"/>
              <w:jc w:val="center"/>
              <w:rPr>
                <w:b/>
                <w:bCs/>
                <w:snapToGrid w:val="0"/>
                <w:sz w:val="20"/>
                <w:lang w:val="pt-PT"/>
              </w:rPr>
            </w:pPr>
            <w:r w:rsidRPr="00A03389">
              <w:rPr>
                <w:b/>
                <w:bCs/>
                <w:snapToGrid w:val="0"/>
                <w:sz w:val="20"/>
                <w:lang w:val="pt-PT"/>
              </w:rPr>
              <w:t xml:space="preserve">Bevacizumab + C/G </w:t>
            </w:r>
            <w:r w:rsidR="0028621A" w:rsidRPr="00A03389">
              <w:rPr>
                <w:b/>
                <w:bCs/>
                <w:snapToGrid w:val="0"/>
                <w:sz w:val="20"/>
                <w:lang w:val="pt-PT"/>
              </w:rPr>
              <w:br/>
            </w:r>
            <w:r w:rsidRPr="00A03389">
              <w:rPr>
                <w:b/>
                <w:bCs/>
                <w:snapToGrid w:val="0"/>
                <w:sz w:val="20"/>
                <w:lang w:val="pt-PT"/>
              </w:rPr>
              <w:t>(n = 242)</w:t>
            </w:r>
          </w:p>
        </w:tc>
      </w:tr>
      <w:tr w:rsidR="00162CE2" w:rsidRPr="002606DB" w14:paraId="45E7BF25" w14:textId="77777777" w:rsidTr="007161C5">
        <w:trPr>
          <w:cantSplit/>
        </w:trPr>
        <w:tc>
          <w:tcPr>
            <w:tcW w:w="2518" w:type="dxa"/>
          </w:tcPr>
          <w:p w14:paraId="3E37DFC9"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 doentes com resposta objetiva</w:t>
            </w:r>
          </w:p>
        </w:tc>
        <w:tc>
          <w:tcPr>
            <w:tcW w:w="1500" w:type="dxa"/>
          </w:tcPr>
          <w:p w14:paraId="0090F412"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57,4%</w:t>
            </w:r>
          </w:p>
        </w:tc>
        <w:tc>
          <w:tcPr>
            <w:tcW w:w="1887" w:type="dxa"/>
          </w:tcPr>
          <w:p w14:paraId="53F0060B"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78,5%</w:t>
            </w:r>
          </w:p>
        </w:tc>
        <w:tc>
          <w:tcPr>
            <w:tcW w:w="1575" w:type="dxa"/>
            <w:gridSpan w:val="2"/>
          </w:tcPr>
          <w:p w14:paraId="3A24B3FB"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53,7%</w:t>
            </w:r>
          </w:p>
        </w:tc>
        <w:tc>
          <w:tcPr>
            <w:tcW w:w="1812" w:type="dxa"/>
          </w:tcPr>
          <w:p w14:paraId="2D197D46"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74,8%</w:t>
            </w:r>
          </w:p>
        </w:tc>
      </w:tr>
      <w:tr w:rsidR="00162CE2" w:rsidRPr="002606DB" w14:paraId="30976B7F" w14:textId="77777777" w:rsidTr="007161C5">
        <w:trPr>
          <w:cantSplit/>
        </w:trPr>
        <w:tc>
          <w:tcPr>
            <w:tcW w:w="2518" w:type="dxa"/>
          </w:tcPr>
          <w:p w14:paraId="669CCAAD"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3387" w:type="dxa"/>
            <w:gridSpan w:val="2"/>
          </w:tcPr>
          <w:p w14:paraId="28183FB1"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 0,0001</w:t>
            </w:r>
          </w:p>
        </w:tc>
        <w:tc>
          <w:tcPr>
            <w:tcW w:w="3387" w:type="dxa"/>
            <w:gridSpan w:val="3"/>
          </w:tcPr>
          <w:p w14:paraId="455031E8"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 0,0001</w:t>
            </w:r>
          </w:p>
        </w:tc>
      </w:tr>
      <w:tr w:rsidR="00162CE2" w:rsidRPr="002606DB" w14:paraId="754E9CAA" w14:textId="77777777" w:rsidTr="00882296">
        <w:trPr>
          <w:cantSplit/>
        </w:trPr>
        <w:tc>
          <w:tcPr>
            <w:tcW w:w="9292" w:type="dxa"/>
            <w:gridSpan w:val="6"/>
          </w:tcPr>
          <w:p w14:paraId="3C03B54A" w14:textId="77777777" w:rsidR="00162CE2" w:rsidRPr="00A03389" w:rsidRDefault="00162CE2">
            <w:pPr>
              <w:pStyle w:val="TableParagraph"/>
              <w:adjustRightInd w:val="0"/>
              <w:snapToGrid w:val="0"/>
              <w:rPr>
                <w:b/>
                <w:bCs/>
                <w:snapToGrid w:val="0"/>
                <w:sz w:val="20"/>
                <w:u w:val="single"/>
                <w:lang w:val="pt-PT"/>
              </w:rPr>
            </w:pPr>
            <w:r w:rsidRPr="00A03389">
              <w:rPr>
                <w:b/>
                <w:bCs/>
                <w:snapToGrid w:val="0"/>
                <w:sz w:val="20"/>
                <w:u w:val="single"/>
                <w:lang w:val="pt-PT"/>
              </w:rPr>
              <w:t>Sobrevivência global</w:t>
            </w:r>
          </w:p>
        </w:tc>
      </w:tr>
      <w:tr w:rsidR="00162CE2" w:rsidRPr="002606DB" w14:paraId="226ED8F0" w14:textId="77777777" w:rsidTr="007161C5">
        <w:trPr>
          <w:cantSplit/>
        </w:trPr>
        <w:tc>
          <w:tcPr>
            <w:tcW w:w="2518" w:type="dxa"/>
          </w:tcPr>
          <w:p w14:paraId="63DD1C38" w14:textId="77777777" w:rsidR="00162CE2" w:rsidRPr="002606DB" w:rsidRDefault="00162CE2" w:rsidP="00056F35">
            <w:pPr>
              <w:pStyle w:val="TableParagraph"/>
              <w:adjustRightInd w:val="0"/>
              <w:snapToGrid w:val="0"/>
              <w:rPr>
                <w:snapToGrid w:val="0"/>
                <w:sz w:val="20"/>
                <w:lang w:val="pt-PT"/>
              </w:rPr>
            </w:pPr>
          </w:p>
        </w:tc>
        <w:tc>
          <w:tcPr>
            <w:tcW w:w="3748" w:type="dxa"/>
            <w:gridSpan w:val="3"/>
          </w:tcPr>
          <w:p w14:paraId="349070ED" w14:textId="77777777" w:rsidR="00162CE2" w:rsidRPr="00A03389" w:rsidRDefault="00162CE2">
            <w:pPr>
              <w:pStyle w:val="TableParagraph"/>
              <w:adjustRightInd w:val="0"/>
              <w:snapToGrid w:val="0"/>
              <w:jc w:val="center"/>
              <w:rPr>
                <w:b/>
                <w:bCs/>
                <w:snapToGrid w:val="0"/>
                <w:sz w:val="20"/>
                <w:lang w:val="pt-PT"/>
              </w:rPr>
            </w:pPr>
            <w:r w:rsidRPr="00A03389">
              <w:rPr>
                <w:b/>
                <w:bCs/>
                <w:snapToGrid w:val="0"/>
                <w:sz w:val="20"/>
                <w:lang w:val="pt-PT"/>
              </w:rPr>
              <w:t>Placebo+ C/G (n = 242)</w:t>
            </w:r>
          </w:p>
        </w:tc>
        <w:tc>
          <w:tcPr>
            <w:tcW w:w="3026" w:type="dxa"/>
            <w:gridSpan w:val="2"/>
          </w:tcPr>
          <w:p w14:paraId="2449131C" w14:textId="4A9F9549" w:rsidR="00162CE2" w:rsidRPr="00A03389" w:rsidRDefault="00642AE9" w:rsidP="004E23F3">
            <w:pPr>
              <w:pStyle w:val="TableParagraph"/>
              <w:adjustRightInd w:val="0"/>
              <w:snapToGrid w:val="0"/>
              <w:jc w:val="center"/>
              <w:rPr>
                <w:b/>
                <w:bCs/>
                <w:snapToGrid w:val="0"/>
                <w:sz w:val="20"/>
                <w:lang w:val="pt-PT"/>
              </w:rPr>
            </w:pPr>
            <w:proofErr w:type="gramStart"/>
            <w:r w:rsidRPr="00A03389">
              <w:rPr>
                <w:b/>
                <w:bCs/>
                <w:color w:val="000000"/>
                <w:lang w:val="en-GB"/>
              </w:rPr>
              <w:t>Bevacizumab</w:t>
            </w:r>
            <w:r w:rsidR="00162CE2" w:rsidRPr="00A03389">
              <w:rPr>
                <w:b/>
                <w:bCs/>
                <w:snapToGrid w:val="0"/>
                <w:sz w:val="20"/>
                <w:lang w:val="pt-PT"/>
              </w:rPr>
              <w:t xml:space="preserve">  +</w:t>
            </w:r>
            <w:proofErr w:type="gramEnd"/>
            <w:r w:rsidR="00162CE2" w:rsidRPr="00A03389">
              <w:rPr>
                <w:b/>
                <w:bCs/>
                <w:snapToGrid w:val="0"/>
                <w:sz w:val="20"/>
                <w:lang w:val="pt-PT"/>
              </w:rPr>
              <w:t xml:space="preserve"> C/G (n = 242)</w:t>
            </w:r>
          </w:p>
        </w:tc>
      </w:tr>
      <w:tr w:rsidR="00162CE2" w:rsidRPr="002606DB" w14:paraId="07EA24BE" w14:textId="77777777" w:rsidTr="007161C5">
        <w:trPr>
          <w:cantSplit/>
        </w:trPr>
        <w:tc>
          <w:tcPr>
            <w:tcW w:w="2518" w:type="dxa"/>
          </w:tcPr>
          <w:p w14:paraId="118538C5"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OS mediana (meses)</w:t>
            </w:r>
          </w:p>
        </w:tc>
        <w:tc>
          <w:tcPr>
            <w:tcW w:w="3748" w:type="dxa"/>
            <w:gridSpan w:val="3"/>
          </w:tcPr>
          <w:p w14:paraId="3EDF9F47"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32,9</w:t>
            </w:r>
          </w:p>
        </w:tc>
        <w:tc>
          <w:tcPr>
            <w:tcW w:w="3026" w:type="dxa"/>
            <w:gridSpan w:val="2"/>
          </w:tcPr>
          <w:p w14:paraId="23EE4C19"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33,6</w:t>
            </w:r>
          </w:p>
        </w:tc>
      </w:tr>
      <w:tr w:rsidR="00162CE2" w:rsidRPr="002606DB" w14:paraId="7E2BE6B3" w14:textId="77777777" w:rsidTr="007161C5">
        <w:trPr>
          <w:cantSplit/>
        </w:trPr>
        <w:tc>
          <w:tcPr>
            <w:tcW w:w="2518" w:type="dxa"/>
          </w:tcPr>
          <w:p w14:paraId="3C902F57" w14:textId="672EF373"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w:t>
            </w:r>
            <w:r w:rsidR="00642AE9">
              <w:rPr>
                <w:i/>
                <w:snapToGrid w:val="0"/>
                <w:sz w:val="20"/>
                <w:lang w:val="pt-PT"/>
              </w:rPr>
              <w:t>r</w:t>
            </w:r>
            <w:r w:rsidRPr="002606DB">
              <w:rPr>
                <w:i/>
                <w:snapToGrid w:val="0"/>
                <w:sz w:val="20"/>
                <w:lang w:val="pt-PT"/>
              </w:rPr>
              <w:t xml:space="preserve">atio </w:t>
            </w:r>
            <w:r w:rsidRPr="002606DB">
              <w:rPr>
                <w:snapToGrid w:val="0"/>
                <w:sz w:val="20"/>
                <w:lang w:val="pt-PT"/>
              </w:rPr>
              <w:t>(taxa de risco)</w:t>
            </w:r>
          </w:p>
          <w:p w14:paraId="0274FDCB"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p>
        </w:tc>
        <w:tc>
          <w:tcPr>
            <w:tcW w:w="6774" w:type="dxa"/>
            <w:gridSpan w:val="5"/>
          </w:tcPr>
          <w:p w14:paraId="5D38F869" w14:textId="77777777" w:rsidR="00162CE2" w:rsidRPr="002606DB" w:rsidRDefault="00162CE2" w:rsidP="004E23F3">
            <w:pPr>
              <w:pStyle w:val="TableParagraph"/>
              <w:adjustRightInd w:val="0"/>
              <w:snapToGrid w:val="0"/>
              <w:jc w:val="center"/>
              <w:rPr>
                <w:b/>
                <w:snapToGrid w:val="0"/>
                <w:sz w:val="20"/>
                <w:lang w:val="pt-PT"/>
              </w:rPr>
            </w:pPr>
          </w:p>
          <w:p w14:paraId="6D9EBFAB"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0,952 [0,771; 1,176]</w:t>
            </w:r>
          </w:p>
        </w:tc>
      </w:tr>
      <w:tr w:rsidR="00162CE2" w:rsidRPr="002606DB" w14:paraId="5374C09A" w14:textId="77777777" w:rsidTr="007161C5">
        <w:trPr>
          <w:cantSplit/>
        </w:trPr>
        <w:tc>
          <w:tcPr>
            <w:tcW w:w="2518" w:type="dxa"/>
          </w:tcPr>
          <w:p w14:paraId="753E4A4C"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6774" w:type="dxa"/>
            <w:gridSpan w:val="5"/>
          </w:tcPr>
          <w:p w14:paraId="71B54DC0"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0,6479</w:t>
            </w:r>
          </w:p>
        </w:tc>
      </w:tr>
    </w:tbl>
    <w:p w14:paraId="410DA58B" w14:textId="77777777" w:rsidR="00162CE2" w:rsidRPr="002606DB" w:rsidRDefault="00162CE2" w:rsidP="00056F35">
      <w:pPr>
        <w:pStyle w:val="a3"/>
        <w:adjustRightInd w:val="0"/>
        <w:snapToGrid w:val="0"/>
        <w:rPr>
          <w:b/>
          <w:snapToGrid w:val="0"/>
          <w:lang w:val="pt-PT"/>
        </w:rPr>
      </w:pPr>
    </w:p>
    <w:p w14:paraId="439497EB" w14:textId="77777777" w:rsidR="00162CE2" w:rsidRPr="002606DB" w:rsidRDefault="00162CE2" w:rsidP="00056F35">
      <w:pPr>
        <w:pStyle w:val="a3"/>
        <w:adjustRightInd w:val="0"/>
        <w:snapToGrid w:val="0"/>
        <w:rPr>
          <w:snapToGrid w:val="0"/>
          <w:lang w:val="pt-PT"/>
        </w:rPr>
      </w:pPr>
      <w:r w:rsidRPr="002606DB">
        <w:rPr>
          <w:snapToGrid w:val="0"/>
          <w:lang w:val="pt-PT"/>
        </w:rPr>
        <w:t>A análise de subgrupo da PFS dependendo da recorrência desde a última terapêutica com platino é resumida na Tabela 21.</w:t>
      </w:r>
    </w:p>
    <w:p w14:paraId="3694E4B8" w14:textId="77777777" w:rsidR="00162CE2" w:rsidRPr="002606DB" w:rsidRDefault="00162CE2" w:rsidP="00056F35">
      <w:pPr>
        <w:adjustRightInd w:val="0"/>
        <w:snapToGrid w:val="0"/>
        <w:rPr>
          <w:snapToGrid w:val="0"/>
          <w:lang w:val="pt-PT"/>
        </w:rPr>
      </w:pPr>
    </w:p>
    <w:p w14:paraId="0917323A" w14:textId="3004E16C" w:rsidR="00162CE2" w:rsidRPr="002606DB" w:rsidRDefault="003A27CE" w:rsidP="00882296">
      <w:pPr>
        <w:pStyle w:val="2"/>
        <w:adjustRightInd w:val="0"/>
        <w:snapToGrid w:val="0"/>
        <w:ind w:left="1134" w:hanging="1134"/>
        <w:rPr>
          <w:snapToGrid w:val="0"/>
          <w:lang w:val="pt-PT"/>
        </w:rPr>
      </w:pPr>
      <w:r>
        <w:rPr>
          <w:snapToGrid w:val="0"/>
          <w:lang w:val="pt-PT"/>
        </w:rPr>
        <w:br w:type="page"/>
      </w:r>
    </w:p>
    <w:p w14:paraId="59EE8434" w14:textId="57B8C75D" w:rsidR="00162CE2" w:rsidRDefault="00730741" w:rsidP="00730741">
      <w:pPr>
        <w:pStyle w:val="a3"/>
        <w:keepNext/>
        <w:keepLines/>
        <w:widowControl/>
        <w:adjustRightInd w:val="0"/>
        <w:snapToGrid w:val="0"/>
        <w:ind w:left="1134" w:hanging="1134"/>
        <w:rPr>
          <w:rFonts w:eastAsia="맑은 고딕"/>
          <w:b/>
          <w:bCs/>
          <w:snapToGrid w:val="0"/>
          <w:lang w:val="pt-PT" w:eastAsia="ko-KR"/>
        </w:rPr>
      </w:pPr>
      <w:r w:rsidRPr="00730741">
        <w:rPr>
          <w:b/>
          <w:bCs/>
          <w:snapToGrid w:val="0"/>
          <w:lang w:val="pt-PT"/>
        </w:rPr>
        <w:lastRenderedPageBreak/>
        <w:t>Tabela 21</w:t>
      </w:r>
      <w:r w:rsidRPr="00730741">
        <w:rPr>
          <w:b/>
          <w:bCs/>
          <w:snapToGrid w:val="0"/>
          <w:lang w:val="pt-PT"/>
        </w:rPr>
        <w:tab/>
        <w:t>Sobrevivência livre de progressão por tempo desde a última terapêutica com platino até à recorrência</w:t>
      </w:r>
    </w:p>
    <w:p w14:paraId="24C1806D" w14:textId="77777777" w:rsidR="00730741" w:rsidRPr="00730741" w:rsidRDefault="00730741" w:rsidP="00730741">
      <w:pPr>
        <w:pStyle w:val="a3"/>
        <w:adjustRightInd w:val="0"/>
        <w:snapToGrid w:val="0"/>
        <w:ind w:left="1134" w:hanging="1134"/>
        <w:rPr>
          <w:rFonts w:eastAsia="맑은 고딕"/>
          <w:b/>
          <w:bCs/>
          <w:snapToGrid w:val="0"/>
          <w:lang w:val="pt-PT" w:eastAsia="ko-K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2"/>
      </w:tblGrid>
      <w:tr w:rsidR="00162CE2" w:rsidRPr="002606DB" w14:paraId="3D74285A" w14:textId="77777777" w:rsidTr="00882296">
        <w:trPr>
          <w:cantSplit/>
          <w:tblHeader/>
        </w:trPr>
        <w:tc>
          <w:tcPr>
            <w:tcW w:w="3096" w:type="dxa"/>
          </w:tcPr>
          <w:p w14:paraId="2E52B461" w14:textId="77777777" w:rsidR="00162CE2" w:rsidRPr="002606DB" w:rsidRDefault="00162CE2" w:rsidP="00882296">
            <w:pPr>
              <w:pStyle w:val="TableParagraph"/>
              <w:adjustRightInd w:val="0"/>
              <w:snapToGrid w:val="0"/>
              <w:jc w:val="center"/>
              <w:rPr>
                <w:snapToGrid w:val="0"/>
                <w:sz w:val="20"/>
                <w:lang w:val="pt-PT"/>
              </w:rPr>
            </w:pPr>
          </w:p>
        </w:tc>
        <w:tc>
          <w:tcPr>
            <w:tcW w:w="6192" w:type="dxa"/>
            <w:gridSpan w:val="2"/>
          </w:tcPr>
          <w:p w14:paraId="35DEBFE3" w14:textId="0F3E6C21" w:rsidR="00162CE2" w:rsidRPr="00A03389" w:rsidRDefault="00162CE2" w:rsidP="00882296">
            <w:pPr>
              <w:pStyle w:val="TableParagraph"/>
              <w:adjustRightInd w:val="0"/>
              <w:snapToGrid w:val="0"/>
              <w:jc w:val="center"/>
              <w:rPr>
                <w:snapToGrid w:val="0"/>
                <w:sz w:val="20"/>
                <w:lang w:val="pt-PT"/>
              </w:rPr>
            </w:pPr>
            <w:r w:rsidRPr="00A03389">
              <w:rPr>
                <w:snapToGrid w:val="0"/>
                <w:sz w:val="20"/>
                <w:lang w:val="pt-PT"/>
              </w:rPr>
              <w:t xml:space="preserve">Avaliação do </w:t>
            </w:r>
            <w:r w:rsidR="00642AE9" w:rsidRPr="00A03389">
              <w:rPr>
                <w:snapToGrid w:val="0"/>
                <w:sz w:val="20"/>
                <w:lang w:val="pt-PT"/>
              </w:rPr>
              <w:t>i</w:t>
            </w:r>
            <w:r w:rsidRPr="00A03389">
              <w:rPr>
                <w:snapToGrid w:val="0"/>
                <w:sz w:val="20"/>
                <w:lang w:val="pt-PT"/>
              </w:rPr>
              <w:t>nvestigador</w:t>
            </w:r>
          </w:p>
        </w:tc>
      </w:tr>
      <w:tr w:rsidR="00162CE2" w:rsidRPr="002606DB" w14:paraId="1CC4D56E" w14:textId="77777777" w:rsidTr="00882296">
        <w:trPr>
          <w:cantSplit/>
        </w:trPr>
        <w:tc>
          <w:tcPr>
            <w:tcW w:w="3096" w:type="dxa"/>
          </w:tcPr>
          <w:p w14:paraId="2C3CEA13"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Tempo desde a última terapêutica com platino até à recorrência</w:t>
            </w:r>
          </w:p>
        </w:tc>
        <w:tc>
          <w:tcPr>
            <w:tcW w:w="3096" w:type="dxa"/>
          </w:tcPr>
          <w:p w14:paraId="37ECAB87" w14:textId="77777777" w:rsidR="00162CE2" w:rsidRPr="002606DB" w:rsidRDefault="00162CE2" w:rsidP="007D4854">
            <w:pPr>
              <w:pStyle w:val="TableParagraph"/>
              <w:adjustRightInd w:val="0"/>
              <w:snapToGrid w:val="0"/>
              <w:jc w:val="center"/>
              <w:rPr>
                <w:snapToGrid w:val="0"/>
                <w:sz w:val="20"/>
                <w:lang w:val="pt-PT"/>
              </w:rPr>
            </w:pPr>
            <w:r w:rsidRPr="002606DB">
              <w:rPr>
                <w:snapToGrid w:val="0"/>
                <w:sz w:val="20"/>
                <w:lang w:val="pt-PT"/>
              </w:rPr>
              <w:t xml:space="preserve">Placebo + C/G </w:t>
            </w:r>
          </w:p>
          <w:p w14:paraId="0D7D1E9B"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242)</w:t>
            </w:r>
          </w:p>
        </w:tc>
        <w:tc>
          <w:tcPr>
            <w:tcW w:w="3096" w:type="dxa"/>
          </w:tcPr>
          <w:p w14:paraId="140BDB81" w14:textId="72862C96" w:rsidR="00162CE2" w:rsidRPr="002606DB" w:rsidRDefault="00162CE2" w:rsidP="007D4854">
            <w:pPr>
              <w:pStyle w:val="TableParagraph"/>
              <w:adjustRightInd w:val="0"/>
              <w:snapToGrid w:val="0"/>
              <w:jc w:val="center"/>
              <w:rPr>
                <w:snapToGrid w:val="0"/>
                <w:sz w:val="20"/>
                <w:lang w:val="pt-PT"/>
              </w:rPr>
            </w:pPr>
            <w:r w:rsidRPr="002606DB">
              <w:rPr>
                <w:snapToGrid w:val="0"/>
                <w:sz w:val="20"/>
                <w:lang w:val="pt-PT"/>
              </w:rPr>
              <w:t xml:space="preserve">Bevacizumab + C/G </w:t>
            </w:r>
          </w:p>
          <w:p w14:paraId="25F0AA5F"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(n = 242)</w:t>
            </w:r>
          </w:p>
        </w:tc>
      </w:tr>
      <w:tr w:rsidR="00162CE2" w:rsidRPr="002606DB" w14:paraId="75D456C8" w14:textId="77777777" w:rsidTr="00882296">
        <w:trPr>
          <w:cantSplit/>
        </w:trPr>
        <w:tc>
          <w:tcPr>
            <w:tcW w:w="3096" w:type="dxa"/>
          </w:tcPr>
          <w:p w14:paraId="463CAB69"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6 – 12 meses (n = 202)</w:t>
            </w:r>
          </w:p>
        </w:tc>
        <w:tc>
          <w:tcPr>
            <w:tcW w:w="3096" w:type="dxa"/>
          </w:tcPr>
          <w:p w14:paraId="2088BBCE" w14:textId="77777777" w:rsidR="00162CE2" w:rsidRPr="002606DB" w:rsidRDefault="00162CE2" w:rsidP="00056F35">
            <w:pPr>
              <w:pStyle w:val="TableParagraph"/>
              <w:adjustRightInd w:val="0"/>
              <w:snapToGrid w:val="0"/>
              <w:rPr>
                <w:snapToGrid w:val="0"/>
                <w:sz w:val="20"/>
                <w:lang w:val="pt-PT"/>
              </w:rPr>
            </w:pPr>
          </w:p>
        </w:tc>
        <w:tc>
          <w:tcPr>
            <w:tcW w:w="3096" w:type="dxa"/>
          </w:tcPr>
          <w:p w14:paraId="38998D73" w14:textId="77777777" w:rsidR="00162CE2" w:rsidRPr="002606DB" w:rsidRDefault="00162CE2" w:rsidP="00056F35">
            <w:pPr>
              <w:pStyle w:val="TableParagraph"/>
              <w:adjustRightInd w:val="0"/>
              <w:snapToGrid w:val="0"/>
              <w:rPr>
                <w:snapToGrid w:val="0"/>
                <w:sz w:val="20"/>
                <w:lang w:val="pt-PT"/>
              </w:rPr>
            </w:pPr>
          </w:p>
        </w:tc>
      </w:tr>
      <w:tr w:rsidR="00162CE2" w:rsidRPr="002606DB" w14:paraId="71CF0CAB" w14:textId="77777777" w:rsidTr="00882296">
        <w:trPr>
          <w:cantSplit/>
        </w:trPr>
        <w:tc>
          <w:tcPr>
            <w:tcW w:w="3096" w:type="dxa"/>
          </w:tcPr>
          <w:p w14:paraId="6E1226F9"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Mediana</w:t>
            </w:r>
          </w:p>
        </w:tc>
        <w:tc>
          <w:tcPr>
            <w:tcW w:w="3096" w:type="dxa"/>
          </w:tcPr>
          <w:p w14:paraId="496E031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8,0</w:t>
            </w:r>
          </w:p>
        </w:tc>
        <w:tc>
          <w:tcPr>
            <w:tcW w:w="3096" w:type="dxa"/>
          </w:tcPr>
          <w:p w14:paraId="1C793AB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11,9</w:t>
            </w:r>
          </w:p>
        </w:tc>
      </w:tr>
      <w:tr w:rsidR="00162CE2" w:rsidRPr="002606DB" w14:paraId="3322CAB5" w14:textId="77777777" w:rsidTr="00882296">
        <w:trPr>
          <w:cantSplit/>
        </w:trPr>
        <w:tc>
          <w:tcPr>
            <w:tcW w:w="3096" w:type="dxa"/>
          </w:tcPr>
          <w:p w14:paraId="2F25FC2D" w14:textId="68C6F04C"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w:t>
            </w:r>
            <w:r w:rsidR="00EF51D4">
              <w:rPr>
                <w:i/>
                <w:snapToGrid w:val="0"/>
                <w:sz w:val="20"/>
                <w:lang w:val="pt-PT"/>
              </w:rPr>
              <w:t>r</w:t>
            </w:r>
            <w:r w:rsidRPr="002606DB">
              <w:rPr>
                <w:i/>
                <w:snapToGrid w:val="0"/>
                <w:sz w:val="20"/>
                <w:lang w:val="pt-PT"/>
              </w:rPr>
              <w:t xml:space="preserve">atio </w:t>
            </w:r>
            <w:r w:rsidRPr="002606DB">
              <w:rPr>
                <w:snapToGrid w:val="0"/>
                <w:sz w:val="20"/>
                <w:lang w:val="pt-PT"/>
              </w:rPr>
              <w:t xml:space="preserve">(taxa de risco) </w:t>
            </w:r>
          </w:p>
          <w:p w14:paraId="5F480E28"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p>
        </w:tc>
        <w:tc>
          <w:tcPr>
            <w:tcW w:w="6192" w:type="dxa"/>
            <w:gridSpan w:val="2"/>
          </w:tcPr>
          <w:p w14:paraId="6A53FD2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0,41 (0,29 - 0,58)</w:t>
            </w:r>
          </w:p>
        </w:tc>
      </w:tr>
      <w:tr w:rsidR="00162CE2" w:rsidRPr="002606DB" w14:paraId="4A60E386" w14:textId="77777777" w:rsidTr="00882296">
        <w:trPr>
          <w:cantSplit/>
        </w:trPr>
        <w:tc>
          <w:tcPr>
            <w:tcW w:w="3096" w:type="dxa"/>
          </w:tcPr>
          <w:p w14:paraId="58C754EC"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&gt; 12 meses (n = 282)</w:t>
            </w:r>
          </w:p>
        </w:tc>
        <w:tc>
          <w:tcPr>
            <w:tcW w:w="3096" w:type="dxa"/>
          </w:tcPr>
          <w:p w14:paraId="7211D366" w14:textId="77777777" w:rsidR="00162CE2" w:rsidRPr="002606DB" w:rsidRDefault="00162CE2" w:rsidP="00056F35">
            <w:pPr>
              <w:pStyle w:val="TableParagraph"/>
              <w:adjustRightInd w:val="0"/>
              <w:snapToGrid w:val="0"/>
              <w:rPr>
                <w:snapToGrid w:val="0"/>
                <w:sz w:val="20"/>
                <w:lang w:val="pt-PT"/>
              </w:rPr>
            </w:pPr>
          </w:p>
        </w:tc>
        <w:tc>
          <w:tcPr>
            <w:tcW w:w="3096" w:type="dxa"/>
          </w:tcPr>
          <w:p w14:paraId="30E7DEF3" w14:textId="77777777" w:rsidR="00162CE2" w:rsidRPr="002606DB" w:rsidRDefault="00162CE2" w:rsidP="00056F35">
            <w:pPr>
              <w:pStyle w:val="TableParagraph"/>
              <w:adjustRightInd w:val="0"/>
              <w:snapToGrid w:val="0"/>
              <w:rPr>
                <w:snapToGrid w:val="0"/>
                <w:sz w:val="20"/>
                <w:lang w:val="pt-PT"/>
              </w:rPr>
            </w:pPr>
          </w:p>
        </w:tc>
      </w:tr>
      <w:tr w:rsidR="00162CE2" w:rsidRPr="002606DB" w14:paraId="331B91B9" w14:textId="77777777" w:rsidTr="00882296">
        <w:trPr>
          <w:cantSplit/>
        </w:trPr>
        <w:tc>
          <w:tcPr>
            <w:tcW w:w="3096" w:type="dxa"/>
          </w:tcPr>
          <w:p w14:paraId="02055DF4"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Mediana</w:t>
            </w:r>
          </w:p>
        </w:tc>
        <w:tc>
          <w:tcPr>
            <w:tcW w:w="3096" w:type="dxa"/>
          </w:tcPr>
          <w:p w14:paraId="22F21E0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9,7</w:t>
            </w:r>
          </w:p>
        </w:tc>
        <w:tc>
          <w:tcPr>
            <w:tcW w:w="3096" w:type="dxa"/>
          </w:tcPr>
          <w:p w14:paraId="3D77AC5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12,4</w:t>
            </w:r>
          </w:p>
        </w:tc>
      </w:tr>
      <w:tr w:rsidR="00162CE2" w:rsidRPr="002606DB" w14:paraId="13E8995E" w14:textId="77777777" w:rsidTr="00882296">
        <w:trPr>
          <w:cantSplit/>
        </w:trPr>
        <w:tc>
          <w:tcPr>
            <w:tcW w:w="3096" w:type="dxa"/>
          </w:tcPr>
          <w:p w14:paraId="43B2334F" w14:textId="32FD8A4C"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w:t>
            </w:r>
            <w:r w:rsidR="00EF51D4">
              <w:rPr>
                <w:i/>
                <w:snapToGrid w:val="0"/>
                <w:sz w:val="20"/>
                <w:lang w:val="pt-PT"/>
              </w:rPr>
              <w:t>r</w:t>
            </w:r>
            <w:r w:rsidRPr="002606DB">
              <w:rPr>
                <w:i/>
                <w:snapToGrid w:val="0"/>
                <w:sz w:val="20"/>
                <w:lang w:val="pt-PT"/>
              </w:rPr>
              <w:t xml:space="preserve">atio </w:t>
            </w:r>
            <w:r w:rsidRPr="002606DB">
              <w:rPr>
                <w:snapToGrid w:val="0"/>
                <w:sz w:val="20"/>
                <w:lang w:val="pt-PT"/>
              </w:rPr>
              <w:t>(taxa de risco)</w:t>
            </w:r>
          </w:p>
          <w:p w14:paraId="26673405"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(IC 95%)</w:t>
            </w:r>
          </w:p>
        </w:tc>
        <w:tc>
          <w:tcPr>
            <w:tcW w:w="6192" w:type="dxa"/>
            <w:gridSpan w:val="2"/>
          </w:tcPr>
          <w:p w14:paraId="604360E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0,55 (0,41 – 0,73)</w:t>
            </w:r>
          </w:p>
        </w:tc>
      </w:tr>
    </w:tbl>
    <w:p w14:paraId="5D5067C4" w14:textId="77777777" w:rsidR="00162CE2" w:rsidRPr="002606DB" w:rsidRDefault="00162CE2" w:rsidP="00056F35">
      <w:pPr>
        <w:pStyle w:val="a3"/>
        <w:adjustRightInd w:val="0"/>
        <w:snapToGrid w:val="0"/>
        <w:rPr>
          <w:b/>
          <w:snapToGrid w:val="0"/>
          <w:lang w:val="pt-PT"/>
        </w:rPr>
      </w:pPr>
    </w:p>
    <w:p w14:paraId="70A9A204" w14:textId="77777777" w:rsidR="00162CE2" w:rsidRPr="002606DB" w:rsidRDefault="00162CE2" w:rsidP="00056F35">
      <w:pPr>
        <w:adjustRightInd w:val="0"/>
        <w:snapToGrid w:val="0"/>
        <w:rPr>
          <w:i/>
          <w:snapToGrid w:val="0"/>
          <w:lang w:val="pt-PT"/>
        </w:rPr>
      </w:pPr>
      <w:r w:rsidRPr="002606DB">
        <w:rPr>
          <w:i/>
          <w:snapToGrid w:val="0"/>
          <w:lang w:val="pt-PT"/>
        </w:rPr>
        <w:t>GOG-0213</w:t>
      </w:r>
    </w:p>
    <w:p w14:paraId="36B96F29" w14:textId="02C811D2" w:rsidR="00162CE2" w:rsidRPr="002606DB" w:rsidRDefault="00162CE2" w:rsidP="007161C5">
      <w:pPr>
        <w:pStyle w:val="a3"/>
        <w:adjustRightInd w:val="0"/>
        <w:snapToGrid w:val="0"/>
        <w:ind w:right="-138"/>
        <w:rPr>
          <w:snapToGrid w:val="0"/>
          <w:lang w:val="pt-PT"/>
        </w:rPr>
      </w:pPr>
      <w:r w:rsidRPr="002606DB">
        <w:rPr>
          <w:snapToGrid w:val="0"/>
          <w:lang w:val="pt-PT"/>
        </w:rPr>
        <w:t xml:space="preserve">O GOG-0213, um ensaio de fase III aberto, aleatorizado, controlado, estudou a segurança e a eficácia de </w:t>
      </w:r>
      <w:r w:rsidRPr="007155C0">
        <w:rPr>
          <w:color w:val="000000"/>
          <w:lang w:val="pt-PT"/>
        </w:rPr>
        <w:t xml:space="preserve">bevacizumab </w:t>
      </w:r>
      <w:r w:rsidRPr="002606DB">
        <w:rPr>
          <w:snapToGrid w:val="0"/>
          <w:lang w:val="pt-PT"/>
        </w:rPr>
        <w:t xml:space="preserve">no tratamento de doentes com cancro epitelial do ovário, da trompa de Falópio ou cancro peritoneal primário, recorrente, sensível a platina, que não receberam quimioterapia anterior no contexto da recorrência. Não houve critério de exclusão para terapêutica prévia com antiangiogénicos. O estudo avaliou o efeito de associar </w:t>
      </w:r>
      <w:r w:rsidRPr="007155C0">
        <w:rPr>
          <w:color w:val="000000"/>
          <w:lang w:val="pt-PT"/>
        </w:rPr>
        <w:t xml:space="preserve">bevacizumab </w:t>
      </w:r>
      <w:r w:rsidRPr="002606DB">
        <w:rPr>
          <w:snapToGrid w:val="0"/>
          <w:lang w:val="pt-PT"/>
        </w:rPr>
        <w:t xml:space="preserve">a carboplatina + paclitaxel e continuar </w:t>
      </w:r>
      <w:r w:rsidRPr="007155C0">
        <w:rPr>
          <w:color w:val="000000"/>
          <w:lang w:val="pt-PT"/>
        </w:rPr>
        <w:t xml:space="preserve">bevacizumab </w:t>
      </w:r>
      <w:r w:rsidRPr="002606DB">
        <w:rPr>
          <w:snapToGrid w:val="0"/>
          <w:lang w:val="pt-PT"/>
        </w:rPr>
        <w:t>como agente único até progressão da doença ou toxicidade inaceitável, comparativamente a apenas carboplatina + paclitaxel.</w:t>
      </w:r>
    </w:p>
    <w:p w14:paraId="02EA4D8B" w14:textId="77777777" w:rsidR="00162CE2" w:rsidRPr="002606DB" w:rsidRDefault="00162CE2" w:rsidP="00056F35">
      <w:pPr>
        <w:pStyle w:val="a3"/>
        <w:adjustRightInd w:val="0"/>
        <w:snapToGrid w:val="0"/>
        <w:rPr>
          <w:snapToGrid w:val="0"/>
          <w:lang w:val="pt-PT"/>
        </w:rPr>
      </w:pPr>
    </w:p>
    <w:p w14:paraId="71AD7235" w14:textId="2429FD77" w:rsidR="00162CE2" w:rsidRPr="002606DB" w:rsidRDefault="00162CE2" w:rsidP="00056F35">
      <w:pPr>
        <w:pStyle w:val="a3"/>
        <w:adjustRightInd w:val="0"/>
        <w:snapToGrid w:val="0"/>
        <w:rPr>
          <w:snapToGrid w:val="0"/>
          <w:lang w:val="pt-PT"/>
        </w:rPr>
      </w:pPr>
      <w:r w:rsidRPr="002606DB">
        <w:rPr>
          <w:snapToGrid w:val="0"/>
          <w:lang w:val="pt-PT"/>
        </w:rPr>
        <w:t xml:space="preserve">Um total de 673 doentes foram aleatorizadas em proporções iguais nos dois </w:t>
      </w:r>
      <w:r w:rsidR="00B72472">
        <w:rPr>
          <w:snapToGrid w:val="0"/>
          <w:lang w:val="pt-PT"/>
        </w:rPr>
        <w:t>grupo</w:t>
      </w:r>
      <w:r w:rsidRPr="002606DB">
        <w:rPr>
          <w:snapToGrid w:val="0"/>
          <w:lang w:val="pt-PT"/>
        </w:rPr>
        <w:t>s de tratamento seguintes:</w:t>
      </w:r>
    </w:p>
    <w:p w14:paraId="26035B9C" w14:textId="79ED7C7E" w:rsidR="00162CE2" w:rsidRPr="002606DB" w:rsidRDefault="00B72472" w:rsidP="007161C5">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 Carboplatina (AUC5) e paclitaxel (175 mg/m</w:t>
      </w:r>
      <w:r w:rsidR="00162CE2" w:rsidRPr="002606DB">
        <w:rPr>
          <w:snapToGrid w:val="0"/>
          <w:vertAlign w:val="superscript"/>
          <w:lang w:val="pt-PT"/>
        </w:rPr>
        <w:t>2</w:t>
      </w:r>
      <w:r w:rsidR="00162CE2" w:rsidRPr="002606DB">
        <w:rPr>
          <w:snapToGrid w:val="0"/>
          <w:lang w:val="pt-PT"/>
        </w:rPr>
        <w:t xml:space="preserve"> por via intravenosa) a cada 3 semanas durante 6 e até 8 ciclos.</w:t>
      </w:r>
    </w:p>
    <w:p w14:paraId="69DE3FEB" w14:textId="26CDEBCE" w:rsidR="00162CE2" w:rsidRPr="002606DB" w:rsidRDefault="00B72472" w:rsidP="007161C5">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CPB: Carboplatina (AUC5) e paclitaxel (175 mg/m</w:t>
      </w:r>
      <w:r w:rsidR="00162CE2" w:rsidRPr="002606DB">
        <w:rPr>
          <w:snapToGrid w:val="0"/>
          <w:vertAlign w:val="superscript"/>
          <w:lang w:val="pt-PT"/>
        </w:rPr>
        <w:t>2</w:t>
      </w:r>
      <w:r w:rsidR="00162CE2" w:rsidRPr="002606DB">
        <w:rPr>
          <w:snapToGrid w:val="0"/>
          <w:lang w:val="pt-PT"/>
        </w:rPr>
        <w:t xml:space="preserve"> por via intravenosa) e </w:t>
      </w:r>
      <w:r w:rsidR="00162CE2" w:rsidRPr="001C687C">
        <w:rPr>
          <w:color w:val="000000"/>
          <w:lang w:val="pt-PT"/>
        </w:rPr>
        <w:t xml:space="preserve">bevacizumab </w:t>
      </w:r>
      <w:r w:rsidR="00162CE2" w:rsidRPr="002606DB">
        <w:rPr>
          <w:snapToGrid w:val="0"/>
          <w:lang w:val="pt-PT"/>
        </w:rPr>
        <w:t xml:space="preserve">concomitante (15 mg/kg) a cada 3 semanas durante 6 e até 8 ciclos, seguido de </w:t>
      </w:r>
      <w:r w:rsidR="00162CE2" w:rsidRPr="001C687C">
        <w:rPr>
          <w:color w:val="000000"/>
          <w:lang w:val="pt-PT"/>
        </w:rPr>
        <w:t xml:space="preserve">bevacizumab </w:t>
      </w:r>
      <w:r w:rsidR="00162CE2" w:rsidRPr="002606DB">
        <w:rPr>
          <w:snapToGrid w:val="0"/>
          <w:lang w:val="pt-PT"/>
        </w:rPr>
        <w:t>(15 mg/kg a cada 3 semanas) isoladamente até progressão da doença ou toxicidade inaceitável.</w:t>
      </w:r>
    </w:p>
    <w:p w14:paraId="0E4708D2" w14:textId="77777777" w:rsidR="00162CE2" w:rsidRPr="002606DB" w:rsidRDefault="00162CE2" w:rsidP="00056F35">
      <w:pPr>
        <w:pStyle w:val="a3"/>
        <w:adjustRightInd w:val="0"/>
        <w:snapToGrid w:val="0"/>
        <w:rPr>
          <w:snapToGrid w:val="0"/>
          <w:lang w:val="pt-PT"/>
        </w:rPr>
      </w:pPr>
    </w:p>
    <w:p w14:paraId="562A09B9" w14:textId="6609998E" w:rsidR="00162CE2" w:rsidRPr="002606DB" w:rsidRDefault="00162CE2" w:rsidP="00056F35">
      <w:pPr>
        <w:pStyle w:val="a3"/>
        <w:adjustRightInd w:val="0"/>
        <w:snapToGrid w:val="0"/>
        <w:rPr>
          <w:snapToGrid w:val="0"/>
          <w:lang w:val="pt-PT"/>
        </w:rPr>
      </w:pPr>
      <w:r w:rsidRPr="002606DB">
        <w:rPr>
          <w:snapToGrid w:val="0"/>
          <w:lang w:val="pt-PT"/>
        </w:rPr>
        <w:t>A maioria das doentes</w:t>
      </w:r>
      <w:r w:rsidR="000B4830">
        <w:rPr>
          <w:snapToGrid w:val="0"/>
          <w:lang w:val="pt-PT"/>
        </w:rPr>
        <w:t xml:space="preserve">, tanto no </w:t>
      </w:r>
      <w:r w:rsidRPr="002606DB">
        <w:rPr>
          <w:snapToGrid w:val="0"/>
          <w:lang w:val="pt-PT"/>
        </w:rPr>
        <w:t xml:space="preserve"> </w:t>
      </w:r>
      <w:r w:rsidR="00B72472">
        <w:rPr>
          <w:snapToGrid w:val="0"/>
          <w:lang w:val="pt-PT"/>
        </w:rPr>
        <w:t>grupo</w:t>
      </w:r>
      <w:r w:rsidRPr="002606DB">
        <w:rPr>
          <w:snapToGrid w:val="0"/>
          <w:lang w:val="pt-PT"/>
        </w:rPr>
        <w:t xml:space="preserve"> CP (80,4%) </w:t>
      </w:r>
      <w:r w:rsidR="000B4830">
        <w:rPr>
          <w:snapToGrid w:val="0"/>
          <w:lang w:val="pt-PT"/>
        </w:rPr>
        <w:t xml:space="preserve">como no </w:t>
      </w:r>
      <w:r w:rsidRPr="002606DB">
        <w:rPr>
          <w:snapToGrid w:val="0"/>
          <w:lang w:val="pt-PT"/>
        </w:rPr>
        <w:t xml:space="preserve"> </w:t>
      </w:r>
      <w:r w:rsidR="00B72472">
        <w:rPr>
          <w:snapToGrid w:val="0"/>
          <w:lang w:val="pt-PT"/>
        </w:rPr>
        <w:t>grupo</w:t>
      </w:r>
      <w:r w:rsidRPr="002606DB">
        <w:rPr>
          <w:snapToGrid w:val="0"/>
          <w:lang w:val="pt-PT"/>
        </w:rPr>
        <w:t xml:space="preserve"> CPB (78,9%), eram caucasianas. A idade mediana foi de 60,0 anos no </w:t>
      </w:r>
      <w:r w:rsidR="00B72472">
        <w:rPr>
          <w:snapToGrid w:val="0"/>
          <w:lang w:val="pt-PT"/>
        </w:rPr>
        <w:t>grupo</w:t>
      </w:r>
      <w:r w:rsidRPr="002606DB">
        <w:rPr>
          <w:snapToGrid w:val="0"/>
          <w:lang w:val="pt-PT"/>
        </w:rPr>
        <w:t xml:space="preserve"> CP e 59,0 anos no </w:t>
      </w:r>
      <w:r w:rsidR="00B72472">
        <w:rPr>
          <w:snapToGrid w:val="0"/>
          <w:lang w:val="pt-PT"/>
        </w:rPr>
        <w:t>grupo</w:t>
      </w:r>
      <w:r w:rsidRPr="002606DB">
        <w:rPr>
          <w:snapToGrid w:val="0"/>
          <w:lang w:val="pt-PT"/>
        </w:rPr>
        <w:t xml:space="preserve"> CPB. A maioria das doentes (CP: 64,6%; CPB: 68,8%) estavam na categoria de idade &lt; 65 anos. Na linha de base, a maioria das doentes tinha uma PS GOG de 0 (CP: 82,4%; CPB: 80,7%) ou de 1 (CP: 16,7%; CPB: 18,1%), nos dois </w:t>
      </w:r>
      <w:r w:rsidR="00B72472">
        <w:rPr>
          <w:snapToGrid w:val="0"/>
          <w:lang w:val="pt-PT"/>
        </w:rPr>
        <w:t>grupo</w:t>
      </w:r>
      <w:r w:rsidRPr="002606DB">
        <w:rPr>
          <w:snapToGrid w:val="0"/>
          <w:lang w:val="pt-PT"/>
        </w:rPr>
        <w:t xml:space="preserve">s de tratamento. Na linha de base, foi notificada uma PS GOG de 2 em 0,9% das doentes no </w:t>
      </w:r>
      <w:r w:rsidR="00B72472">
        <w:rPr>
          <w:snapToGrid w:val="0"/>
          <w:lang w:val="pt-PT"/>
        </w:rPr>
        <w:t>grupo</w:t>
      </w:r>
      <w:r w:rsidRPr="002606DB">
        <w:rPr>
          <w:snapToGrid w:val="0"/>
          <w:lang w:val="pt-PT"/>
        </w:rPr>
        <w:t xml:space="preserve"> CP e em 1,2% das doentes no </w:t>
      </w:r>
      <w:r w:rsidR="00B72472">
        <w:rPr>
          <w:snapToGrid w:val="0"/>
          <w:lang w:val="pt-PT"/>
        </w:rPr>
        <w:t>grupo</w:t>
      </w:r>
      <w:r w:rsidRPr="002606DB">
        <w:rPr>
          <w:snapToGrid w:val="0"/>
          <w:lang w:val="pt-PT"/>
        </w:rPr>
        <w:t xml:space="preserve"> CPB.</w:t>
      </w:r>
    </w:p>
    <w:p w14:paraId="25C3E935" w14:textId="77777777" w:rsidR="00162CE2" w:rsidRPr="002606DB" w:rsidRDefault="00162CE2" w:rsidP="00056F35">
      <w:pPr>
        <w:pStyle w:val="a3"/>
        <w:adjustRightInd w:val="0"/>
        <w:snapToGrid w:val="0"/>
        <w:rPr>
          <w:snapToGrid w:val="0"/>
          <w:lang w:val="pt-PT"/>
        </w:rPr>
      </w:pPr>
    </w:p>
    <w:p w14:paraId="67D6586A" w14:textId="1DA0E5F8" w:rsidR="00162CE2" w:rsidRPr="002606DB" w:rsidRDefault="00162CE2" w:rsidP="00056F35">
      <w:pPr>
        <w:pStyle w:val="a3"/>
        <w:adjustRightInd w:val="0"/>
        <w:snapToGrid w:val="0"/>
        <w:rPr>
          <w:snapToGrid w:val="0"/>
          <w:lang w:val="pt-PT"/>
        </w:rPr>
      </w:pPr>
      <w:r w:rsidRPr="002606DB">
        <w:rPr>
          <w:snapToGrid w:val="0"/>
          <w:lang w:val="pt-PT"/>
        </w:rPr>
        <w:t>O objetivo primário de eficácia foi a OS. O principal objetivo secundário de eficácia foi a PFS. Os resultados são apresentados na Tabela 22.</w:t>
      </w:r>
    </w:p>
    <w:p w14:paraId="250AC342" w14:textId="77777777" w:rsidR="00162CE2" w:rsidRPr="002606DB" w:rsidRDefault="00162CE2" w:rsidP="00056F35">
      <w:pPr>
        <w:adjustRightInd w:val="0"/>
        <w:snapToGrid w:val="0"/>
        <w:rPr>
          <w:snapToGrid w:val="0"/>
          <w:lang w:val="pt-PT"/>
        </w:rPr>
      </w:pPr>
    </w:p>
    <w:p w14:paraId="28F19245"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22</w:t>
      </w:r>
      <w:r w:rsidRPr="00730741">
        <w:rPr>
          <w:b/>
          <w:bCs/>
          <w:snapToGrid w:val="0"/>
          <w:lang w:val="pt-PT"/>
        </w:rPr>
        <w:tab/>
        <w:t>Resultados de eficácia</w:t>
      </w:r>
      <w:r w:rsidRPr="00730741">
        <w:rPr>
          <w:b/>
          <w:bCs/>
          <w:snapToGrid w:val="0"/>
          <w:vertAlign w:val="superscript"/>
          <w:lang w:val="pt-PT"/>
        </w:rPr>
        <w:t>1,2</w:t>
      </w:r>
      <w:r w:rsidRPr="00730741">
        <w:rPr>
          <w:b/>
          <w:bCs/>
          <w:snapToGrid w:val="0"/>
          <w:lang w:val="pt-PT"/>
        </w:rPr>
        <w:t xml:space="preserve"> do estudo GOG-0213</w:t>
      </w:r>
    </w:p>
    <w:p w14:paraId="56852BFE" w14:textId="77777777" w:rsidR="00162CE2" w:rsidRPr="00730741" w:rsidRDefault="00162CE2" w:rsidP="00056F35">
      <w:pPr>
        <w:pStyle w:val="a3"/>
        <w:adjustRightInd w:val="0"/>
        <w:snapToGrid w:val="0"/>
        <w:rPr>
          <w:b/>
          <w:bCs/>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2285"/>
        <w:gridCol w:w="2615"/>
      </w:tblGrid>
      <w:tr w:rsidR="00162CE2" w:rsidRPr="002606DB" w14:paraId="6348C4C9" w14:textId="77777777" w:rsidTr="00A04960">
        <w:trPr>
          <w:cantSplit/>
        </w:trPr>
        <w:tc>
          <w:tcPr>
            <w:tcW w:w="8915" w:type="dxa"/>
            <w:gridSpan w:val="3"/>
          </w:tcPr>
          <w:p w14:paraId="4DF5A1B0"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Objetivo primário</w:t>
            </w:r>
          </w:p>
        </w:tc>
      </w:tr>
      <w:tr w:rsidR="00162CE2" w:rsidRPr="002606DB" w14:paraId="63FFAE4D" w14:textId="77777777" w:rsidTr="00A04960">
        <w:trPr>
          <w:cantSplit/>
        </w:trPr>
        <w:tc>
          <w:tcPr>
            <w:tcW w:w="4097" w:type="dxa"/>
          </w:tcPr>
          <w:p w14:paraId="79B249C7" w14:textId="40A3274C" w:rsidR="00162CE2" w:rsidRPr="005B1405" w:rsidRDefault="00162CE2" w:rsidP="00056F35">
            <w:pPr>
              <w:pStyle w:val="TableParagraph"/>
              <w:adjustRightInd w:val="0"/>
              <w:snapToGrid w:val="0"/>
              <w:rPr>
                <w:b/>
                <w:snapToGrid w:val="0"/>
                <w:sz w:val="20"/>
                <w:lang w:val="pt-PT"/>
              </w:rPr>
            </w:pPr>
            <w:r w:rsidRPr="001C687C">
              <w:rPr>
                <w:b/>
                <w:snapToGrid w:val="0"/>
                <w:sz w:val="20"/>
                <w:lang w:val="pt-PT"/>
              </w:rPr>
              <w:t>Sobrevivência global</w:t>
            </w:r>
          </w:p>
        </w:tc>
        <w:tc>
          <w:tcPr>
            <w:tcW w:w="2247" w:type="dxa"/>
          </w:tcPr>
          <w:p w14:paraId="47C553AC"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CP</w:t>
            </w:r>
          </w:p>
          <w:p w14:paraId="7827DB67"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(n=336)</w:t>
            </w:r>
          </w:p>
        </w:tc>
        <w:tc>
          <w:tcPr>
            <w:tcW w:w="2571" w:type="dxa"/>
          </w:tcPr>
          <w:p w14:paraId="2C18EA2B"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CPB</w:t>
            </w:r>
          </w:p>
          <w:p w14:paraId="52DC2EE3"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(n=337)</w:t>
            </w:r>
          </w:p>
        </w:tc>
      </w:tr>
      <w:tr w:rsidR="00162CE2" w:rsidRPr="002606DB" w14:paraId="156BB16C" w14:textId="77777777" w:rsidTr="00A04960">
        <w:trPr>
          <w:cantSplit/>
        </w:trPr>
        <w:tc>
          <w:tcPr>
            <w:tcW w:w="4097" w:type="dxa"/>
          </w:tcPr>
          <w:p w14:paraId="62CEB921"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OS mediana (meses)</w:t>
            </w:r>
          </w:p>
        </w:tc>
        <w:tc>
          <w:tcPr>
            <w:tcW w:w="2247" w:type="dxa"/>
          </w:tcPr>
          <w:p w14:paraId="2FA11C2D"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37,3</w:t>
            </w:r>
          </w:p>
        </w:tc>
        <w:tc>
          <w:tcPr>
            <w:tcW w:w="2571" w:type="dxa"/>
          </w:tcPr>
          <w:p w14:paraId="52C2C77C"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42,6</w:t>
            </w:r>
          </w:p>
        </w:tc>
      </w:tr>
      <w:tr w:rsidR="00162CE2" w:rsidRPr="002606DB" w14:paraId="4FEACE1F" w14:textId="77777777" w:rsidTr="00A04960">
        <w:trPr>
          <w:cantSplit/>
        </w:trPr>
        <w:tc>
          <w:tcPr>
            <w:tcW w:w="4097" w:type="dxa"/>
          </w:tcPr>
          <w:p w14:paraId="5F8239C0"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(IC 95%) (eCRF)</w:t>
            </w:r>
            <w:r w:rsidRPr="002606DB">
              <w:rPr>
                <w:snapToGrid w:val="0"/>
                <w:sz w:val="20"/>
                <w:vertAlign w:val="superscript"/>
                <w:lang w:val="pt-PT"/>
              </w:rPr>
              <w:t>a</w:t>
            </w:r>
          </w:p>
        </w:tc>
        <w:tc>
          <w:tcPr>
            <w:tcW w:w="4818" w:type="dxa"/>
            <w:gridSpan w:val="2"/>
          </w:tcPr>
          <w:p w14:paraId="21EE5976"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0,823 [IC: 0,680; 0,996]</w:t>
            </w:r>
          </w:p>
        </w:tc>
      </w:tr>
      <w:tr w:rsidR="00162CE2" w:rsidRPr="002606DB" w14:paraId="6D26CE08" w14:textId="77777777" w:rsidTr="00A04960">
        <w:trPr>
          <w:cantSplit/>
        </w:trPr>
        <w:tc>
          <w:tcPr>
            <w:tcW w:w="4097" w:type="dxa"/>
          </w:tcPr>
          <w:p w14:paraId="7DF25552"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4818" w:type="dxa"/>
            <w:gridSpan w:val="2"/>
          </w:tcPr>
          <w:p w14:paraId="54C037BA"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0,0447</w:t>
            </w:r>
          </w:p>
        </w:tc>
      </w:tr>
      <w:tr w:rsidR="00162CE2" w:rsidRPr="002606DB" w14:paraId="3B5EEEFF" w14:textId="77777777" w:rsidTr="00A04960">
        <w:trPr>
          <w:cantSplit/>
        </w:trPr>
        <w:tc>
          <w:tcPr>
            <w:tcW w:w="4097" w:type="dxa"/>
          </w:tcPr>
          <w:p w14:paraId="04BB0597"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(IC 95%) (caderno de registo)</w:t>
            </w:r>
            <w:r w:rsidRPr="002606DB">
              <w:rPr>
                <w:snapToGrid w:val="0"/>
                <w:sz w:val="20"/>
                <w:vertAlign w:val="superscript"/>
                <w:lang w:val="pt-PT"/>
              </w:rPr>
              <w:t>b</w:t>
            </w:r>
          </w:p>
        </w:tc>
        <w:tc>
          <w:tcPr>
            <w:tcW w:w="4818" w:type="dxa"/>
            <w:gridSpan w:val="2"/>
          </w:tcPr>
          <w:p w14:paraId="15D22EED"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0,838 [IC: 0,693; 1,014]</w:t>
            </w:r>
          </w:p>
        </w:tc>
      </w:tr>
      <w:tr w:rsidR="00162CE2" w:rsidRPr="002606DB" w14:paraId="1B75AB54" w14:textId="77777777" w:rsidTr="00A04960">
        <w:trPr>
          <w:cantSplit/>
        </w:trPr>
        <w:tc>
          <w:tcPr>
            <w:tcW w:w="4097" w:type="dxa"/>
          </w:tcPr>
          <w:p w14:paraId="44038F9E"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4818" w:type="dxa"/>
            <w:gridSpan w:val="2"/>
          </w:tcPr>
          <w:p w14:paraId="57A97837"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0,0683</w:t>
            </w:r>
          </w:p>
        </w:tc>
      </w:tr>
      <w:tr w:rsidR="00162CE2" w:rsidRPr="002606DB" w14:paraId="3736D151" w14:textId="77777777" w:rsidTr="00A04960">
        <w:trPr>
          <w:cantSplit/>
        </w:trPr>
        <w:tc>
          <w:tcPr>
            <w:tcW w:w="8915" w:type="dxa"/>
            <w:gridSpan w:val="3"/>
          </w:tcPr>
          <w:p w14:paraId="0C3A64B9" w14:textId="77777777"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Objetivo secundário</w:t>
            </w:r>
          </w:p>
        </w:tc>
      </w:tr>
      <w:tr w:rsidR="00162CE2" w:rsidRPr="002606DB" w14:paraId="57A3ABA0" w14:textId="77777777" w:rsidTr="007161C5">
        <w:trPr>
          <w:cantSplit/>
        </w:trPr>
        <w:tc>
          <w:tcPr>
            <w:tcW w:w="4097" w:type="dxa"/>
            <w:vAlign w:val="center"/>
          </w:tcPr>
          <w:p w14:paraId="4D08EE89" w14:textId="4E275E08"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Sobrevivência livre de progressão</w:t>
            </w:r>
          </w:p>
        </w:tc>
        <w:tc>
          <w:tcPr>
            <w:tcW w:w="2247" w:type="dxa"/>
          </w:tcPr>
          <w:p w14:paraId="6AB3DD00"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CP</w:t>
            </w:r>
          </w:p>
          <w:p w14:paraId="11324409"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(n=336)</w:t>
            </w:r>
          </w:p>
        </w:tc>
        <w:tc>
          <w:tcPr>
            <w:tcW w:w="2571" w:type="dxa"/>
          </w:tcPr>
          <w:p w14:paraId="5068CA7C"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CPB</w:t>
            </w:r>
          </w:p>
          <w:p w14:paraId="5F2CE03F"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(n=337)</w:t>
            </w:r>
          </w:p>
        </w:tc>
      </w:tr>
      <w:tr w:rsidR="00162CE2" w:rsidRPr="002606DB" w14:paraId="7A6D9EF9" w14:textId="77777777" w:rsidTr="00A04960">
        <w:trPr>
          <w:cantSplit/>
        </w:trPr>
        <w:tc>
          <w:tcPr>
            <w:tcW w:w="4097" w:type="dxa"/>
          </w:tcPr>
          <w:p w14:paraId="3CFBF1B1" w14:textId="43AF54A9"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PFS </w:t>
            </w:r>
            <w:r w:rsidR="00EF51D4">
              <w:rPr>
                <w:snapToGrid w:val="0"/>
                <w:sz w:val="20"/>
                <w:lang w:val="pt-PT"/>
              </w:rPr>
              <w:t>m</w:t>
            </w:r>
            <w:r w:rsidRPr="002606DB">
              <w:rPr>
                <w:snapToGrid w:val="0"/>
                <w:sz w:val="20"/>
                <w:lang w:val="pt-PT"/>
              </w:rPr>
              <w:t>ediana (meses)</w:t>
            </w:r>
          </w:p>
        </w:tc>
        <w:tc>
          <w:tcPr>
            <w:tcW w:w="2247" w:type="dxa"/>
          </w:tcPr>
          <w:p w14:paraId="2873E19A"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10,2</w:t>
            </w:r>
          </w:p>
        </w:tc>
        <w:tc>
          <w:tcPr>
            <w:tcW w:w="2571" w:type="dxa"/>
          </w:tcPr>
          <w:p w14:paraId="00A2A3AC"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13,8</w:t>
            </w:r>
          </w:p>
        </w:tc>
      </w:tr>
      <w:tr w:rsidR="00162CE2" w:rsidRPr="002606DB" w14:paraId="39835BD3" w14:textId="77777777" w:rsidTr="00A04960">
        <w:trPr>
          <w:cantSplit/>
        </w:trPr>
        <w:tc>
          <w:tcPr>
            <w:tcW w:w="4097" w:type="dxa"/>
          </w:tcPr>
          <w:p w14:paraId="5A78BE14"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(IC 95%)</w:t>
            </w:r>
          </w:p>
        </w:tc>
        <w:tc>
          <w:tcPr>
            <w:tcW w:w="4818" w:type="dxa"/>
            <w:gridSpan w:val="2"/>
          </w:tcPr>
          <w:p w14:paraId="6520E1CD"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0,613 [IC: 0,521; 0,721]</w:t>
            </w:r>
          </w:p>
        </w:tc>
      </w:tr>
      <w:tr w:rsidR="00162CE2" w:rsidRPr="002606DB" w14:paraId="516C9A06" w14:textId="77777777" w:rsidTr="00A04960">
        <w:trPr>
          <w:cantSplit/>
        </w:trPr>
        <w:tc>
          <w:tcPr>
            <w:tcW w:w="4097" w:type="dxa"/>
          </w:tcPr>
          <w:p w14:paraId="7F668C22"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w:t>
            </w:r>
          </w:p>
        </w:tc>
        <w:tc>
          <w:tcPr>
            <w:tcW w:w="4818" w:type="dxa"/>
            <w:gridSpan w:val="2"/>
          </w:tcPr>
          <w:p w14:paraId="1C1AF66E" w14:textId="77777777" w:rsidR="00162CE2" w:rsidRPr="002606DB" w:rsidRDefault="00162CE2" w:rsidP="00A04960">
            <w:pPr>
              <w:pStyle w:val="TableParagraph"/>
              <w:adjustRightInd w:val="0"/>
              <w:snapToGrid w:val="0"/>
              <w:jc w:val="center"/>
              <w:rPr>
                <w:snapToGrid w:val="0"/>
                <w:sz w:val="20"/>
                <w:lang w:val="pt-PT"/>
              </w:rPr>
            </w:pPr>
            <w:r w:rsidRPr="002606DB">
              <w:rPr>
                <w:snapToGrid w:val="0"/>
                <w:sz w:val="20"/>
                <w:lang w:val="pt-PT"/>
              </w:rPr>
              <w:t>&lt;0,0001</w:t>
            </w:r>
          </w:p>
        </w:tc>
      </w:tr>
    </w:tbl>
    <w:p w14:paraId="6EC9BAAA" w14:textId="77777777" w:rsidR="007161C5"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Análise final </w:t>
      </w:r>
    </w:p>
    <w:p w14:paraId="7D40C770" w14:textId="574F476D"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lastRenderedPageBreak/>
        <w:t>2</w:t>
      </w:r>
      <w:r w:rsidRPr="002606DB">
        <w:rPr>
          <w:snapToGrid w:val="0"/>
          <w:sz w:val="18"/>
          <w:szCs w:val="18"/>
          <w:lang w:val="pt-PT"/>
        </w:rPr>
        <w:t xml:space="preserve"> As avaliações dos tumores e das respostas foram determinadas pelos investigadores utilizando os critérios GOG RECIST (orientações RECIST revistas (versão 1.1). Eur J Cancer. 2009;45:228Y247).</w:t>
      </w:r>
    </w:p>
    <w:p w14:paraId="2E68FECD" w14:textId="56E591A9" w:rsidR="0028621A"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a</w:t>
      </w:r>
      <w:r w:rsidRPr="002606DB">
        <w:rPr>
          <w:snapToGrid w:val="0"/>
          <w:sz w:val="18"/>
          <w:szCs w:val="18"/>
          <w:lang w:val="pt-PT"/>
        </w:rPr>
        <w:t xml:space="preserve"> O </w:t>
      </w:r>
      <w:r w:rsidRPr="002606DB">
        <w:rPr>
          <w:i/>
          <w:snapToGrid w:val="0"/>
          <w:sz w:val="18"/>
          <w:szCs w:val="18"/>
          <w:lang w:val="pt-PT"/>
        </w:rPr>
        <w:t xml:space="preserve">Hazard ratio </w:t>
      </w:r>
      <w:r w:rsidRPr="002606DB">
        <w:rPr>
          <w:snapToGrid w:val="0"/>
          <w:sz w:val="18"/>
          <w:szCs w:val="18"/>
          <w:lang w:val="pt-PT"/>
        </w:rPr>
        <w:t xml:space="preserve">foi estimado a partir de modelos de risco proporcional Cox estratificados pela duração do intervalo livre de platina antes da inclusão neste estudo por eCRF (caderno de registo de dados eletrónico), e </w:t>
      </w:r>
      <w:r w:rsidRPr="002606DB">
        <w:rPr>
          <w:i/>
          <w:snapToGrid w:val="0"/>
          <w:sz w:val="18"/>
          <w:szCs w:val="18"/>
          <w:lang w:val="pt-PT"/>
        </w:rPr>
        <w:t xml:space="preserve">status </w:t>
      </w:r>
      <w:r w:rsidRPr="002606DB">
        <w:rPr>
          <w:snapToGrid w:val="0"/>
          <w:sz w:val="18"/>
          <w:szCs w:val="18"/>
          <w:lang w:val="pt-PT"/>
        </w:rPr>
        <w:t>de cirurgia de citoredução secundária Sim/Não (Sim= aleatorizadas para serem submetidas a citoredução ou aleatorizadas para não serem submetidas a citorredução; Não= não é uma candidata ou não autorizou a citorredução).</w:t>
      </w:r>
    </w:p>
    <w:p w14:paraId="393020DA" w14:textId="404EE9B8"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b</w:t>
      </w:r>
      <w:r w:rsidRPr="002606DB">
        <w:rPr>
          <w:snapToGrid w:val="0"/>
          <w:sz w:val="18"/>
          <w:szCs w:val="18"/>
          <w:lang w:val="pt-PT"/>
        </w:rPr>
        <w:t xml:space="preserve"> Estratificados pela duração do intervalo livre de tratamento antes da inclusão neste estudo por caderno de registo, e </w:t>
      </w:r>
      <w:r w:rsidRPr="002606DB">
        <w:rPr>
          <w:i/>
          <w:snapToGrid w:val="0"/>
          <w:sz w:val="18"/>
          <w:szCs w:val="18"/>
          <w:lang w:val="pt-PT"/>
        </w:rPr>
        <w:t xml:space="preserve">status </w:t>
      </w:r>
      <w:r w:rsidRPr="002606DB">
        <w:rPr>
          <w:snapToGrid w:val="0"/>
          <w:sz w:val="18"/>
          <w:szCs w:val="18"/>
          <w:lang w:val="pt-PT"/>
        </w:rPr>
        <w:t>de cirurgia de citorredução secundária Sim/Não.</w:t>
      </w:r>
    </w:p>
    <w:p w14:paraId="06692D21" w14:textId="77777777" w:rsidR="00162CE2" w:rsidRPr="002606DB" w:rsidRDefault="00162CE2" w:rsidP="00056F35">
      <w:pPr>
        <w:pStyle w:val="a3"/>
        <w:adjustRightInd w:val="0"/>
        <w:snapToGrid w:val="0"/>
        <w:rPr>
          <w:snapToGrid w:val="0"/>
          <w:lang w:val="pt-PT"/>
        </w:rPr>
      </w:pPr>
    </w:p>
    <w:p w14:paraId="0BF50DFA" w14:textId="66045601" w:rsidR="00162CE2" w:rsidRPr="002606DB" w:rsidRDefault="00162CE2" w:rsidP="00056F35">
      <w:pPr>
        <w:pStyle w:val="a3"/>
        <w:adjustRightInd w:val="0"/>
        <w:snapToGrid w:val="0"/>
        <w:rPr>
          <w:snapToGrid w:val="0"/>
          <w:lang w:val="pt-PT"/>
        </w:rPr>
      </w:pPr>
      <w:r w:rsidRPr="002606DB">
        <w:rPr>
          <w:snapToGrid w:val="0"/>
          <w:lang w:val="pt-PT"/>
        </w:rPr>
        <w:t xml:space="preserve">O ensaio atingiu o seu objetivo primário de melhoria da OS. O tratamento com </w:t>
      </w:r>
      <w:r w:rsidRPr="007155C0">
        <w:rPr>
          <w:color w:val="000000"/>
          <w:lang w:val="pt-PT"/>
        </w:rPr>
        <w:t xml:space="preserve">bevacizumab </w:t>
      </w:r>
      <w:r w:rsidRPr="002606DB">
        <w:rPr>
          <w:snapToGrid w:val="0"/>
          <w:lang w:val="pt-PT"/>
        </w:rPr>
        <w:t xml:space="preserve">a 15 mg/kg a cada 3 semanas em associação com quimioterapia (carboplatina e paclitaxel) durante 6 e até 8 ciclos, seguido de </w:t>
      </w:r>
      <w:r w:rsidRPr="007155C0">
        <w:rPr>
          <w:color w:val="000000"/>
          <w:lang w:val="pt-PT"/>
        </w:rPr>
        <w:t xml:space="preserve">bevacizumab </w:t>
      </w:r>
      <w:r w:rsidRPr="002606DB">
        <w:rPr>
          <w:snapToGrid w:val="0"/>
          <w:lang w:val="pt-PT"/>
        </w:rPr>
        <w:t>até progressão da doença ou toxicidade inaceitável resultou, quando os dados tiveram origem no eCRF, numa melhoria clinicamente importante e estatisticamente significativa da OS comparativamente ao tratamento com apenas carboplatina e paclitaxel.</w:t>
      </w:r>
    </w:p>
    <w:p w14:paraId="5325F222" w14:textId="77777777" w:rsidR="00162CE2" w:rsidRPr="002606DB" w:rsidRDefault="00162CE2" w:rsidP="00056F35">
      <w:pPr>
        <w:pStyle w:val="a3"/>
        <w:adjustRightInd w:val="0"/>
        <w:snapToGrid w:val="0"/>
        <w:rPr>
          <w:snapToGrid w:val="0"/>
          <w:lang w:val="pt-PT"/>
        </w:rPr>
      </w:pPr>
    </w:p>
    <w:p w14:paraId="71C6D2AC" w14:textId="77777777" w:rsidR="00162CE2" w:rsidRPr="002606DB" w:rsidRDefault="00162CE2" w:rsidP="00056F35">
      <w:pPr>
        <w:adjustRightInd w:val="0"/>
        <w:snapToGrid w:val="0"/>
        <w:rPr>
          <w:i/>
          <w:snapToGrid w:val="0"/>
          <w:lang w:val="pt-PT"/>
        </w:rPr>
      </w:pPr>
      <w:r w:rsidRPr="002606DB">
        <w:rPr>
          <w:i/>
          <w:snapToGrid w:val="0"/>
          <w:lang w:val="pt-PT"/>
        </w:rPr>
        <w:t>MO22224</w:t>
      </w:r>
    </w:p>
    <w:p w14:paraId="738D05E5" w14:textId="1954B83A" w:rsidR="00162CE2" w:rsidRPr="002606DB" w:rsidRDefault="00162CE2" w:rsidP="00056F35">
      <w:pPr>
        <w:pStyle w:val="a3"/>
        <w:adjustRightInd w:val="0"/>
        <w:snapToGrid w:val="0"/>
        <w:rPr>
          <w:snapToGrid w:val="0"/>
          <w:lang w:val="pt-PT"/>
        </w:rPr>
      </w:pPr>
      <w:r w:rsidRPr="002606DB">
        <w:rPr>
          <w:snapToGrid w:val="0"/>
          <w:lang w:val="pt-PT"/>
        </w:rPr>
        <w:t xml:space="preserve">O estudo MO22224 avaliou a eficácia e segurança de bevacizumab em associação com quimioterapia no cancro epitelial do ovário, da trompa de Falópio ou cancro peritoneal primário, recorrentes, resistentes a platina. Este estudo foi desenhado como aberto, aleatorizado, de Fase III de dois </w:t>
      </w:r>
      <w:r w:rsidR="00B72472">
        <w:rPr>
          <w:snapToGrid w:val="0"/>
          <w:lang w:val="pt-PT"/>
        </w:rPr>
        <w:t>grupo</w:t>
      </w:r>
      <w:r w:rsidRPr="002606DB">
        <w:rPr>
          <w:snapToGrid w:val="0"/>
          <w:lang w:val="pt-PT"/>
        </w:rPr>
        <w:t xml:space="preserve">s para avaliação de bevacizumab mais quimioterapia (QT+BV) </w:t>
      </w:r>
      <w:r w:rsidRPr="002606DB">
        <w:rPr>
          <w:i/>
          <w:snapToGrid w:val="0"/>
          <w:lang w:val="pt-PT"/>
        </w:rPr>
        <w:t xml:space="preserve">versus </w:t>
      </w:r>
      <w:r w:rsidRPr="002606DB">
        <w:rPr>
          <w:snapToGrid w:val="0"/>
          <w:lang w:val="pt-PT"/>
        </w:rPr>
        <w:t>quimioterapia isolada (QT).</w:t>
      </w:r>
    </w:p>
    <w:p w14:paraId="04281450" w14:textId="77777777" w:rsidR="00162CE2" w:rsidRPr="002606DB" w:rsidRDefault="00162CE2" w:rsidP="00056F35">
      <w:pPr>
        <w:pStyle w:val="a3"/>
        <w:adjustRightInd w:val="0"/>
        <w:snapToGrid w:val="0"/>
        <w:rPr>
          <w:snapToGrid w:val="0"/>
          <w:lang w:val="pt-PT"/>
        </w:rPr>
      </w:pPr>
      <w:r w:rsidRPr="002606DB">
        <w:rPr>
          <w:snapToGrid w:val="0"/>
          <w:lang w:val="pt-PT"/>
        </w:rPr>
        <w:t>Para este estudo, foi recrutado um total de 361 doentes e foi-lhes administrada quimioterapia isolada (paclitaxel, topotecano, ou doxorrubicina lipossómica peguilada (PLD)) ou em associação com bevacizumab:</w:t>
      </w:r>
    </w:p>
    <w:p w14:paraId="109FE6C1" w14:textId="77777777" w:rsidR="00162CE2" w:rsidRPr="002606DB" w:rsidRDefault="00162CE2" w:rsidP="00056F35">
      <w:pPr>
        <w:pStyle w:val="a3"/>
        <w:adjustRightInd w:val="0"/>
        <w:snapToGrid w:val="0"/>
        <w:rPr>
          <w:snapToGrid w:val="0"/>
          <w:lang w:val="pt-PT"/>
        </w:rPr>
      </w:pPr>
    </w:p>
    <w:p w14:paraId="61643B99" w14:textId="622C422A" w:rsidR="00162CE2" w:rsidRPr="002606DB" w:rsidRDefault="00B72472" w:rsidP="007161C5">
      <w:pPr>
        <w:pStyle w:val="a4"/>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de QT (quimioterapia isolada):</w:t>
      </w:r>
    </w:p>
    <w:p w14:paraId="5D4F5358" w14:textId="577EB6D9" w:rsidR="00162CE2" w:rsidRPr="002606DB" w:rsidRDefault="00162CE2" w:rsidP="007161C5">
      <w:pPr>
        <w:pStyle w:val="a4"/>
        <w:numPr>
          <w:ilvl w:val="0"/>
          <w:numId w:val="13"/>
        </w:numPr>
        <w:adjustRightInd w:val="0"/>
        <w:snapToGrid w:val="0"/>
        <w:ind w:left="1134" w:hanging="567"/>
        <w:rPr>
          <w:snapToGrid w:val="0"/>
          <w:lang w:val="pt-PT"/>
        </w:rPr>
      </w:pPr>
      <w:r w:rsidRPr="002606DB">
        <w:rPr>
          <w:snapToGrid w:val="0"/>
          <w:lang w:val="pt-PT"/>
        </w:rPr>
        <w:t>Paclitaxel 80 mg/m</w:t>
      </w:r>
      <w:r w:rsidRPr="002606DB">
        <w:rPr>
          <w:snapToGrid w:val="0"/>
          <w:vertAlign w:val="superscript"/>
          <w:lang w:val="pt-PT"/>
        </w:rPr>
        <w:t>2</w:t>
      </w:r>
      <w:r w:rsidRPr="002606DB">
        <w:rPr>
          <w:snapToGrid w:val="0"/>
          <w:lang w:val="pt-PT"/>
        </w:rPr>
        <w:t xml:space="preserve"> como perfusão intravenosa de 1 hora nos Dias 1, 8, l5 e 22 a cada 4 semanas.</w:t>
      </w:r>
    </w:p>
    <w:p w14:paraId="473D2CFC" w14:textId="4358F727" w:rsidR="00162CE2" w:rsidRPr="002606DB" w:rsidRDefault="00162CE2" w:rsidP="007161C5">
      <w:pPr>
        <w:pStyle w:val="a4"/>
        <w:numPr>
          <w:ilvl w:val="0"/>
          <w:numId w:val="13"/>
        </w:numPr>
        <w:adjustRightInd w:val="0"/>
        <w:snapToGrid w:val="0"/>
        <w:ind w:left="1134" w:hanging="567"/>
        <w:rPr>
          <w:snapToGrid w:val="0"/>
          <w:lang w:val="pt-PT"/>
        </w:rPr>
      </w:pPr>
      <w:r w:rsidRPr="002606DB">
        <w:rPr>
          <w:snapToGrid w:val="0"/>
          <w:lang w:val="pt-PT"/>
        </w:rPr>
        <w:t>Topotecano 4 mg/m</w:t>
      </w:r>
      <w:r w:rsidRPr="002606DB">
        <w:rPr>
          <w:snapToGrid w:val="0"/>
          <w:vertAlign w:val="superscript"/>
          <w:lang w:val="pt-PT"/>
        </w:rPr>
        <w:t>2</w:t>
      </w:r>
      <w:r w:rsidRPr="002606DB">
        <w:rPr>
          <w:snapToGrid w:val="0"/>
          <w:lang w:val="pt-PT"/>
        </w:rPr>
        <w:t xml:space="preserve"> como perfusão intravenosa de 30 minutos nos Dias 1, 8 e l5 a cada 4 semanas. Como alternativa, uma dose de 1,25 mg/m</w:t>
      </w:r>
      <w:r w:rsidRPr="002606DB">
        <w:rPr>
          <w:snapToGrid w:val="0"/>
          <w:vertAlign w:val="superscript"/>
          <w:lang w:val="pt-PT"/>
        </w:rPr>
        <w:t>2</w:t>
      </w:r>
      <w:r w:rsidRPr="002606DB">
        <w:rPr>
          <w:snapToGrid w:val="0"/>
          <w:lang w:val="pt-PT"/>
        </w:rPr>
        <w:t xml:space="preserve"> poderia ser administrada durante 30 minutos nos Dias 1-5 a cada 3 semanas.</w:t>
      </w:r>
    </w:p>
    <w:p w14:paraId="10F3AD78" w14:textId="0D341187" w:rsidR="00162CE2" w:rsidRPr="002606DB" w:rsidRDefault="00162CE2" w:rsidP="007161C5">
      <w:pPr>
        <w:pStyle w:val="a4"/>
        <w:numPr>
          <w:ilvl w:val="0"/>
          <w:numId w:val="13"/>
        </w:numPr>
        <w:adjustRightInd w:val="0"/>
        <w:snapToGrid w:val="0"/>
        <w:ind w:left="1134" w:hanging="567"/>
        <w:rPr>
          <w:snapToGrid w:val="0"/>
          <w:lang w:val="pt-PT"/>
        </w:rPr>
      </w:pPr>
      <w:r w:rsidRPr="002606DB">
        <w:rPr>
          <w:snapToGrid w:val="0"/>
          <w:lang w:val="pt-PT"/>
        </w:rPr>
        <w:t>PLD 40 mg/m</w:t>
      </w:r>
      <w:r w:rsidRPr="002606DB">
        <w:rPr>
          <w:snapToGrid w:val="0"/>
          <w:vertAlign w:val="superscript"/>
          <w:lang w:val="pt-PT"/>
        </w:rPr>
        <w:t>2</w:t>
      </w:r>
      <w:r w:rsidRPr="002606DB">
        <w:rPr>
          <w:snapToGrid w:val="0"/>
          <w:lang w:val="pt-PT"/>
        </w:rPr>
        <w:t xml:space="preserve"> como perfusão intravenosa a 1 mg/min apenas no Dia 1 a cada 4 semanas. Após o Ciclo 1, o medicamento poderia ser administrado como perfusão de 1 hora.</w:t>
      </w:r>
    </w:p>
    <w:p w14:paraId="6F5299FA" w14:textId="56F32ED5" w:rsidR="00162CE2" w:rsidRPr="002606DB" w:rsidRDefault="00B72472" w:rsidP="007161C5">
      <w:pPr>
        <w:pStyle w:val="a4"/>
        <w:keepNext/>
        <w:widowControl/>
        <w:numPr>
          <w:ilvl w:val="0"/>
          <w:numId w:val="13"/>
        </w:numPr>
        <w:adjustRightInd w:val="0"/>
        <w:snapToGrid w:val="0"/>
        <w:ind w:left="567" w:hanging="567"/>
        <w:rPr>
          <w:snapToGrid w:val="0"/>
          <w:lang w:val="pt-PT"/>
        </w:rPr>
      </w:pPr>
      <w:r>
        <w:rPr>
          <w:snapToGrid w:val="0"/>
          <w:lang w:val="pt-PT"/>
        </w:rPr>
        <w:t>Grupo</w:t>
      </w:r>
      <w:r w:rsidR="00162CE2" w:rsidRPr="002606DB">
        <w:rPr>
          <w:snapToGrid w:val="0"/>
          <w:lang w:val="pt-PT"/>
        </w:rPr>
        <w:t xml:space="preserve"> de QT+BV (quimioterapia mais bevacizumab):</w:t>
      </w:r>
    </w:p>
    <w:p w14:paraId="4EE9ED4D" w14:textId="366F8CC2" w:rsidR="00162CE2" w:rsidRPr="002606DB" w:rsidRDefault="00162CE2" w:rsidP="007161C5">
      <w:pPr>
        <w:pStyle w:val="a4"/>
        <w:keepNext/>
        <w:widowControl/>
        <w:numPr>
          <w:ilvl w:val="0"/>
          <w:numId w:val="13"/>
        </w:numPr>
        <w:adjustRightInd w:val="0"/>
        <w:snapToGrid w:val="0"/>
        <w:ind w:left="1134" w:hanging="567"/>
        <w:rPr>
          <w:snapToGrid w:val="0"/>
          <w:lang w:val="pt-PT"/>
        </w:rPr>
      </w:pPr>
      <w:r w:rsidRPr="002606DB">
        <w:rPr>
          <w:snapToGrid w:val="0"/>
          <w:lang w:val="pt-PT"/>
        </w:rPr>
        <w:t>A quimioterapia selecionada foi associada com bevacizumab por via intravenosa a 10 mg/kg a cada 2 semanas (ou bevacizumab a 15 mg/kg a cada 3 semanas, se usado em associação com o topotecano a 1,25 mg/m</w:t>
      </w:r>
      <w:r w:rsidRPr="002606DB">
        <w:rPr>
          <w:snapToGrid w:val="0"/>
          <w:vertAlign w:val="superscript"/>
          <w:lang w:val="pt-PT"/>
        </w:rPr>
        <w:t>2</w:t>
      </w:r>
      <w:r w:rsidRPr="002606DB">
        <w:rPr>
          <w:snapToGrid w:val="0"/>
          <w:lang w:val="pt-PT"/>
        </w:rPr>
        <w:t xml:space="preserve"> nos Dias 1-5, a cada 3 semanas).</w:t>
      </w:r>
    </w:p>
    <w:p w14:paraId="7F4188F2" w14:textId="77777777" w:rsidR="00162CE2" w:rsidRPr="002606DB" w:rsidRDefault="00162CE2" w:rsidP="00056F35">
      <w:pPr>
        <w:pStyle w:val="a3"/>
        <w:adjustRightInd w:val="0"/>
        <w:snapToGrid w:val="0"/>
        <w:rPr>
          <w:snapToGrid w:val="0"/>
          <w:lang w:val="pt-PT"/>
        </w:rPr>
      </w:pPr>
    </w:p>
    <w:p w14:paraId="102FB449" w14:textId="59DE2E58" w:rsidR="00162CE2" w:rsidRPr="002606DB" w:rsidRDefault="00162CE2" w:rsidP="006C6764">
      <w:pPr>
        <w:pStyle w:val="a3"/>
        <w:adjustRightInd w:val="0"/>
        <w:snapToGrid w:val="0"/>
        <w:rPr>
          <w:snapToGrid w:val="0"/>
          <w:lang w:val="pt-PT"/>
        </w:rPr>
      </w:pPr>
      <w:r w:rsidRPr="002606DB">
        <w:rPr>
          <w:snapToGrid w:val="0"/>
          <w:lang w:val="pt-PT"/>
        </w:rPr>
        <w:t xml:space="preserve">Os doentes elegíveis tinham cancro epitelial do ovário, da trompa de Falópio ou cancro peritoneal primário que progrediram em &lt;6 meses com a terapêutica prévia de platina que consistia, no mínimo, em 4 ciclos de terapêutica com platina. Os doentes devem ter uma esperança de vida de </w:t>
      </w:r>
      <w:r w:rsidRPr="002606DB">
        <w:rPr>
          <w:rFonts w:ascii="Symbol" w:hAnsi="Symbol"/>
          <w:snapToGrid w:val="0"/>
          <w:lang w:val="pt-PT"/>
        </w:rPr>
        <w:t></w:t>
      </w:r>
      <w:r w:rsidRPr="002606DB">
        <w:rPr>
          <w:snapToGrid w:val="0"/>
          <w:lang w:val="pt-PT"/>
        </w:rPr>
        <w:t xml:space="preserve"> 12 semanas e sem radioterapia prévia à pélvis ou abdómen. A maioria dos doentes encontrava-se no est</w:t>
      </w:r>
      <w:r w:rsidR="00241B75" w:rsidRPr="00241B75">
        <w:rPr>
          <w:rFonts w:hint="eastAsia"/>
          <w:snapToGrid w:val="0"/>
          <w:lang w:val="pt-PT"/>
        </w:rPr>
        <w:t>á</w:t>
      </w:r>
      <w:r w:rsidRPr="002606DB">
        <w:rPr>
          <w:snapToGrid w:val="0"/>
          <w:lang w:val="pt-PT"/>
        </w:rPr>
        <w:t>dio FIGO IIIC ou no est</w:t>
      </w:r>
      <w:r w:rsidR="00241B75" w:rsidRPr="00241B75">
        <w:rPr>
          <w:rFonts w:hint="eastAsia"/>
          <w:snapToGrid w:val="0"/>
          <w:lang w:val="pt-PT"/>
        </w:rPr>
        <w:t>á</w:t>
      </w:r>
      <w:r w:rsidRPr="002606DB">
        <w:rPr>
          <w:snapToGrid w:val="0"/>
          <w:lang w:val="pt-PT"/>
        </w:rPr>
        <w:t xml:space="preserve">dio IV. A maioria dos doentes em ambos os </w:t>
      </w:r>
      <w:r w:rsidR="00B72472">
        <w:rPr>
          <w:snapToGrid w:val="0"/>
          <w:lang w:val="pt-PT"/>
        </w:rPr>
        <w:t>grupo</w:t>
      </w:r>
      <w:r w:rsidRPr="002606DB">
        <w:rPr>
          <w:snapToGrid w:val="0"/>
          <w:lang w:val="pt-PT"/>
        </w:rPr>
        <w:t xml:space="preserve">s apresentavam uma </w:t>
      </w:r>
      <w:r w:rsidRPr="002606DB">
        <w:rPr>
          <w:i/>
          <w:snapToGrid w:val="0"/>
          <w:lang w:val="pt-PT"/>
        </w:rPr>
        <w:t xml:space="preserve">performance status </w:t>
      </w:r>
      <w:r w:rsidRPr="002606DB">
        <w:rPr>
          <w:snapToGrid w:val="0"/>
          <w:lang w:val="pt-PT"/>
        </w:rPr>
        <w:t xml:space="preserve">ECOG (PS) de 0 (QT: 56,4% </w:t>
      </w:r>
      <w:r w:rsidRPr="002606DB">
        <w:rPr>
          <w:i/>
          <w:snapToGrid w:val="0"/>
          <w:lang w:val="pt-PT"/>
        </w:rPr>
        <w:t xml:space="preserve">vs. </w:t>
      </w:r>
      <w:r w:rsidRPr="002606DB">
        <w:rPr>
          <w:snapToGrid w:val="0"/>
          <w:lang w:val="pt-PT"/>
        </w:rPr>
        <w:t xml:space="preserve">QT + BV: 61,2%). A percentagem de doentes com um ECOG PS de 1 ou </w:t>
      </w:r>
      <w:r w:rsidRPr="002606DB">
        <w:rPr>
          <w:rFonts w:ascii="Symbol" w:hAnsi="Symbol"/>
          <w:snapToGrid w:val="0"/>
          <w:lang w:val="pt-PT"/>
        </w:rPr>
        <w:t></w:t>
      </w:r>
      <w:r w:rsidRPr="002606DB">
        <w:rPr>
          <w:snapToGrid w:val="0"/>
          <w:lang w:val="pt-PT"/>
        </w:rPr>
        <w:t xml:space="preserve"> 2 foi de 38,7% e de 5,0% no </w:t>
      </w:r>
      <w:r w:rsidR="00B72472">
        <w:rPr>
          <w:snapToGrid w:val="0"/>
          <w:lang w:val="pt-PT"/>
        </w:rPr>
        <w:t>grupo</w:t>
      </w:r>
      <w:r w:rsidRPr="002606DB">
        <w:rPr>
          <w:snapToGrid w:val="0"/>
          <w:lang w:val="pt-PT"/>
        </w:rPr>
        <w:t xml:space="preserve"> de QT, e de 29,8% e de 9,0% no </w:t>
      </w:r>
      <w:r w:rsidR="00B72472">
        <w:rPr>
          <w:snapToGrid w:val="0"/>
          <w:lang w:val="pt-PT"/>
        </w:rPr>
        <w:t>grupo</w:t>
      </w:r>
      <w:r w:rsidRPr="002606DB">
        <w:rPr>
          <w:snapToGrid w:val="0"/>
          <w:lang w:val="pt-PT"/>
        </w:rPr>
        <w:t xml:space="preserve"> de QT+BV. A informação sobre a raça existe para 29,3% dos doentes e quase todos os doentes eram brancos. A idade mediana dos doentes foi de 61,0 anos (intervalo: 25-84). Um total de 16 doentes (4,4%) tinham &gt; 75 anos de idade. As taxas globais de descontinuação devido a acontecimentos adversos foi de 8,8% no </w:t>
      </w:r>
      <w:r w:rsidR="00B72472">
        <w:rPr>
          <w:snapToGrid w:val="0"/>
          <w:lang w:val="pt-PT"/>
        </w:rPr>
        <w:t>grupo</w:t>
      </w:r>
      <w:r w:rsidRPr="002606DB">
        <w:rPr>
          <w:snapToGrid w:val="0"/>
          <w:lang w:val="pt-PT"/>
        </w:rPr>
        <w:t xml:space="preserve"> de QT e de 43,6% no </w:t>
      </w:r>
      <w:r w:rsidR="00B72472">
        <w:rPr>
          <w:snapToGrid w:val="0"/>
          <w:lang w:val="pt-PT"/>
        </w:rPr>
        <w:t>grupo</w:t>
      </w:r>
      <w:r w:rsidRPr="002606DB">
        <w:rPr>
          <w:snapToGrid w:val="0"/>
          <w:lang w:val="pt-PT"/>
        </w:rPr>
        <w:t xml:space="preserve"> de QT+BV (a maioria devido a acontecimentos adversos de Grau 2-3) e o tempo mediano de descontinuação no </w:t>
      </w:r>
      <w:r w:rsidR="00B72472">
        <w:rPr>
          <w:snapToGrid w:val="0"/>
          <w:lang w:val="pt-PT"/>
        </w:rPr>
        <w:t>grupo</w:t>
      </w:r>
      <w:r w:rsidRPr="002606DB">
        <w:rPr>
          <w:snapToGrid w:val="0"/>
          <w:lang w:val="pt-PT"/>
        </w:rPr>
        <w:t xml:space="preserve"> de QT+BV foi de 5,2 meses comparativamente a 2,4 meses no </w:t>
      </w:r>
      <w:r w:rsidR="00B72472">
        <w:rPr>
          <w:snapToGrid w:val="0"/>
          <w:lang w:val="pt-PT"/>
        </w:rPr>
        <w:t>grupo</w:t>
      </w:r>
      <w:r w:rsidRPr="002606DB">
        <w:rPr>
          <w:snapToGrid w:val="0"/>
          <w:lang w:val="pt-PT"/>
        </w:rPr>
        <w:t xml:space="preserve"> de QT. As taxas de descontinuação devido a acontecimentos adversos no subgrupo de doentes &gt; 65 anos de idade foi de 8,8% no </w:t>
      </w:r>
      <w:r w:rsidR="00B72472">
        <w:rPr>
          <w:snapToGrid w:val="0"/>
          <w:lang w:val="pt-PT"/>
        </w:rPr>
        <w:t>grupo</w:t>
      </w:r>
      <w:r w:rsidRPr="002606DB">
        <w:rPr>
          <w:snapToGrid w:val="0"/>
          <w:lang w:val="pt-PT"/>
        </w:rPr>
        <w:t xml:space="preserve"> de QT e de 50,0% no </w:t>
      </w:r>
      <w:r w:rsidR="00B72472">
        <w:rPr>
          <w:snapToGrid w:val="0"/>
          <w:lang w:val="pt-PT"/>
        </w:rPr>
        <w:t>grupo</w:t>
      </w:r>
      <w:r w:rsidRPr="002606DB">
        <w:rPr>
          <w:snapToGrid w:val="0"/>
          <w:lang w:val="pt-PT"/>
        </w:rPr>
        <w:t xml:space="preserve"> de QT + BV. A taxa de risco (HR) da PFS foi de 0,47 (IC 95%: 0,35; 0,62) e de 0,45 (IC 95%: 0,31; 0,67) para os subgrupos &lt; 65 e </w:t>
      </w:r>
      <w:r w:rsidRPr="002606DB">
        <w:rPr>
          <w:rFonts w:ascii="Symbol" w:hAnsi="Symbol"/>
          <w:snapToGrid w:val="0"/>
          <w:lang w:val="pt-PT"/>
        </w:rPr>
        <w:t></w:t>
      </w:r>
      <w:r w:rsidRPr="002606DB">
        <w:rPr>
          <w:snapToGrid w:val="0"/>
          <w:lang w:val="pt-PT"/>
        </w:rPr>
        <w:t xml:space="preserve"> 65, respetivamente.</w:t>
      </w:r>
    </w:p>
    <w:p w14:paraId="11241E7A" w14:textId="384FA313" w:rsidR="00162CE2" w:rsidRPr="002606DB" w:rsidRDefault="00162CE2" w:rsidP="00056F35">
      <w:pPr>
        <w:pStyle w:val="a3"/>
        <w:adjustRightInd w:val="0"/>
        <w:snapToGrid w:val="0"/>
        <w:rPr>
          <w:snapToGrid w:val="0"/>
          <w:lang w:val="pt-PT"/>
        </w:rPr>
      </w:pPr>
      <w:r w:rsidRPr="002606DB">
        <w:rPr>
          <w:snapToGrid w:val="0"/>
          <w:lang w:val="pt-PT"/>
        </w:rPr>
        <w:t xml:space="preserve">O objetivo primário foi a sobrevivência livre de progressão, e os objetivos secundários incluíam a taxa de resposta objetiva e a </w:t>
      </w:r>
      <w:r w:rsidR="005B1405">
        <w:rPr>
          <w:snapToGrid w:val="0"/>
          <w:lang w:val="pt-PT"/>
        </w:rPr>
        <w:t>OS</w:t>
      </w:r>
      <w:r w:rsidRPr="002606DB">
        <w:rPr>
          <w:snapToGrid w:val="0"/>
          <w:lang w:val="pt-PT"/>
        </w:rPr>
        <w:t>. Os resultados estão apresentados na Tabela 23.</w:t>
      </w:r>
    </w:p>
    <w:p w14:paraId="31B1EC83" w14:textId="77777777" w:rsidR="00162CE2" w:rsidRPr="002606DB" w:rsidRDefault="00162CE2" w:rsidP="00056F35">
      <w:pPr>
        <w:adjustRightInd w:val="0"/>
        <w:snapToGrid w:val="0"/>
        <w:rPr>
          <w:snapToGrid w:val="0"/>
          <w:lang w:val="pt-PT"/>
        </w:rPr>
      </w:pPr>
    </w:p>
    <w:p w14:paraId="11CB2E4A" w14:textId="3CBCFE82" w:rsidR="00162CE2" w:rsidRPr="00730741" w:rsidRDefault="003A27CE"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23</w:t>
      </w:r>
      <w:r w:rsidR="00730741" w:rsidRPr="00730741">
        <w:rPr>
          <w:rFonts w:eastAsia="맑은 고딕"/>
          <w:b/>
          <w:bCs/>
          <w:snapToGrid w:val="0"/>
          <w:lang w:val="pt-PT" w:eastAsia="ko-KR"/>
        </w:rPr>
        <w:tab/>
      </w:r>
      <w:r w:rsidR="00162CE2" w:rsidRPr="00730741">
        <w:rPr>
          <w:b/>
          <w:bCs/>
          <w:snapToGrid w:val="0"/>
          <w:lang w:val="pt-PT"/>
        </w:rPr>
        <w:t xml:space="preserve">Resultados de </w:t>
      </w:r>
      <w:r w:rsidR="00A55B18" w:rsidRPr="00730741">
        <w:rPr>
          <w:b/>
          <w:bCs/>
          <w:snapToGrid w:val="0"/>
          <w:lang w:val="pt-PT"/>
        </w:rPr>
        <w:t xml:space="preserve">eficácia </w:t>
      </w:r>
      <w:r w:rsidR="00162CE2" w:rsidRPr="00730741">
        <w:rPr>
          <w:b/>
          <w:bCs/>
          <w:snapToGrid w:val="0"/>
          <w:lang w:val="pt-PT"/>
        </w:rPr>
        <w:t xml:space="preserve">do </w:t>
      </w:r>
      <w:r w:rsidR="00A55B18" w:rsidRPr="00730741">
        <w:rPr>
          <w:b/>
          <w:bCs/>
          <w:snapToGrid w:val="0"/>
          <w:lang w:val="pt-PT"/>
        </w:rPr>
        <w:t xml:space="preserve">estudo </w:t>
      </w:r>
      <w:r w:rsidR="00162CE2" w:rsidRPr="00730741">
        <w:rPr>
          <w:b/>
          <w:bCs/>
          <w:snapToGrid w:val="0"/>
          <w:lang w:val="pt-PT"/>
        </w:rPr>
        <w:t>MO22224</w:t>
      </w:r>
    </w:p>
    <w:p w14:paraId="3ABB9869" w14:textId="77777777" w:rsidR="00162CE2" w:rsidRPr="002606DB" w:rsidRDefault="00162CE2" w:rsidP="00056F35">
      <w:pPr>
        <w:pStyle w:val="a3"/>
        <w:adjustRightInd w:val="0"/>
        <w:snapToGrid w:val="0"/>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0"/>
        <w:gridCol w:w="2078"/>
        <w:gridCol w:w="2528"/>
      </w:tblGrid>
      <w:tr w:rsidR="00162CE2" w:rsidRPr="002606DB" w14:paraId="37BF0803" w14:textId="77777777" w:rsidTr="006C6764">
        <w:trPr>
          <w:cantSplit/>
        </w:trPr>
        <w:tc>
          <w:tcPr>
            <w:tcW w:w="9144" w:type="dxa"/>
            <w:gridSpan w:val="3"/>
          </w:tcPr>
          <w:p w14:paraId="49D2D194" w14:textId="274F5B73" w:rsidR="00162CE2" w:rsidRPr="002606DB" w:rsidRDefault="00162CE2" w:rsidP="00056F35">
            <w:pPr>
              <w:pStyle w:val="TableParagraph"/>
              <w:adjustRightInd w:val="0"/>
              <w:snapToGrid w:val="0"/>
              <w:jc w:val="center"/>
              <w:rPr>
                <w:snapToGrid w:val="0"/>
                <w:sz w:val="20"/>
                <w:lang w:val="pt-PT"/>
              </w:rPr>
            </w:pPr>
            <w:r w:rsidRPr="002606DB">
              <w:rPr>
                <w:snapToGrid w:val="0"/>
                <w:sz w:val="20"/>
                <w:u w:val="single"/>
                <w:lang w:val="pt-PT"/>
              </w:rPr>
              <w:t xml:space="preserve">Objetivo </w:t>
            </w:r>
            <w:r w:rsidR="00B5283C">
              <w:rPr>
                <w:snapToGrid w:val="0"/>
                <w:sz w:val="20"/>
                <w:u w:val="single"/>
                <w:lang w:val="pt-PT"/>
              </w:rPr>
              <w:t>p</w:t>
            </w:r>
            <w:r w:rsidRPr="002606DB">
              <w:rPr>
                <w:snapToGrid w:val="0"/>
                <w:sz w:val="20"/>
                <w:u w:val="single"/>
                <w:lang w:val="pt-PT"/>
              </w:rPr>
              <w:t>rimário</w:t>
            </w:r>
          </w:p>
        </w:tc>
      </w:tr>
      <w:tr w:rsidR="00162CE2" w:rsidRPr="002606DB" w14:paraId="2D3B2B42" w14:textId="77777777" w:rsidTr="006C6764">
        <w:trPr>
          <w:cantSplit/>
        </w:trPr>
        <w:tc>
          <w:tcPr>
            <w:tcW w:w="9144" w:type="dxa"/>
            <w:gridSpan w:val="3"/>
          </w:tcPr>
          <w:p w14:paraId="36A32E7C" w14:textId="4493B43C" w:rsidR="00162CE2" w:rsidRPr="00A03389" w:rsidRDefault="00162CE2" w:rsidP="00056F35">
            <w:pPr>
              <w:pStyle w:val="TableParagraph"/>
              <w:adjustRightInd w:val="0"/>
              <w:snapToGrid w:val="0"/>
              <w:rPr>
                <w:b/>
                <w:bCs/>
                <w:snapToGrid w:val="0"/>
                <w:sz w:val="20"/>
                <w:lang w:val="pt-PT"/>
              </w:rPr>
            </w:pPr>
            <w:r w:rsidRPr="00A03389">
              <w:rPr>
                <w:b/>
                <w:bCs/>
                <w:snapToGrid w:val="0"/>
                <w:sz w:val="20"/>
                <w:lang w:val="pt-PT"/>
              </w:rPr>
              <w:t xml:space="preserve">Sobrevivência </w:t>
            </w:r>
            <w:r w:rsidR="00B5283C" w:rsidRPr="00A03389">
              <w:rPr>
                <w:b/>
                <w:bCs/>
                <w:snapToGrid w:val="0"/>
                <w:sz w:val="20"/>
                <w:lang w:val="pt-PT"/>
              </w:rPr>
              <w:t>l</w:t>
            </w:r>
            <w:r w:rsidRPr="00A03389">
              <w:rPr>
                <w:b/>
                <w:bCs/>
                <w:snapToGrid w:val="0"/>
                <w:sz w:val="20"/>
                <w:lang w:val="pt-PT"/>
              </w:rPr>
              <w:t xml:space="preserve">ivre de </w:t>
            </w:r>
            <w:r w:rsidR="00B5283C" w:rsidRPr="00A03389">
              <w:rPr>
                <w:b/>
                <w:bCs/>
                <w:snapToGrid w:val="0"/>
                <w:sz w:val="20"/>
                <w:lang w:val="pt-PT"/>
              </w:rPr>
              <w:t>p</w:t>
            </w:r>
            <w:r w:rsidRPr="00A03389">
              <w:rPr>
                <w:b/>
                <w:bCs/>
                <w:snapToGrid w:val="0"/>
                <w:sz w:val="20"/>
                <w:lang w:val="pt-PT"/>
              </w:rPr>
              <w:t>rogressão*</w:t>
            </w:r>
          </w:p>
        </w:tc>
      </w:tr>
      <w:tr w:rsidR="00162CE2" w:rsidRPr="002606DB" w14:paraId="1064DF8C" w14:textId="77777777" w:rsidTr="006C6764">
        <w:trPr>
          <w:cantSplit/>
        </w:trPr>
        <w:tc>
          <w:tcPr>
            <w:tcW w:w="4500" w:type="dxa"/>
          </w:tcPr>
          <w:p w14:paraId="51F73F25" w14:textId="77777777" w:rsidR="00162CE2" w:rsidRPr="002606DB" w:rsidRDefault="00162CE2" w:rsidP="00056F35">
            <w:pPr>
              <w:pStyle w:val="TableParagraph"/>
              <w:adjustRightInd w:val="0"/>
              <w:snapToGrid w:val="0"/>
              <w:rPr>
                <w:snapToGrid w:val="0"/>
                <w:sz w:val="20"/>
                <w:lang w:val="pt-PT"/>
              </w:rPr>
            </w:pPr>
          </w:p>
        </w:tc>
        <w:tc>
          <w:tcPr>
            <w:tcW w:w="2095" w:type="dxa"/>
          </w:tcPr>
          <w:p w14:paraId="1095ED46" w14:textId="39A044CD" w:rsidR="00162CE2" w:rsidRPr="002606DB" w:rsidRDefault="00162CE2" w:rsidP="0091728F">
            <w:pPr>
              <w:pStyle w:val="TableParagraph"/>
              <w:adjustRightInd w:val="0"/>
              <w:snapToGrid w:val="0"/>
              <w:jc w:val="center"/>
              <w:rPr>
                <w:snapToGrid w:val="0"/>
                <w:sz w:val="20"/>
                <w:lang w:val="pt-PT"/>
              </w:rPr>
            </w:pPr>
            <w:r w:rsidRPr="002606DB">
              <w:rPr>
                <w:snapToGrid w:val="0"/>
                <w:sz w:val="20"/>
                <w:lang w:val="pt-PT"/>
              </w:rPr>
              <w:t>QT</w:t>
            </w:r>
            <w:r w:rsidR="005B1405">
              <w:rPr>
                <w:snapToGrid w:val="0"/>
                <w:sz w:val="20"/>
                <w:lang w:val="pt-PT"/>
              </w:rPr>
              <w:t xml:space="preserve"> </w:t>
            </w:r>
            <w:r w:rsidRPr="002606DB">
              <w:rPr>
                <w:snapToGrid w:val="0"/>
                <w:sz w:val="20"/>
                <w:lang w:val="pt-PT"/>
              </w:rPr>
              <w:t>(n = 182)</w:t>
            </w:r>
          </w:p>
        </w:tc>
        <w:tc>
          <w:tcPr>
            <w:tcW w:w="2549" w:type="dxa"/>
          </w:tcPr>
          <w:p w14:paraId="6B720634" w14:textId="034EF991" w:rsidR="00162CE2" w:rsidRPr="002606DB" w:rsidRDefault="00162CE2" w:rsidP="0091728F">
            <w:pPr>
              <w:pStyle w:val="TableParagraph"/>
              <w:adjustRightInd w:val="0"/>
              <w:snapToGrid w:val="0"/>
              <w:jc w:val="center"/>
              <w:rPr>
                <w:snapToGrid w:val="0"/>
                <w:sz w:val="20"/>
                <w:lang w:val="pt-PT"/>
              </w:rPr>
            </w:pPr>
            <w:r w:rsidRPr="002606DB">
              <w:rPr>
                <w:snapToGrid w:val="0"/>
                <w:sz w:val="20"/>
                <w:lang w:val="pt-PT"/>
              </w:rPr>
              <w:t>QT+BV (n = 179)</w:t>
            </w:r>
          </w:p>
        </w:tc>
      </w:tr>
      <w:tr w:rsidR="00162CE2" w:rsidRPr="002606DB" w14:paraId="445612DF" w14:textId="77777777" w:rsidTr="006C6764">
        <w:trPr>
          <w:cantSplit/>
        </w:trPr>
        <w:tc>
          <w:tcPr>
            <w:tcW w:w="4500" w:type="dxa"/>
          </w:tcPr>
          <w:p w14:paraId="08E0ABA5"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Mediana (meses)</w:t>
            </w:r>
          </w:p>
        </w:tc>
        <w:tc>
          <w:tcPr>
            <w:tcW w:w="2095" w:type="dxa"/>
          </w:tcPr>
          <w:p w14:paraId="2E258BBF"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3,4</w:t>
            </w:r>
          </w:p>
        </w:tc>
        <w:tc>
          <w:tcPr>
            <w:tcW w:w="2549" w:type="dxa"/>
          </w:tcPr>
          <w:p w14:paraId="716ED7B4"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6,7</w:t>
            </w:r>
          </w:p>
        </w:tc>
      </w:tr>
      <w:tr w:rsidR="00162CE2" w:rsidRPr="002606DB" w14:paraId="395F2DE8" w14:textId="77777777" w:rsidTr="006C6764">
        <w:trPr>
          <w:cantSplit/>
        </w:trPr>
        <w:tc>
          <w:tcPr>
            <w:tcW w:w="4500" w:type="dxa"/>
          </w:tcPr>
          <w:p w14:paraId="351EBFDE" w14:textId="77777777" w:rsidR="00162CE2" w:rsidRPr="002606DB" w:rsidRDefault="00162CE2" w:rsidP="004E23F3">
            <w:pPr>
              <w:pStyle w:val="TableParagraph"/>
              <w:adjustRightInd w:val="0"/>
              <w:snapToGrid w:val="0"/>
              <w:ind w:left="27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4644" w:type="dxa"/>
            <w:gridSpan w:val="2"/>
          </w:tcPr>
          <w:p w14:paraId="77B36CBB"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0,379 [0,296; 0,485]</w:t>
            </w:r>
          </w:p>
        </w:tc>
      </w:tr>
      <w:tr w:rsidR="00162CE2" w:rsidRPr="002606DB" w14:paraId="7B57B16D" w14:textId="77777777" w:rsidTr="006C6764">
        <w:trPr>
          <w:cantSplit/>
        </w:trPr>
        <w:tc>
          <w:tcPr>
            <w:tcW w:w="4500" w:type="dxa"/>
          </w:tcPr>
          <w:p w14:paraId="1370ED62"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Valor de p</w:t>
            </w:r>
          </w:p>
        </w:tc>
        <w:tc>
          <w:tcPr>
            <w:tcW w:w="4644" w:type="dxa"/>
            <w:gridSpan w:val="2"/>
          </w:tcPr>
          <w:p w14:paraId="6E4F82BE"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&lt;0,0001</w:t>
            </w:r>
          </w:p>
        </w:tc>
      </w:tr>
      <w:tr w:rsidR="00162CE2" w:rsidRPr="002606DB" w14:paraId="70B109FB" w14:textId="77777777" w:rsidTr="006C6764">
        <w:trPr>
          <w:cantSplit/>
        </w:trPr>
        <w:tc>
          <w:tcPr>
            <w:tcW w:w="9144" w:type="dxa"/>
            <w:gridSpan w:val="3"/>
          </w:tcPr>
          <w:p w14:paraId="6E3E8CEB" w14:textId="717639E9" w:rsidR="00162CE2" w:rsidRPr="002606DB" w:rsidRDefault="00162CE2" w:rsidP="00C354AF">
            <w:pPr>
              <w:pStyle w:val="TableParagraph"/>
              <w:keepNext/>
              <w:keepLines/>
              <w:adjustRightInd w:val="0"/>
              <w:snapToGrid w:val="0"/>
              <w:jc w:val="center"/>
              <w:rPr>
                <w:snapToGrid w:val="0"/>
                <w:sz w:val="20"/>
                <w:lang w:val="pt-PT"/>
              </w:rPr>
            </w:pPr>
            <w:r w:rsidRPr="002606DB">
              <w:rPr>
                <w:snapToGrid w:val="0"/>
                <w:sz w:val="20"/>
                <w:u w:val="single"/>
                <w:lang w:val="pt-PT"/>
              </w:rPr>
              <w:t xml:space="preserve">Objetivos </w:t>
            </w:r>
            <w:r w:rsidR="00B5283C">
              <w:rPr>
                <w:snapToGrid w:val="0"/>
                <w:sz w:val="20"/>
                <w:u w:val="single"/>
                <w:lang w:val="pt-PT"/>
              </w:rPr>
              <w:t>s</w:t>
            </w:r>
            <w:r w:rsidRPr="002606DB">
              <w:rPr>
                <w:snapToGrid w:val="0"/>
                <w:sz w:val="20"/>
                <w:u w:val="single"/>
                <w:lang w:val="pt-PT"/>
              </w:rPr>
              <w:t>ecundários</w:t>
            </w:r>
          </w:p>
        </w:tc>
      </w:tr>
      <w:tr w:rsidR="00162CE2" w:rsidRPr="002606DB" w14:paraId="62CB603B" w14:textId="77777777" w:rsidTr="006C6764">
        <w:trPr>
          <w:cantSplit/>
        </w:trPr>
        <w:tc>
          <w:tcPr>
            <w:tcW w:w="9144" w:type="dxa"/>
            <w:gridSpan w:val="3"/>
          </w:tcPr>
          <w:p w14:paraId="52D8D0B4" w14:textId="7AFA3371" w:rsidR="00162CE2" w:rsidRPr="00A03389" w:rsidRDefault="00162CE2" w:rsidP="00C354AF">
            <w:pPr>
              <w:pStyle w:val="TableParagraph"/>
              <w:keepNext/>
              <w:keepLines/>
              <w:adjustRightInd w:val="0"/>
              <w:snapToGrid w:val="0"/>
              <w:rPr>
                <w:b/>
                <w:bCs/>
                <w:snapToGrid w:val="0"/>
                <w:sz w:val="20"/>
                <w:lang w:val="pt-PT"/>
              </w:rPr>
            </w:pPr>
            <w:r w:rsidRPr="00A03389">
              <w:rPr>
                <w:b/>
                <w:bCs/>
                <w:snapToGrid w:val="0"/>
                <w:sz w:val="20"/>
                <w:lang w:val="pt-PT"/>
              </w:rPr>
              <w:t xml:space="preserve">Taxa de </w:t>
            </w:r>
            <w:r w:rsidR="00B5283C" w:rsidRPr="00A03389">
              <w:rPr>
                <w:b/>
                <w:bCs/>
                <w:snapToGrid w:val="0"/>
                <w:sz w:val="20"/>
                <w:lang w:val="pt-PT"/>
              </w:rPr>
              <w:t>r</w:t>
            </w:r>
            <w:r w:rsidRPr="00A03389">
              <w:rPr>
                <w:b/>
                <w:bCs/>
                <w:snapToGrid w:val="0"/>
                <w:sz w:val="20"/>
                <w:lang w:val="pt-PT"/>
              </w:rPr>
              <w:t xml:space="preserve">esposta </w:t>
            </w:r>
            <w:r w:rsidR="00B5283C" w:rsidRPr="00A03389">
              <w:rPr>
                <w:b/>
                <w:bCs/>
                <w:snapToGrid w:val="0"/>
                <w:sz w:val="20"/>
                <w:lang w:val="pt-PT"/>
              </w:rPr>
              <w:t>o</w:t>
            </w:r>
            <w:r w:rsidRPr="00A03389">
              <w:rPr>
                <w:b/>
                <w:bCs/>
                <w:snapToGrid w:val="0"/>
                <w:sz w:val="20"/>
                <w:lang w:val="pt-PT"/>
              </w:rPr>
              <w:t>bjetiva**</w:t>
            </w:r>
          </w:p>
        </w:tc>
      </w:tr>
      <w:tr w:rsidR="00162CE2" w:rsidRPr="002606DB" w14:paraId="68B8A2D4" w14:textId="77777777" w:rsidTr="006C6764">
        <w:trPr>
          <w:cantSplit/>
        </w:trPr>
        <w:tc>
          <w:tcPr>
            <w:tcW w:w="4500" w:type="dxa"/>
          </w:tcPr>
          <w:p w14:paraId="2F37A548" w14:textId="77777777" w:rsidR="00162CE2" w:rsidRPr="002606DB" w:rsidRDefault="00162CE2" w:rsidP="00C354AF">
            <w:pPr>
              <w:pStyle w:val="TableParagraph"/>
              <w:keepNext/>
              <w:keepLines/>
              <w:adjustRightInd w:val="0"/>
              <w:snapToGrid w:val="0"/>
              <w:rPr>
                <w:snapToGrid w:val="0"/>
                <w:sz w:val="20"/>
                <w:lang w:val="pt-PT"/>
              </w:rPr>
            </w:pPr>
          </w:p>
        </w:tc>
        <w:tc>
          <w:tcPr>
            <w:tcW w:w="2095" w:type="dxa"/>
          </w:tcPr>
          <w:p w14:paraId="3360BBA5" w14:textId="75F87146" w:rsidR="00162CE2" w:rsidRPr="002606DB" w:rsidRDefault="00162CE2" w:rsidP="00C354AF">
            <w:pPr>
              <w:pStyle w:val="TableParagraph"/>
              <w:keepNext/>
              <w:keepLines/>
              <w:adjustRightInd w:val="0"/>
              <w:snapToGrid w:val="0"/>
              <w:jc w:val="center"/>
              <w:rPr>
                <w:snapToGrid w:val="0"/>
                <w:sz w:val="20"/>
                <w:lang w:val="pt-PT"/>
              </w:rPr>
            </w:pPr>
            <w:r w:rsidRPr="002606DB">
              <w:rPr>
                <w:snapToGrid w:val="0"/>
                <w:sz w:val="20"/>
                <w:lang w:val="pt-PT"/>
              </w:rPr>
              <w:t>QT</w:t>
            </w:r>
            <w:r w:rsidR="0091728F" w:rsidRPr="002606DB">
              <w:rPr>
                <w:snapToGrid w:val="0"/>
                <w:sz w:val="20"/>
                <w:lang w:val="pt-PT"/>
              </w:rPr>
              <w:t xml:space="preserve"> </w:t>
            </w:r>
            <w:r w:rsidRPr="002606DB">
              <w:rPr>
                <w:snapToGrid w:val="0"/>
                <w:sz w:val="20"/>
                <w:lang w:val="pt-PT"/>
              </w:rPr>
              <w:t>(n = 144)</w:t>
            </w:r>
          </w:p>
        </w:tc>
        <w:tc>
          <w:tcPr>
            <w:tcW w:w="2549" w:type="dxa"/>
          </w:tcPr>
          <w:p w14:paraId="4DA5B25E" w14:textId="3DFEE087" w:rsidR="00162CE2" w:rsidRPr="002606DB" w:rsidRDefault="00162CE2" w:rsidP="00C354AF">
            <w:pPr>
              <w:pStyle w:val="TableParagraph"/>
              <w:keepNext/>
              <w:keepLines/>
              <w:adjustRightInd w:val="0"/>
              <w:snapToGrid w:val="0"/>
              <w:jc w:val="center"/>
              <w:rPr>
                <w:snapToGrid w:val="0"/>
                <w:sz w:val="20"/>
                <w:lang w:val="pt-PT"/>
              </w:rPr>
            </w:pPr>
            <w:r w:rsidRPr="002606DB">
              <w:rPr>
                <w:snapToGrid w:val="0"/>
                <w:sz w:val="20"/>
                <w:lang w:val="pt-PT"/>
              </w:rPr>
              <w:t>QT+BV (n = 142)</w:t>
            </w:r>
          </w:p>
        </w:tc>
      </w:tr>
      <w:tr w:rsidR="00162CE2" w:rsidRPr="002606DB" w14:paraId="694216CA" w14:textId="77777777" w:rsidTr="006C6764">
        <w:trPr>
          <w:cantSplit/>
        </w:trPr>
        <w:tc>
          <w:tcPr>
            <w:tcW w:w="4500" w:type="dxa"/>
          </w:tcPr>
          <w:p w14:paraId="0E4B8153" w14:textId="77777777" w:rsidR="00162CE2" w:rsidRPr="002606DB" w:rsidRDefault="00162CE2" w:rsidP="00914003">
            <w:pPr>
              <w:pStyle w:val="TableParagraph"/>
              <w:keepNext/>
              <w:keepLines/>
              <w:adjustRightInd w:val="0"/>
              <w:snapToGrid w:val="0"/>
              <w:rPr>
                <w:snapToGrid w:val="0"/>
                <w:sz w:val="20"/>
                <w:lang w:val="pt-PT"/>
              </w:rPr>
            </w:pPr>
            <w:r w:rsidRPr="002606DB">
              <w:rPr>
                <w:snapToGrid w:val="0"/>
                <w:sz w:val="20"/>
                <w:lang w:val="pt-PT"/>
              </w:rPr>
              <w:t>% de doentes com resposta objetiva</w:t>
            </w:r>
          </w:p>
        </w:tc>
        <w:tc>
          <w:tcPr>
            <w:tcW w:w="2095" w:type="dxa"/>
          </w:tcPr>
          <w:p w14:paraId="01AD0C9F"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18 (12,5%)</w:t>
            </w:r>
          </w:p>
        </w:tc>
        <w:tc>
          <w:tcPr>
            <w:tcW w:w="2549" w:type="dxa"/>
          </w:tcPr>
          <w:p w14:paraId="66C9DD77"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40 (28,2%)</w:t>
            </w:r>
          </w:p>
        </w:tc>
      </w:tr>
      <w:tr w:rsidR="00162CE2" w:rsidRPr="002606DB" w14:paraId="43C49385" w14:textId="77777777" w:rsidTr="006C6764">
        <w:trPr>
          <w:cantSplit/>
        </w:trPr>
        <w:tc>
          <w:tcPr>
            <w:tcW w:w="4500" w:type="dxa"/>
          </w:tcPr>
          <w:p w14:paraId="27713E31" w14:textId="77777777" w:rsidR="00162CE2" w:rsidRPr="002606DB" w:rsidRDefault="00162CE2" w:rsidP="00914003">
            <w:pPr>
              <w:pStyle w:val="TableParagraph"/>
              <w:keepNext/>
              <w:keepLines/>
              <w:adjustRightInd w:val="0"/>
              <w:snapToGrid w:val="0"/>
              <w:ind w:left="270"/>
              <w:rPr>
                <w:snapToGrid w:val="0"/>
                <w:sz w:val="20"/>
                <w:lang w:val="pt-PT"/>
              </w:rPr>
            </w:pPr>
            <w:r w:rsidRPr="002606DB">
              <w:rPr>
                <w:snapToGrid w:val="0"/>
                <w:sz w:val="20"/>
                <w:lang w:val="pt-PT"/>
              </w:rPr>
              <w:t>valor de p</w:t>
            </w:r>
          </w:p>
        </w:tc>
        <w:tc>
          <w:tcPr>
            <w:tcW w:w="4644" w:type="dxa"/>
            <w:gridSpan w:val="2"/>
          </w:tcPr>
          <w:p w14:paraId="3E6BAC7A" w14:textId="7777777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0,0007</w:t>
            </w:r>
          </w:p>
        </w:tc>
      </w:tr>
      <w:tr w:rsidR="00162CE2" w:rsidRPr="002606DB" w14:paraId="380ADD9C" w14:textId="77777777" w:rsidTr="006C6764">
        <w:trPr>
          <w:cantSplit/>
        </w:trPr>
        <w:tc>
          <w:tcPr>
            <w:tcW w:w="4500" w:type="dxa"/>
          </w:tcPr>
          <w:p w14:paraId="675C2EEE" w14:textId="6B9468FD" w:rsidR="00162CE2" w:rsidRPr="00A03389" w:rsidRDefault="00162CE2" w:rsidP="00914003">
            <w:pPr>
              <w:pStyle w:val="TableParagraph"/>
              <w:keepNext/>
              <w:keepLines/>
              <w:adjustRightInd w:val="0"/>
              <w:snapToGrid w:val="0"/>
              <w:rPr>
                <w:b/>
                <w:bCs/>
                <w:snapToGrid w:val="0"/>
                <w:sz w:val="20"/>
                <w:lang w:val="pt-PT"/>
              </w:rPr>
            </w:pPr>
            <w:r w:rsidRPr="00A03389">
              <w:rPr>
                <w:b/>
                <w:bCs/>
                <w:snapToGrid w:val="0"/>
                <w:sz w:val="20"/>
                <w:lang w:val="pt-PT"/>
              </w:rPr>
              <w:t xml:space="preserve">Sobrevivência </w:t>
            </w:r>
            <w:r w:rsidR="00B5283C" w:rsidRPr="00A03389">
              <w:rPr>
                <w:b/>
                <w:bCs/>
                <w:snapToGrid w:val="0"/>
                <w:sz w:val="20"/>
                <w:lang w:val="pt-PT"/>
              </w:rPr>
              <w:t>g</w:t>
            </w:r>
            <w:r w:rsidRPr="00A03389">
              <w:rPr>
                <w:b/>
                <w:bCs/>
                <w:snapToGrid w:val="0"/>
                <w:sz w:val="20"/>
                <w:lang w:val="pt-PT"/>
              </w:rPr>
              <w:t>lobal (análise final)***</w:t>
            </w:r>
          </w:p>
        </w:tc>
        <w:tc>
          <w:tcPr>
            <w:tcW w:w="4644" w:type="dxa"/>
            <w:gridSpan w:val="2"/>
          </w:tcPr>
          <w:p w14:paraId="56814397" w14:textId="77777777" w:rsidR="00162CE2" w:rsidRPr="002606DB" w:rsidRDefault="00162CE2" w:rsidP="00914003">
            <w:pPr>
              <w:pStyle w:val="TableParagraph"/>
              <w:keepNext/>
              <w:keepLines/>
              <w:adjustRightInd w:val="0"/>
              <w:snapToGrid w:val="0"/>
              <w:rPr>
                <w:snapToGrid w:val="0"/>
                <w:sz w:val="20"/>
                <w:lang w:val="pt-PT"/>
              </w:rPr>
            </w:pPr>
          </w:p>
        </w:tc>
      </w:tr>
      <w:tr w:rsidR="00162CE2" w:rsidRPr="002606DB" w14:paraId="2A9F7B30" w14:textId="77777777" w:rsidTr="006C6764">
        <w:trPr>
          <w:cantSplit/>
        </w:trPr>
        <w:tc>
          <w:tcPr>
            <w:tcW w:w="4500" w:type="dxa"/>
          </w:tcPr>
          <w:p w14:paraId="13E476C7" w14:textId="77777777" w:rsidR="00162CE2" w:rsidRPr="002606DB" w:rsidRDefault="00162CE2" w:rsidP="00914003">
            <w:pPr>
              <w:pStyle w:val="TableParagraph"/>
              <w:keepNext/>
              <w:keepLines/>
              <w:adjustRightInd w:val="0"/>
              <w:snapToGrid w:val="0"/>
              <w:rPr>
                <w:snapToGrid w:val="0"/>
                <w:sz w:val="20"/>
                <w:lang w:val="pt-PT"/>
              </w:rPr>
            </w:pPr>
          </w:p>
        </w:tc>
        <w:tc>
          <w:tcPr>
            <w:tcW w:w="2095" w:type="dxa"/>
          </w:tcPr>
          <w:p w14:paraId="1C523452" w14:textId="47D37087"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QT</w:t>
            </w:r>
            <w:r w:rsidR="0091728F" w:rsidRPr="002606DB">
              <w:rPr>
                <w:snapToGrid w:val="0"/>
                <w:sz w:val="20"/>
                <w:lang w:val="pt-PT"/>
              </w:rPr>
              <w:t xml:space="preserve"> </w:t>
            </w:r>
            <w:r w:rsidRPr="002606DB">
              <w:rPr>
                <w:snapToGrid w:val="0"/>
                <w:sz w:val="20"/>
                <w:lang w:val="pt-PT"/>
              </w:rPr>
              <w:t>(n = 182)</w:t>
            </w:r>
          </w:p>
        </w:tc>
        <w:tc>
          <w:tcPr>
            <w:tcW w:w="2549" w:type="dxa"/>
          </w:tcPr>
          <w:p w14:paraId="61DE5CEB" w14:textId="1590D84B" w:rsidR="00162CE2" w:rsidRPr="002606DB" w:rsidRDefault="00162CE2" w:rsidP="00914003">
            <w:pPr>
              <w:pStyle w:val="TableParagraph"/>
              <w:keepNext/>
              <w:keepLines/>
              <w:adjustRightInd w:val="0"/>
              <w:snapToGrid w:val="0"/>
              <w:jc w:val="center"/>
              <w:rPr>
                <w:snapToGrid w:val="0"/>
                <w:sz w:val="20"/>
                <w:lang w:val="pt-PT"/>
              </w:rPr>
            </w:pPr>
            <w:r w:rsidRPr="002606DB">
              <w:rPr>
                <w:snapToGrid w:val="0"/>
                <w:sz w:val="20"/>
                <w:lang w:val="pt-PT"/>
              </w:rPr>
              <w:t>QT+BV (n = 179)</w:t>
            </w:r>
          </w:p>
        </w:tc>
      </w:tr>
      <w:tr w:rsidR="00162CE2" w:rsidRPr="002606DB" w14:paraId="36B38AD2" w14:textId="77777777" w:rsidTr="006C6764">
        <w:trPr>
          <w:cantSplit/>
        </w:trPr>
        <w:tc>
          <w:tcPr>
            <w:tcW w:w="4500" w:type="dxa"/>
          </w:tcPr>
          <w:p w14:paraId="4345B5C8"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OS mediana (meses)</w:t>
            </w:r>
          </w:p>
        </w:tc>
        <w:tc>
          <w:tcPr>
            <w:tcW w:w="2095" w:type="dxa"/>
          </w:tcPr>
          <w:p w14:paraId="645B8F39"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13,3</w:t>
            </w:r>
          </w:p>
        </w:tc>
        <w:tc>
          <w:tcPr>
            <w:tcW w:w="2549" w:type="dxa"/>
          </w:tcPr>
          <w:p w14:paraId="2792682F"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16,6</w:t>
            </w:r>
          </w:p>
        </w:tc>
      </w:tr>
      <w:tr w:rsidR="00162CE2" w:rsidRPr="002606DB" w14:paraId="4DF7D6D8" w14:textId="77777777" w:rsidTr="006C6764">
        <w:trPr>
          <w:cantSplit/>
        </w:trPr>
        <w:tc>
          <w:tcPr>
            <w:tcW w:w="4500" w:type="dxa"/>
          </w:tcPr>
          <w:p w14:paraId="04FFDE5A" w14:textId="378CA454" w:rsidR="00162CE2" w:rsidRPr="002606DB" w:rsidRDefault="00162CE2" w:rsidP="0091728F">
            <w:pPr>
              <w:pStyle w:val="TableParagraph"/>
              <w:adjustRightInd w:val="0"/>
              <w:snapToGrid w:val="0"/>
              <w:ind w:left="270"/>
              <w:rPr>
                <w:snapToGrid w:val="0"/>
                <w:sz w:val="20"/>
                <w:lang w:val="pt-PT"/>
              </w:rPr>
            </w:pPr>
            <w:r w:rsidRPr="002606DB">
              <w:rPr>
                <w:i/>
                <w:snapToGrid w:val="0"/>
                <w:sz w:val="20"/>
                <w:lang w:val="pt-PT"/>
              </w:rPr>
              <w:t xml:space="preserve">Hazard </w:t>
            </w:r>
            <w:r w:rsidR="00B5283C">
              <w:rPr>
                <w:i/>
                <w:snapToGrid w:val="0"/>
                <w:sz w:val="20"/>
                <w:lang w:val="pt-PT"/>
              </w:rPr>
              <w:t>r</w:t>
            </w:r>
            <w:r w:rsidRPr="002606DB">
              <w:rPr>
                <w:i/>
                <w:snapToGrid w:val="0"/>
                <w:sz w:val="20"/>
                <w:lang w:val="pt-PT"/>
              </w:rPr>
              <w:t xml:space="preserve">atio </w:t>
            </w:r>
            <w:r w:rsidRPr="002606DB">
              <w:rPr>
                <w:snapToGrid w:val="0"/>
                <w:sz w:val="20"/>
                <w:lang w:val="pt-PT"/>
              </w:rPr>
              <w:t>(taxa de risco)</w:t>
            </w:r>
            <w:r w:rsidR="0091728F" w:rsidRPr="002606DB">
              <w:rPr>
                <w:snapToGrid w:val="0"/>
                <w:sz w:val="20"/>
                <w:lang w:val="pt-PT"/>
              </w:rPr>
              <w:t xml:space="preserve"> </w:t>
            </w:r>
            <w:r w:rsidRPr="002606DB">
              <w:rPr>
                <w:snapToGrid w:val="0"/>
                <w:sz w:val="20"/>
                <w:lang w:val="pt-PT"/>
              </w:rPr>
              <w:t>(IC 95%)</w:t>
            </w:r>
          </w:p>
        </w:tc>
        <w:tc>
          <w:tcPr>
            <w:tcW w:w="4644" w:type="dxa"/>
            <w:gridSpan w:val="2"/>
          </w:tcPr>
          <w:p w14:paraId="6701DFE9" w14:textId="77777777" w:rsidR="00162CE2" w:rsidRPr="002606DB" w:rsidRDefault="00162CE2" w:rsidP="004E23F3">
            <w:pPr>
              <w:pStyle w:val="TableParagraph"/>
              <w:adjustRightInd w:val="0"/>
              <w:snapToGrid w:val="0"/>
              <w:jc w:val="center"/>
              <w:rPr>
                <w:snapToGrid w:val="0"/>
                <w:sz w:val="20"/>
                <w:lang w:val="pt-PT"/>
              </w:rPr>
            </w:pPr>
            <w:r w:rsidRPr="002606DB">
              <w:rPr>
                <w:snapToGrid w:val="0"/>
                <w:sz w:val="20"/>
                <w:lang w:val="pt-PT"/>
              </w:rPr>
              <w:t>0,870 [0,678; 1,116]</w:t>
            </w:r>
          </w:p>
        </w:tc>
      </w:tr>
      <w:tr w:rsidR="00162CE2" w:rsidRPr="002606DB" w14:paraId="4F2D3A97" w14:textId="77777777" w:rsidTr="006C6764">
        <w:trPr>
          <w:cantSplit/>
        </w:trPr>
        <w:tc>
          <w:tcPr>
            <w:tcW w:w="4500" w:type="dxa"/>
          </w:tcPr>
          <w:p w14:paraId="37F9F735" w14:textId="77777777" w:rsidR="00162CE2" w:rsidRPr="002606DB" w:rsidRDefault="00162CE2" w:rsidP="004E23F3">
            <w:pPr>
              <w:pStyle w:val="TableParagraph"/>
              <w:adjustRightInd w:val="0"/>
              <w:snapToGrid w:val="0"/>
              <w:ind w:left="270"/>
              <w:rPr>
                <w:snapToGrid w:val="0"/>
                <w:sz w:val="20"/>
                <w:lang w:val="pt-PT"/>
              </w:rPr>
            </w:pPr>
            <w:r w:rsidRPr="002606DB">
              <w:rPr>
                <w:snapToGrid w:val="0"/>
                <w:sz w:val="20"/>
                <w:lang w:val="pt-PT"/>
              </w:rPr>
              <w:t>Valor de p</w:t>
            </w:r>
          </w:p>
        </w:tc>
        <w:tc>
          <w:tcPr>
            <w:tcW w:w="4644" w:type="dxa"/>
            <w:gridSpan w:val="2"/>
          </w:tcPr>
          <w:p w14:paraId="0B8D84D3" w14:textId="77777777" w:rsidR="00162CE2" w:rsidRPr="002606DB" w:rsidRDefault="00162CE2">
            <w:pPr>
              <w:pStyle w:val="TableParagraph"/>
              <w:adjustRightInd w:val="0"/>
              <w:snapToGrid w:val="0"/>
              <w:jc w:val="center"/>
              <w:rPr>
                <w:snapToGrid w:val="0"/>
                <w:sz w:val="20"/>
                <w:lang w:val="pt-PT"/>
              </w:rPr>
            </w:pPr>
            <w:r w:rsidRPr="002606DB">
              <w:rPr>
                <w:snapToGrid w:val="0"/>
                <w:sz w:val="20"/>
                <w:lang w:val="pt-PT"/>
              </w:rPr>
              <w:t>0,2711</w:t>
            </w:r>
          </w:p>
        </w:tc>
      </w:tr>
    </w:tbl>
    <w:p w14:paraId="152D8594" w14:textId="77777777" w:rsidR="00162CE2" w:rsidRPr="002606DB" w:rsidRDefault="00162CE2" w:rsidP="00056F35">
      <w:pPr>
        <w:adjustRightInd w:val="0"/>
        <w:snapToGrid w:val="0"/>
        <w:rPr>
          <w:snapToGrid w:val="0"/>
          <w:sz w:val="18"/>
          <w:szCs w:val="18"/>
          <w:lang w:val="pt-PT"/>
        </w:rPr>
      </w:pPr>
      <w:r w:rsidRPr="002606DB">
        <w:rPr>
          <w:snapToGrid w:val="0"/>
          <w:sz w:val="18"/>
          <w:szCs w:val="18"/>
          <w:lang w:val="pt-PT"/>
        </w:rPr>
        <w:t>Todas as análises apresentadas nesta tabela são análises estratificadas.</w:t>
      </w:r>
    </w:p>
    <w:p w14:paraId="0E6A46A0" w14:textId="7077AE3D" w:rsidR="00162CE2" w:rsidRPr="002606DB" w:rsidRDefault="00162CE2" w:rsidP="004B1FF7">
      <w:pPr>
        <w:pStyle w:val="a4"/>
        <w:adjustRightInd w:val="0"/>
        <w:snapToGrid w:val="0"/>
        <w:ind w:left="0" w:firstLine="0"/>
        <w:rPr>
          <w:snapToGrid w:val="0"/>
          <w:sz w:val="18"/>
          <w:szCs w:val="18"/>
          <w:lang w:val="pt-PT"/>
        </w:rPr>
      </w:pPr>
      <w:r w:rsidRPr="002606DB">
        <w:rPr>
          <w:snapToGrid w:val="0"/>
          <w:sz w:val="18"/>
          <w:szCs w:val="18"/>
          <w:lang w:val="pt-PT"/>
        </w:rPr>
        <w:t>* A análise primária foi realizada com cut</w:t>
      </w:r>
      <w:r w:rsidR="0028621A" w:rsidRPr="002606DB">
        <w:rPr>
          <w:snapToGrid w:val="0"/>
          <w:sz w:val="18"/>
          <w:szCs w:val="18"/>
          <w:lang w:val="pt-PT"/>
        </w:rPr>
        <w:noBreakHyphen/>
      </w:r>
      <w:r w:rsidRPr="002606DB">
        <w:rPr>
          <w:snapToGrid w:val="0"/>
          <w:sz w:val="18"/>
          <w:szCs w:val="18"/>
          <w:lang w:val="pt-PT"/>
        </w:rPr>
        <w:t>off de dados a 14 novembro 2011.</w:t>
      </w:r>
    </w:p>
    <w:p w14:paraId="1E242305" w14:textId="77777777" w:rsidR="00162CE2" w:rsidRPr="002606DB" w:rsidRDefault="00162CE2" w:rsidP="00056F35">
      <w:pPr>
        <w:adjustRightInd w:val="0"/>
        <w:snapToGrid w:val="0"/>
        <w:rPr>
          <w:snapToGrid w:val="0"/>
          <w:sz w:val="18"/>
          <w:szCs w:val="18"/>
          <w:lang w:val="pt-PT"/>
        </w:rPr>
      </w:pPr>
      <w:r w:rsidRPr="002606DB">
        <w:rPr>
          <w:snapToGrid w:val="0"/>
          <w:sz w:val="18"/>
          <w:szCs w:val="18"/>
          <w:lang w:val="pt-PT"/>
        </w:rPr>
        <w:t>** Doentes aleatorizados com Doença Mensurável à entrada no estudo.</w:t>
      </w:r>
    </w:p>
    <w:p w14:paraId="6B6047D0" w14:textId="2988EC14" w:rsidR="00162CE2" w:rsidRPr="002606DB" w:rsidRDefault="00162CE2" w:rsidP="00056F35">
      <w:pPr>
        <w:adjustRightInd w:val="0"/>
        <w:snapToGrid w:val="0"/>
        <w:rPr>
          <w:snapToGrid w:val="0"/>
          <w:sz w:val="18"/>
          <w:szCs w:val="18"/>
          <w:lang w:val="pt-PT"/>
        </w:rPr>
      </w:pPr>
      <w:r w:rsidRPr="002606DB">
        <w:rPr>
          <w:snapToGrid w:val="0"/>
          <w:sz w:val="18"/>
          <w:szCs w:val="18"/>
          <w:lang w:val="pt-PT"/>
        </w:rPr>
        <w:t xml:space="preserve">***A análise final da </w:t>
      </w:r>
      <w:r w:rsidR="00B5283C">
        <w:rPr>
          <w:snapToGrid w:val="0"/>
          <w:sz w:val="18"/>
          <w:szCs w:val="18"/>
          <w:lang w:val="pt-PT"/>
        </w:rPr>
        <w:t>OS</w:t>
      </w:r>
      <w:r w:rsidRPr="002606DB">
        <w:rPr>
          <w:snapToGrid w:val="0"/>
          <w:sz w:val="18"/>
          <w:szCs w:val="18"/>
          <w:lang w:val="pt-PT"/>
        </w:rPr>
        <w:t xml:space="preserve"> foi realizada quando tinham sido observadas 266 mortes, que representavam 73,7% dos doentes recrutados.</w:t>
      </w:r>
    </w:p>
    <w:p w14:paraId="67AFDDF6" w14:textId="77777777" w:rsidR="00162CE2" w:rsidRPr="002606DB" w:rsidRDefault="00162CE2" w:rsidP="00056F35">
      <w:pPr>
        <w:pStyle w:val="a3"/>
        <w:adjustRightInd w:val="0"/>
        <w:snapToGrid w:val="0"/>
        <w:rPr>
          <w:snapToGrid w:val="0"/>
          <w:lang w:val="pt-PT"/>
        </w:rPr>
      </w:pPr>
    </w:p>
    <w:p w14:paraId="60E319AE" w14:textId="080F265D" w:rsidR="00162CE2" w:rsidRPr="002606DB" w:rsidRDefault="00162CE2" w:rsidP="00056F35">
      <w:pPr>
        <w:pStyle w:val="a3"/>
        <w:adjustRightInd w:val="0"/>
        <w:snapToGrid w:val="0"/>
        <w:rPr>
          <w:snapToGrid w:val="0"/>
          <w:lang w:val="pt-PT"/>
        </w:rPr>
      </w:pPr>
      <w:r w:rsidRPr="002606DB">
        <w:rPr>
          <w:snapToGrid w:val="0"/>
          <w:lang w:val="pt-PT"/>
        </w:rPr>
        <w:t>O ensaio atingiu o objetivo primário de melhoria da PFS. Em comparação com os doentes tratados apenas com quimioterapia (paclitaxel, topotecano ou PLD), no contexto de doença recorrente resistente a platina, as doentes que receberam bevacizumab numa dose de 10 mg/kg a cada 2 semanas (ou de 15 mg/kg a cada 3 semanas, se usado em associação com o topotecano a 1,25 mg/m</w:t>
      </w:r>
      <w:r w:rsidRPr="002606DB">
        <w:rPr>
          <w:snapToGrid w:val="0"/>
          <w:vertAlign w:val="superscript"/>
          <w:lang w:val="pt-PT"/>
        </w:rPr>
        <w:t>2</w:t>
      </w:r>
      <w:r w:rsidRPr="002606DB">
        <w:rPr>
          <w:snapToGrid w:val="0"/>
          <w:lang w:val="pt-PT"/>
        </w:rPr>
        <w:t>, nos Dias 1 – 5, a cada 3 semanas) em associação com quimioterapia e que continuaram a receber bevacizumab até à progressão da doença ou toxicidade inaceitável, tiveram uma melhoria estatisticamente significativa da PFS. As análises exploratórias da PFS e da OS por coorte de quimioterapia (paclitaxel, topotecano e PLD) estão resumidos na tabela 24.</w:t>
      </w:r>
    </w:p>
    <w:p w14:paraId="035D16F5" w14:textId="77777777" w:rsidR="00162CE2" w:rsidRPr="002606DB" w:rsidRDefault="00162CE2" w:rsidP="00056F35">
      <w:pPr>
        <w:adjustRightInd w:val="0"/>
        <w:snapToGrid w:val="0"/>
        <w:rPr>
          <w:snapToGrid w:val="0"/>
          <w:lang w:val="pt-PT"/>
        </w:rPr>
      </w:pPr>
    </w:p>
    <w:p w14:paraId="25467A51" w14:textId="4F34001F"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24</w:t>
      </w:r>
      <w:r w:rsidR="00730741" w:rsidRPr="00730741">
        <w:rPr>
          <w:rFonts w:eastAsia="맑은 고딕"/>
          <w:b/>
          <w:bCs/>
          <w:snapToGrid w:val="0"/>
          <w:lang w:val="pt-PT" w:eastAsia="ko-KR"/>
        </w:rPr>
        <w:tab/>
      </w:r>
      <w:r w:rsidRPr="00730741">
        <w:rPr>
          <w:b/>
          <w:bCs/>
          <w:snapToGrid w:val="0"/>
          <w:lang w:val="pt-PT"/>
        </w:rPr>
        <w:tab/>
        <w:t>Análises exploratórias da PFS e da OS por coorte de quimioterapia</w:t>
      </w:r>
    </w:p>
    <w:p w14:paraId="1BCF2994" w14:textId="77777777" w:rsidR="00162CE2" w:rsidRPr="002606DB" w:rsidRDefault="00162CE2" w:rsidP="0091728F">
      <w:pPr>
        <w:pStyle w:val="a3"/>
        <w:keepNext/>
        <w:keepLines/>
        <w:widowControl/>
        <w:adjustRightInd w:val="0"/>
        <w:snapToGrid w:val="0"/>
        <w:rPr>
          <w:b/>
          <w:snapToGrid w:val="0"/>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1"/>
        <w:gridCol w:w="3013"/>
        <w:gridCol w:w="2882"/>
      </w:tblGrid>
      <w:tr w:rsidR="00162CE2" w:rsidRPr="002606DB" w14:paraId="21F6F65A" w14:textId="77777777" w:rsidTr="004B1FF7">
        <w:trPr>
          <w:cantSplit/>
        </w:trPr>
        <w:tc>
          <w:tcPr>
            <w:tcW w:w="2974" w:type="dxa"/>
          </w:tcPr>
          <w:p w14:paraId="757AD66C" w14:textId="77777777" w:rsidR="00162CE2" w:rsidRPr="002606DB" w:rsidRDefault="00162CE2" w:rsidP="00056F35">
            <w:pPr>
              <w:pStyle w:val="TableParagraph"/>
              <w:adjustRightInd w:val="0"/>
              <w:snapToGrid w:val="0"/>
              <w:rPr>
                <w:snapToGrid w:val="0"/>
                <w:sz w:val="20"/>
                <w:lang w:val="pt-PT"/>
              </w:rPr>
            </w:pPr>
          </w:p>
        </w:tc>
        <w:tc>
          <w:tcPr>
            <w:tcW w:w="2827" w:type="dxa"/>
          </w:tcPr>
          <w:p w14:paraId="0480EE44" w14:textId="77777777" w:rsidR="00162CE2" w:rsidRPr="00A03389" w:rsidRDefault="00162CE2" w:rsidP="004B1FF7">
            <w:pPr>
              <w:pStyle w:val="TableParagraph"/>
              <w:adjustRightInd w:val="0"/>
              <w:snapToGrid w:val="0"/>
              <w:jc w:val="center"/>
              <w:rPr>
                <w:b/>
                <w:bCs/>
                <w:snapToGrid w:val="0"/>
                <w:sz w:val="20"/>
                <w:lang w:val="pt-PT"/>
              </w:rPr>
            </w:pPr>
            <w:r w:rsidRPr="00A03389">
              <w:rPr>
                <w:b/>
                <w:bCs/>
                <w:snapToGrid w:val="0"/>
                <w:sz w:val="20"/>
                <w:lang w:val="pt-PT"/>
              </w:rPr>
              <w:t>QT</w:t>
            </w:r>
          </w:p>
        </w:tc>
        <w:tc>
          <w:tcPr>
            <w:tcW w:w="2704" w:type="dxa"/>
          </w:tcPr>
          <w:p w14:paraId="61415216" w14:textId="77777777" w:rsidR="00162CE2" w:rsidRPr="00A03389" w:rsidRDefault="00162CE2" w:rsidP="004B1FF7">
            <w:pPr>
              <w:pStyle w:val="TableParagraph"/>
              <w:adjustRightInd w:val="0"/>
              <w:snapToGrid w:val="0"/>
              <w:jc w:val="center"/>
              <w:rPr>
                <w:b/>
                <w:bCs/>
                <w:snapToGrid w:val="0"/>
                <w:sz w:val="20"/>
                <w:lang w:val="pt-PT"/>
              </w:rPr>
            </w:pPr>
            <w:r w:rsidRPr="00A03389">
              <w:rPr>
                <w:b/>
                <w:bCs/>
                <w:snapToGrid w:val="0"/>
                <w:sz w:val="20"/>
                <w:lang w:val="pt-PT"/>
              </w:rPr>
              <w:t>QT+BV</w:t>
            </w:r>
          </w:p>
        </w:tc>
      </w:tr>
      <w:tr w:rsidR="00162CE2" w:rsidRPr="002606DB" w14:paraId="32DC9467" w14:textId="77777777" w:rsidTr="004B1FF7">
        <w:trPr>
          <w:cantSplit/>
        </w:trPr>
        <w:tc>
          <w:tcPr>
            <w:tcW w:w="2974" w:type="dxa"/>
          </w:tcPr>
          <w:p w14:paraId="1A55A4CD" w14:textId="77777777" w:rsidR="00162CE2" w:rsidRPr="002606DB" w:rsidRDefault="00162CE2" w:rsidP="00056F35">
            <w:pPr>
              <w:pStyle w:val="TableParagraph"/>
              <w:adjustRightInd w:val="0"/>
              <w:snapToGrid w:val="0"/>
              <w:jc w:val="center"/>
              <w:rPr>
                <w:b/>
                <w:snapToGrid w:val="0"/>
                <w:sz w:val="20"/>
                <w:lang w:val="pt-PT"/>
              </w:rPr>
            </w:pPr>
            <w:r w:rsidRPr="002606DB">
              <w:rPr>
                <w:b/>
                <w:snapToGrid w:val="0"/>
                <w:sz w:val="20"/>
                <w:lang w:val="pt-PT"/>
              </w:rPr>
              <w:t>Paclitaxel</w:t>
            </w:r>
          </w:p>
        </w:tc>
        <w:tc>
          <w:tcPr>
            <w:tcW w:w="5531" w:type="dxa"/>
            <w:gridSpan w:val="2"/>
          </w:tcPr>
          <w:p w14:paraId="62A01899"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n = 115</w:t>
            </w:r>
          </w:p>
        </w:tc>
      </w:tr>
      <w:tr w:rsidR="00162CE2" w:rsidRPr="002606DB" w14:paraId="61085930" w14:textId="77777777" w:rsidTr="004B1FF7">
        <w:trPr>
          <w:cantSplit/>
        </w:trPr>
        <w:tc>
          <w:tcPr>
            <w:tcW w:w="2974" w:type="dxa"/>
          </w:tcPr>
          <w:p w14:paraId="5335FFB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PFS mediana (meses)</w:t>
            </w:r>
          </w:p>
        </w:tc>
        <w:tc>
          <w:tcPr>
            <w:tcW w:w="2827" w:type="dxa"/>
          </w:tcPr>
          <w:p w14:paraId="599F260E"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3,9</w:t>
            </w:r>
          </w:p>
        </w:tc>
        <w:tc>
          <w:tcPr>
            <w:tcW w:w="2704" w:type="dxa"/>
          </w:tcPr>
          <w:p w14:paraId="4983D17C"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9,2</w:t>
            </w:r>
          </w:p>
        </w:tc>
      </w:tr>
      <w:tr w:rsidR="00162CE2" w:rsidRPr="002606DB" w14:paraId="2C7E17BC" w14:textId="77777777" w:rsidTr="004B1FF7">
        <w:trPr>
          <w:cantSplit/>
        </w:trPr>
        <w:tc>
          <w:tcPr>
            <w:tcW w:w="2974" w:type="dxa"/>
          </w:tcPr>
          <w:p w14:paraId="185269CC"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5531" w:type="dxa"/>
            <w:gridSpan w:val="2"/>
          </w:tcPr>
          <w:p w14:paraId="2CB1650B"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0,47 [0,31; 0,72]</w:t>
            </w:r>
          </w:p>
        </w:tc>
      </w:tr>
      <w:tr w:rsidR="00162CE2" w:rsidRPr="002606DB" w14:paraId="224C328A" w14:textId="77777777" w:rsidTr="004B1FF7">
        <w:trPr>
          <w:cantSplit/>
        </w:trPr>
        <w:tc>
          <w:tcPr>
            <w:tcW w:w="2974" w:type="dxa"/>
          </w:tcPr>
          <w:p w14:paraId="7C615EB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OS mediana (meses)</w:t>
            </w:r>
          </w:p>
        </w:tc>
        <w:tc>
          <w:tcPr>
            <w:tcW w:w="2827" w:type="dxa"/>
          </w:tcPr>
          <w:p w14:paraId="3E7C5187"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13,2</w:t>
            </w:r>
          </w:p>
        </w:tc>
        <w:tc>
          <w:tcPr>
            <w:tcW w:w="2704" w:type="dxa"/>
          </w:tcPr>
          <w:p w14:paraId="42506C01"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22,4</w:t>
            </w:r>
          </w:p>
        </w:tc>
      </w:tr>
      <w:tr w:rsidR="00162CE2" w:rsidRPr="002606DB" w14:paraId="761A9E75" w14:textId="77777777" w:rsidTr="0091728F">
        <w:trPr>
          <w:cantSplit/>
        </w:trPr>
        <w:tc>
          <w:tcPr>
            <w:tcW w:w="2974" w:type="dxa"/>
            <w:tcBorders>
              <w:bottom w:val="single" w:sz="2" w:space="0" w:color="auto"/>
            </w:tcBorders>
          </w:tcPr>
          <w:p w14:paraId="603B993E"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5531" w:type="dxa"/>
            <w:gridSpan w:val="2"/>
            <w:tcBorders>
              <w:bottom w:val="single" w:sz="2" w:space="0" w:color="auto"/>
            </w:tcBorders>
          </w:tcPr>
          <w:p w14:paraId="6972D9CE"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0,64 [0,41; 0,99]</w:t>
            </w:r>
          </w:p>
        </w:tc>
      </w:tr>
      <w:tr w:rsidR="00162CE2" w:rsidRPr="002606DB" w14:paraId="27C41538" w14:textId="77777777" w:rsidTr="0091728F">
        <w:trPr>
          <w:cantSplit/>
        </w:trPr>
        <w:tc>
          <w:tcPr>
            <w:tcW w:w="2974" w:type="dxa"/>
            <w:tcBorders>
              <w:top w:val="single" w:sz="2" w:space="0" w:color="auto"/>
            </w:tcBorders>
          </w:tcPr>
          <w:p w14:paraId="763DDA8C" w14:textId="77777777" w:rsidR="00162CE2" w:rsidRPr="002606DB" w:rsidRDefault="00162CE2" w:rsidP="00056F35">
            <w:pPr>
              <w:pStyle w:val="TableParagraph"/>
              <w:adjustRightInd w:val="0"/>
              <w:snapToGrid w:val="0"/>
              <w:jc w:val="center"/>
              <w:rPr>
                <w:b/>
                <w:snapToGrid w:val="0"/>
                <w:sz w:val="20"/>
                <w:lang w:val="pt-PT"/>
              </w:rPr>
            </w:pPr>
            <w:r w:rsidRPr="002606DB">
              <w:rPr>
                <w:b/>
                <w:snapToGrid w:val="0"/>
                <w:sz w:val="20"/>
                <w:lang w:val="pt-PT"/>
              </w:rPr>
              <w:t>Topotecano</w:t>
            </w:r>
          </w:p>
        </w:tc>
        <w:tc>
          <w:tcPr>
            <w:tcW w:w="5531" w:type="dxa"/>
            <w:gridSpan w:val="2"/>
            <w:tcBorders>
              <w:top w:val="single" w:sz="2" w:space="0" w:color="auto"/>
            </w:tcBorders>
          </w:tcPr>
          <w:p w14:paraId="3DF62A5D"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n = 120</w:t>
            </w:r>
          </w:p>
        </w:tc>
      </w:tr>
      <w:tr w:rsidR="00162CE2" w:rsidRPr="002606DB" w14:paraId="0C7ADB8F" w14:textId="77777777" w:rsidTr="004B1FF7">
        <w:trPr>
          <w:cantSplit/>
        </w:trPr>
        <w:tc>
          <w:tcPr>
            <w:tcW w:w="2974" w:type="dxa"/>
          </w:tcPr>
          <w:p w14:paraId="286EBA3F"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PFS mediana (meses)</w:t>
            </w:r>
          </w:p>
        </w:tc>
        <w:tc>
          <w:tcPr>
            <w:tcW w:w="2827" w:type="dxa"/>
          </w:tcPr>
          <w:p w14:paraId="3AEBBF81"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2,1</w:t>
            </w:r>
          </w:p>
        </w:tc>
        <w:tc>
          <w:tcPr>
            <w:tcW w:w="2704" w:type="dxa"/>
          </w:tcPr>
          <w:p w14:paraId="011E8FAF"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6,2</w:t>
            </w:r>
          </w:p>
        </w:tc>
      </w:tr>
      <w:tr w:rsidR="00162CE2" w:rsidRPr="002606DB" w14:paraId="162B33E0" w14:textId="77777777" w:rsidTr="004B1FF7">
        <w:trPr>
          <w:cantSplit/>
        </w:trPr>
        <w:tc>
          <w:tcPr>
            <w:tcW w:w="2974" w:type="dxa"/>
          </w:tcPr>
          <w:p w14:paraId="6045AC2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Hazard ratio (95% IC)</w:t>
            </w:r>
          </w:p>
        </w:tc>
        <w:tc>
          <w:tcPr>
            <w:tcW w:w="5531" w:type="dxa"/>
            <w:gridSpan w:val="2"/>
          </w:tcPr>
          <w:p w14:paraId="6BEA4A24"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0,28 [0,18; 0,44]</w:t>
            </w:r>
          </w:p>
        </w:tc>
      </w:tr>
      <w:tr w:rsidR="00162CE2" w:rsidRPr="002606DB" w14:paraId="3B9D93E9" w14:textId="77777777" w:rsidTr="004B1FF7">
        <w:trPr>
          <w:cantSplit/>
        </w:trPr>
        <w:tc>
          <w:tcPr>
            <w:tcW w:w="2974" w:type="dxa"/>
          </w:tcPr>
          <w:p w14:paraId="1271E854"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OS mediana (meses)</w:t>
            </w:r>
          </w:p>
        </w:tc>
        <w:tc>
          <w:tcPr>
            <w:tcW w:w="2827" w:type="dxa"/>
          </w:tcPr>
          <w:p w14:paraId="36EA8AB9"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13,3</w:t>
            </w:r>
          </w:p>
        </w:tc>
        <w:tc>
          <w:tcPr>
            <w:tcW w:w="2704" w:type="dxa"/>
          </w:tcPr>
          <w:p w14:paraId="5ED8BB7D"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13,8</w:t>
            </w:r>
          </w:p>
        </w:tc>
      </w:tr>
      <w:tr w:rsidR="00162CE2" w:rsidRPr="002606DB" w14:paraId="41A04B3B" w14:textId="77777777" w:rsidTr="0091728F">
        <w:trPr>
          <w:cantSplit/>
        </w:trPr>
        <w:tc>
          <w:tcPr>
            <w:tcW w:w="2974" w:type="dxa"/>
            <w:tcBorders>
              <w:bottom w:val="single" w:sz="2" w:space="0" w:color="auto"/>
            </w:tcBorders>
          </w:tcPr>
          <w:p w14:paraId="274021E5"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5531" w:type="dxa"/>
            <w:gridSpan w:val="2"/>
            <w:tcBorders>
              <w:bottom w:val="single" w:sz="2" w:space="0" w:color="auto"/>
            </w:tcBorders>
          </w:tcPr>
          <w:p w14:paraId="62611645"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1,07 [0,70; 1,63]</w:t>
            </w:r>
          </w:p>
        </w:tc>
      </w:tr>
      <w:tr w:rsidR="00162CE2" w:rsidRPr="002606DB" w14:paraId="2AD9D2C7" w14:textId="77777777" w:rsidTr="0091728F">
        <w:trPr>
          <w:cantSplit/>
        </w:trPr>
        <w:tc>
          <w:tcPr>
            <w:tcW w:w="2974" w:type="dxa"/>
            <w:tcBorders>
              <w:top w:val="single" w:sz="2" w:space="0" w:color="auto"/>
            </w:tcBorders>
          </w:tcPr>
          <w:p w14:paraId="3D72DB12" w14:textId="77777777" w:rsidR="00162CE2" w:rsidRPr="002606DB" w:rsidRDefault="00162CE2" w:rsidP="00056F35">
            <w:pPr>
              <w:pStyle w:val="TableParagraph"/>
              <w:adjustRightInd w:val="0"/>
              <w:snapToGrid w:val="0"/>
              <w:jc w:val="center"/>
              <w:rPr>
                <w:b/>
                <w:snapToGrid w:val="0"/>
                <w:sz w:val="20"/>
                <w:lang w:val="pt-PT"/>
              </w:rPr>
            </w:pPr>
            <w:r w:rsidRPr="002606DB">
              <w:rPr>
                <w:b/>
                <w:snapToGrid w:val="0"/>
                <w:sz w:val="20"/>
                <w:lang w:val="pt-PT"/>
              </w:rPr>
              <w:t>PLD</w:t>
            </w:r>
          </w:p>
        </w:tc>
        <w:tc>
          <w:tcPr>
            <w:tcW w:w="5531" w:type="dxa"/>
            <w:gridSpan w:val="2"/>
            <w:tcBorders>
              <w:top w:val="single" w:sz="2" w:space="0" w:color="auto"/>
            </w:tcBorders>
          </w:tcPr>
          <w:p w14:paraId="7A4B03B3"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n = 126</w:t>
            </w:r>
          </w:p>
        </w:tc>
      </w:tr>
      <w:tr w:rsidR="00162CE2" w:rsidRPr="002606DB" w14:paraId="224B9F64" w14:textId="77777777" w:rsidTr="004B1FF7">
        <w:trPr>
          <w:cantSplit/>
        </w:trPr>
        <w:tc>
          <w:tcPr>
            <w:tcW w:w="2974" w:type="dxa"/>
          </w:tcPr>
          <w:p w14:paraId="0177F3B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PFS mediana (meses)</w:t>
            </w:r>
          </w:p>
        </w:tc>
        <w:tc>
          <w:tcPr>
            <w:tcW w:w="2827" w:type="dxa"/>
          </w:tcPr>
          <w:p w14:paraId="71CE4C29"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3,5</w:t>
            </w:r>
          </w:p>
        </w:tc>
        <w:tc>
          <w:tcPr>
            <w:tcW w:w="2704" w:type="dxa"/>
          </w:tcPr>
          <w:p w14:paraId="124CAB12"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5,1</w:t>
            </w:r>
          </w:p>
        </w:tc>
      </w:tr>
      <w:tr w:rsidR="00162CE2" w:rsidRPr="002606DB" w14:paraId="5CCC3C0D" w14:textId="77777777" w:rsidTr="004B1FF7">
        <w:trPr>
          <w:cantSplit/>
        </w:trPr>
        <w:tc>
          <w:tcPr>
            <w:tcW w:w="2974" w:type="dxa"/>
          </w:tcPr>
          <w:p w14:paraId="4A2E8E9A"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5531" w:type="dxa"/>
            <w:gridSpan w:val="2"/>
          </w:tcPr>
          <w:p w14:paraId="77218A86"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0,53 [0,36; 0,77]</w:t>
            </w:r>
          </w:p>
        </w:tc>
      </w:tr>
      <w:tr w:rsidR="00162CE2" w:rsidRPr="002606DB" w14:paraId="53BC17AA" w14:textId="77777777" w:rsidTr="004B1FF7">
        <w:trPr>
          <w:cantSplit/>
        </w:trPr>
        <w:tc>
          <w:tcPr>
            <w:tcW w:w="2974" w:type="dxa"/>
          </w:tcPr>
          <w:p w14:paraId="2228A4D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OS mediana (meses)</w:t>
            </w:r>
          </w:p>
        </w:tc>
        <w:tc>
          <w:tcPr>
            <w:tcW w:w="2827" w:type="dxa"/>
          </w:tcPr>
          <w:p w14:paraId="0C4908C7"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14,1</w:t>
            </w:r>
          </w:p>
        </w:tc>
        <w:tc>
          <w:tcPr>
            <w:tcW w:w="2704" w:type="dxa"/>
          </w:tcPr>
          <w:p w14:paraId="68E27C01"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13,7</w:t>
            </w:r>
          </w:p>
        </w:tc>
      </w:tr>
      <w:tr w:rsidR="00162CE2" w:rsidRPr="002606DB" w14:paraId="1C69A86D" w14:textId="77777777" w:rsidTr="004B1FF7">
        <w:trPr>
          <w:cantSplit/>
        </w:trPr>
        <w:tc>
          <w:tcPr>
            <w:tcW w:w="2974" w:type="dxa"/>
          </w:tcPr>
          <w:p w14:paraId="705DCEF9" w14:textId="698D6304" w:rsidR="00162CE2" w:rsidRPr="002606DB" w:rsidRDefault="00162CE2" w:rsidP="0091728F">
            <w:pPr>
              <w:pStyle w:val="TableParagraph"/>
              <w:adjustRightInd w:val="0"/>
              <w:snapToGrid w:val="0"/>
              <w:jc w:val="center"/>
              <w:rPr>
                <w:snapToGrid w:val="0"/>
                <w:sz w:val="20"/>
                <w:lang w:val="pt-PT"/>
              </w:rPr>
            </w:pPr>
            <w:r w:rsidRPr="002606DB">
              <w:rPr>
                <w:i/>
                <w:snapToGrid w:val="0"/>
                <w:sz w:val="20"/>
                <w:lang w:val="pt-PT"/>
              </w:rPr>
              <w:t xml:space="preserve">Hazard ratio </w:t>
            </w:r>
            <w:r w:rsidRPr="002606DB">
              <w:rPr>
                <w:snapToGrid w:val="0"/>
                <w:sz w:val="20"/>
                <w:lang w:val="pt-PT"/>
              </w:rPr>
              <w:t>(taxa de risco)</w:t>
            </w:r>
            <w:r w:rsidR="0091728F" w:rsidRPr="002606DB">
              <w:rPr>
                <w:snapToGrid w:val="0"/>
                <w:sz w:val="20"/>
                <w:lang w:val="pt-PT"/>
              </w:rPr>
              <w:t xml:space="preserve"> </w:t>
            </w:r>
            <w:r w:rsidRPr="002606DB">
              <w:rPr>
                <w:snapToGrid w:val="0"/>
                <w:sz w:val="20"/>
                <w:lang w:val="pt-PT"/>
              </w:rPr>
              <w:t>(IC 95%)</w:t>
            </w:r>
          </w:p>
        </w:tc>
        <w:tc>
          <w:tcPr>
            <w:tcW w:w="5531" w:type="dxa"/>
            <w:gridSpan w:val="2"/>
          </w:tcPr>
          <w:p w14:paraId="59DA07CA"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0,91 [0,61; 1,35]</w:t>
            </w:r>
          </w:p>
        </w:tc>
      </w:tr>
    </w:tbl>
    <w:p w14:paraId="1C6F217C" w14:textId="77777777" w:rsidR="00162CE2" w:rsidRPr="002606DB" w:rsidRDefault="00162CE2" w:rsidP="00056F35">
      <w:pPr>
        <w:pStyle w:val="a3"/>
        <w:adjustRightInd w:val="0"/>
        <w:snapToGrid w:val="0"/>
        <w:rPr>
          <w:b/>
          <w:snapToGrid w:val="0"/>
          <w:lang w:val="pt-PT"/>
        </w:rPr>
      </w:pPr>
    </w:p>
    <w:p w14:paraId="6E645B40" w14:textId="77777777" w:rsidR="00162CE2" w:rsidRPr="002606DB" w:rsidRDefault="00162CE2" w:rsidP="00056F35">
      <w:pPr>
        <w:adjustRightInd w:val="0"/>
        <w:snapToGrid w:val="0"/>
        <w:rPr>
          <w:i/>
          <w:snapToGrid w:val="0"/>
          <w:lang w:val="pt-PT"/>
        </w:rPr>
      </w:pPr>
      <w:r w:rsidRPr="002606DB">
        <w:rPr>
          <w:i/>
          <w:snapToGrid w:val="0"/>
          <w:u w:val="single"/>
          <w:lang w:val="pt-PT"/>
        </w:rPr>
        <w:t>Cancro do colo do útero</w:t>
      </w:r>
    </w:p>
    <w:p w14:paraId="1B0D91D9" w14:textId="77777777" w:rsidR="00162CE2" w:rsidRPr="002606DB" w:rsidRDefault="00162CE2" w:rsidP="00056F35">
      <w:pPr>
        <w:pStyle w:val="a3"/>
        <w:adjustRightInd w:val="0"/>
        <w:snapToGrid w:val="0"/>
        <w:rPr>
          <w:i/>
          <w:snapToGrid w:val="0"/>
          <w:lang w:val="pt-PT"/>
        </w:rPr>
      </w:pPr>
    </w:p>
    <w:p w14:paraId="72A10560" w14:textId="77777777" w:rsidR="00162CE2" w:rsidRPr="002606DB" w:rsidRDefault="00162CE2" w:rsidP="00056F35">
      <w:pPr>
        <w:adjustRightInd w:val="0"/>
        <w:snapToGrid w:val="0"/>
        <w:rPr>
          <w:i/>
          <w:snapToGrid w:val="0"/>
          <w:lang w:val="pt-PT"/>
        </w:rPr>
      </w:pPr>
      <w:r w:rsidRPr="002606DB">
        <w:rPr>
          <w:i/>
          <w:snapToGrid w:val="0"/>
          <w:lang w:val="pt-PT"/>
        </w:rPr>
        <w:t>GOG-0240</w:t>
      </w:r>
    </w:p>
    <w:p w14:paraId="26582206" w14:textId="133D0D4A" w:rsidR="00162CE2" w:rsidRPr="002606DB" w:rsidRDefault="00162CE2" w:rsidP="00056F35">
      <w:pPr>
        <w:pStyle w:val="a3"/>
        <w:adjustRightInd w:val="0"/>
        <w:snapToGrid w:val="0"/>
        <w:rPr>
          <w:snapToGrid w:val="0"/>
          <w:lang w:val="pt-PT"/>
        </w:rPr>
      </w:pPr>
      <w:r w:rsidRPr="002606DB">
        <w:rPr>
          <w:snapToGrid w:val="0"/>
          <w:lang w:val="pt-PT"/>
        </w:rPr>
        <w:lastRenderedPageBreak/>
        <w:t xml:space="preserve">No estudo GOG-0240, um ensaio clínico de fase III aleatorizado, de quatro </w:t>
      </w:r>
      <w:r w:rsidR="00B72472">
        <w:rPr>
          <w:snapToGrid w:val="0"/>
          <w:lang w:val="pt-PT"/>
        </w:rPr>
        <w:t>grupo</w:t>
      </w:r>
      <w:r w:rsidRPr="002606DB">
        <w:rPr>
          <w:snapToGrid w:val="0"/>
          <w:lang w:val="pt-PT"/>
        </w:rPr>
        <w:t xml:space="preserve">s, aberto e multicêntrico, foram avaliadas a eficácia e segurança de </w:t>
      </w:r>
      <w:r w:rsidRPr="007155C0">
        <w:rPr>
          <w:color w:val="000000"/>
          <w:lang w:val="pt-PT"/>
        </w:rPr>
        <w:t xml:space="preserve">bevacizumab </w:t>
      </w:r>
      <w:r w:rsidRPr="002606DB">
        <w:rPr>
          <w:snapToGrid w:val="0"/>
          <w:lang w:val="pt-PT"/>
        </w:rPr>
        <w:t>em associação com quimioterapia (paclitaxel e cisplatina ou paclitaxel e topotecano) no tratamento de doentes com cancro do colo do útero com doença persistente, recorrente ou metastizada.</w:t>
      </w:r>
    </w:p>
    <w:p w14:paraId="1E1DF442" w14:textId="77777777" w:rsidR="00162CE2" w:rsidRPr="002606DB" w:rsidRDefault="00162CE2" w:rsidP="00056F35">
      <w:pPr>
        <w:pStyle w:val="a3"/>
        <w:adjustRightInd w:val="0"/>
        <w:snapToGrid w:val="0"/>
        <w:rPr>
          <w:snapToGrid w:val="0"/>
          <w:lang w:val="pt-PT"/>
        </w:rPr>
      </w:pPr>
    </w:p>
    <w:p w14:paraId="7E3044AA" w14:textId="5D6B1943" w:rsidR="00162CE2" w:rsidRPr="002606DB" w:rsidRDefault="00162CE2" w:rsidP="00056F35">
      <w:pPr>
        <w:pStyle w:val="a3"/>
        <w:adjustRightInd w:val="0"/>
        <w:snapToGrid w:val="0"/>
        <w:rPr>
          <w:snapToGrid w:val="0"/>
          <w:lang w:val="pt-PT"/>
        </w:rPr>
      </w:pPr>
      <w:r w:rsidRPr="002606DB">
        <w:rPr>
          <w:snapToGrid w:val="0"/>
          <w:lang w:val="pt-PT"/>
        </w:rPr>
        <w:t>Foram aleatorizadas um total de 452 doentes para receber:</w:t>
      </w:r>
    </w:p>
    <w:p w14:paraId="1CC732E8" w14:textId="77777777" w:rsidR="00162CE2" w:rsidRPr="002606DB" w:rsidRDefault="00162CE2" w:rsidP="00056F35">
      <w:pPr>
        <w:pStyle w:val="a3"/>
        <w:adjustRightInd w:val="0"/>
        <w:snapToGrid w:val="0"/>
        <w:rPr>
          <w:snapToGrid w:val="0"/>
          <w:lang w:val="pt-PT"/>
        </w:rPr>
      </w:pPr>
    </w:p>
    <w:p w14:paraId="20F8BF95" w14:textId="056E3609" w:rsidR="00162CE2" w:rsidRPr="002606DB" w:rsidRDefault="00162CE2" w:rsidP="0091728F">
      <w:pPr>
        <w:pStyle w:val="a4"/>
        <w:numPr>
          <w:ilvl w:val="0"/>
          <w:numId w:val="13"/>
        </w:numPr>
        <w:adjustRightInd w:val="0"/>
        <w:snapToGrid w:val="0"/>
        <w:ind w:left="567" w:hanging="567"/>
        <w:rPr>
          <w:snapToGrid w:val="0"/>
          <w:lang w:val="pt-PT"/>
        </w:rPr>
      </w:pPr>
      <w:r w:rsidRPr="002606DB">
        <w:rPr>
          <w:snapToGrid w:val="0"/>
          <w:lang w:val="pt-PT"/>
        </w:rPr>
        <w:t>Paclitaxel 135 mg/m</w:t>
      </w:r>
      <w:r w:rsidRPr="002606DB">
        <w:rPr>
          <w:snapToGrid w:val="0"/>
          <w:vertAlign w:val="superscript"/>
          <w:lang w:val="pt-PT"/>
        </w:rPr>
        <w:t>2</w:t>
      </w:r>
      <w:r w:rsidRPr="002606DB">
        <w:rPr>
          <w:snapToGrid w:val="0"/>
          <w:lang w:val="pt-PT"/>
        </w:rPr>
        <w:t xml:space="preserve"> por via intravenosa durante 24 horas no Dia 1 e cisplatina 50 mg/m</w:t>
      </w:r>
      <w:r w:rsidRPr="002606DB">
        <w:rPr>
          <w:snapToGrid w:val="0"/>
          <w:vertAlign w:val="superscript"/>
          <w:lang w:val="pt-PT"/>
        </w:rPr>
        <w:t>2</w:t>
      </w:r>
      <w:r w:rsidRPr="002606DB">
        <w:rPr>
          <w:snapToGrid w:val="0"/>
          <w:lang w:val="pt-PT"/>
        </w:rPr>
        <w:t xml:space="preserve"> por via intravenosa no Dia 2, a cada 3 semanas (q3w); ou</w:t>
      </w:r>
    </w:p>
    <w:p w14:paraId="01DA6DAE" w14:textId="2F6722E7" w:rsidR="00162CE2" w:rsidRPr="002606DB" w:rsidRDefault="00162CE2" w:rsidP="004B1FF7">
      <w:pPr>
        <w:pStyle w:val="a3"/>
        <w:adjustRightInd w:val="0"/>
        <w:snapToGrid w:val="0"/>
        <w:ind w:left="567" w:hanging="567"/>
        <w:rPr>
          <w:snapToGrid w:val="0"/>
          <w:lang w:val="pt-PT"/>
        </w:rPr>
      </w:pPr>
      <w:r w:rsidRPr="002606DB">
        <w:rPr>
          <w:snapToGrid w:val="0"/>
          <w:lang w:val="pt-PT"/>
        </w:rPr>
        <w:tab/>
        <w:t>Paclitaxel 175 mg/m</w:t>
      </w:r>
      <w:r w:rsidRPr="002606DB">
        <w:rPr>
          <w:snapToGrid w:val="0"/>
          <w:vertAlign w:val="superscript"/>
          <w:lang w:val="pt-PT"/>
        </w:rPr>
        <w:t>2</w:t>
      </w:r>
      <w:r w:rsidRPr="002606DB">
        <w:rPr>
          <w:snapToGrid w:val="0"/>
          <w:lang w:val="pt-PT"/>
        </w:rPr>
        <w:t xml:space="preserve"> por via intravenosa durante 3 horas no Dia 1 e cisplatina 50 mg/m</w:t>
      </w:r>
      <w:r w:rsidRPr="002606DB">
        <w:rPr>
          <w:snapToGrid w:val="0"/>
          <w:vertAlign w:val="superscript"/>
          <w:lang w:val="pt-PT"/>
        </w:rPr>
        <w:t>2</w:t>
      </w:r>
      <w:r w:rsidRPr="002606DB">
        <w:rPr>
          <w:snapToGrid w:val="0"/>
          <w:lang w:val="pt-PT"/>
        </w:rPr>
        <w:t xml:space="preserve"> por via intravenosa no Dia 2 (q3w); ou Paclitaxel 175 mg/m</w:t>
      </w:r>
      <w:r w:rsidRPr="002606DB">
        <w:rPr>
          <w:snapToGrid w:val="0"/>
          <w:vertAlign w:val="superscript"/>
          <w:lang w:val="pt-PT"/>
        </w:rPr>
        <w:t>2</w:t>
      </w:r>
      <w:r w:rsidRPr="002606DB">
        <w:rPr>
          <w:snapToGrid w:val="0"/>
          <w:lang w:val="pt-PT"/>
        </w:rPr>
        <w:t xml:space="preserve"> por via intravenosa durante 3 horas no Dia 1 e cisplatina 50 mg/m</w:t>
      </w:r>
      <w:r w:rsidRPr="002606DB">
        <w:rPr>
          <w:snapToGrid w:val="0"/>
          <w:vertAlign w:val="superscript"/>
          <w:lang w:val="pt-PT"/>
        </w:rPr>
        <w:t>2</w:t>
      </w:r>
      <w:r w:rsidRPr="002606DB">
        <w:rPr>
          <w:snapToGrid w:val="0"/>
          <w:lang w:val="pt-PT"/>
        </w:rPr>
        <w:t xml:space="preserve"> por via intravenosa no Dia 1 (q3w)</w:t>
      </w:r>
    </w:p>
    <w:p w14:paraId="33AE68AE" w14:textId="77777777" w:rsidR="00162CE2" w:rsidRPr="002606DB" w:rsidRDefault="00162CE2" w:rsidP="004B1FF7">
      <w:pPr>
        <w:pStyle w:val="a3"/>
        <w:adjustRightInd w:val="0"/>
        <w:snapToGrid w:val="0"/>
        <w:ind w:left="567" w:hanging="567"/>
        <w:rPr>
          <w:snapToGrid w:val="0"/>
          <w:lang w:val="pt-PT"/>
        </w:rPr>
      </w:pPr>
    </w:p>
    <w:p w14:paraId="44F2A518" w14:textId="789DBBB8" w:rsidR="00162CE2" w:rsidRPr="002606DB" w:rsidRDefault="00162CE2" w:rsidP="0091728F">
      <w:pPr>
        <w:pStyle w:val="a4"/>
        <w:numPr>
          <w:ilvl w:val="0"/>
          <w:numId w:val="13"/>
        </w:numPr>
        <w:adjustRightInd w:val="0"/>
        <w:snapToGrid w:val="0"/>
        <w:ind w:left="567" w:hanging="567"/>
        <w:rPr>
          <w:snapToGrid w:val="0"/>
          <w:lang w:val="pt-PT"/>
        </w:rPr>
      </w:pPr>
      <w:r w:rsidRPr="002606DB">
        <w:rPr>
          <w:snapToGrid w:val="0"/>
          <w:lang w:val="pt-PT"/>
        </w:rPr>
        <w:t>Paclitaxel 135 mg/m</w:t>
      </w:r>
      <w:r w:rsidRPr="002606DB">
        <w:rPr>
          <w:snapToGrid w:val="0"/>
          <w:vertAlign w:val="superscript"/>
          <w:lang w:val="pt-PT"/>
        </w:rPr>
        <w:t>2</w:t>
      </w:r>
      <w:r w:rsidRPr="002606DB">
        <w:rPr>
          <w:snapToGrid w:val="0"/>
          <w:lang w:val="pt-PT"/>
        </w:rPr>
        <w:t xml:space="preserve"> por via intravenosa durante 24 horas no Dia 1 e cisplatina 50 mg/m</w:t>
      </w:r>
      <w:r w:rsidRPr="002606DB">
        <w:rPr>
          <w:snapToGrid w:val="0"/>
          <w:vertAlign w:val="superscript"/>
          <w:lang w:val="pt-PT"/>
        </w:rPr>
        <w:t>2</w:t>
      </w:r>
      <w:r w:rsidRPr="002606DB">
        <w:rPr>
          <w:snapToGrid w:val="0"/>
          <w:lang w:val="pt-PT"/>
        </w:rPr>
        <w:t xml:space="preserve"> por via intravenosa no Dia 2 mais bevacizumab 15 mg/kg por via intravenosa no Dia 2 (q3w); ou</w:t>
      </w:r>
    </w:p>
    <w:p w14:paraId="2BB457F2" w14:textId="4138254B" w:rsidR="00162CE2" w:rsidRPr="002606DB" w:rsidRDefault="00162CE2" w:rsidP="004B1FF7">
      <w:pPr>
        <w:pStyle w:val="a3"/>
        <w:adjustRightInd w:val="0"/>
        <w:snapToGrid w:val="0"/>
        <w:ind w:left="567" w:hanging="567"/>
        <w:rPr>
          <w:snapToGrid w:val="0"/>
          <w:lang w:val="pt-PT"/>
        </w:rPr>
      </w:pPr>
      <w:r w:rsidRPr="002606DB">
        <w:rPr>
          <w:snapToGrid w:val="0"/>
          <w:lang w:val="pt-PT"/>
        </w:rPr>
        <w:tab/>
        <w:t>Paclitaxel 175 mg/m</w:t>
      </w:r>
      <w:r w:rsidRPr="002606DB">
        <w:rPr>
          <w:snapToGrid w:val="0"/>
          <w:vertAlign w:val="superscript"/>
          <w:lang w:val="pt-PT"/>
        </w:rPr>
        <w:t>2</w:t>
      </w:r>
      <w:r w:rsidRPr="002606DB">
        <w:rPr>
          <w:snapToGrid w:val="0"/>
          <w:lang w:val="pt-PT"/>
        </w:rPr>
        <w:t xml:space="preserve"> por via intravenosa durante 3 horas no Dia 1 e cisplatina 50 mg/m</w:t>
      </w:r>
      <w:r w:rsidRPr="002606DB">
        <w:rPr>
          <w:snapToGrid w:val="0"/>
          <w:vertAlign w:val="superscript"/>
          <w:lang w:val="pt-PT"/>
        </w:rPr>
        <w:t>2</w:t>
      </w:r>
      <w:r w:rsidRPr="002606DB">
        <w:rPr>
          <w:snapToGrid w:val="0"/>
          <w:lang w:val="pt-PT"/>
        </w:rPr>
        <w:t xml:space="preserve"> por via intravenosa no Dia 2 mais bevacizumab 15 mg/kg por via intravenosa no Dia 2 (q3w); ou</w:t>
      </w:r>
    </w:p>
    <w:p w14:paraId="409EAAAB" w14:textId="69B35F20" w:rsidR="00162CE2" w:rsidRPr="002606DB" w:rsidRDefault="00162CE2" w:rsidP="004B1FF7">
      <w:pPr>
        <w:pStyle w:val="a3"/>
        <w:adjustRightInd w:val="0"/>
        <w:snapToGrid w:val="0"/>
        <w:ind w:left="567" w:hanging="567"/>
        <w:rPr>
          <w:snapToGrid w:val="0"/>
          <w:lang w:val="pt-PT"/>
        </w:rPr>
      </w:pPr>
      <w:r w:rsidRPr="002606DB">
        <w:rPr>
          <w:snapToGrid w:val="0"/>
          <w:lang w:val="pt-PT"/>
        </w:rPr>
        <w:tab/>
        <w:t>Paclitaxel 175 mg/m</w:t>
      </w:r>
      <w:r w:rsidRPr="002606DB">
        <w:rPr>
          <w:snapToGrid w:val="0"/>
          <w:vertAlign w:val="superscript"/>
          <w:lang w:val="pt-PT"/>
        </w:rPr>
        <w:t>2</w:t>
      </w:r>
      <w:r w:rsidRPr="002606DB">
        <w:rPr>
          <w:snapToGrid w:val="0"/>
          <w:lang w:val="pt-PT"/>
        </w:rPr>
        <w:t xml:space="preserve"> por via intravenosa durante 3 horas no Dia 1 e cisplatina 50 mg/m</w:t>
      </w:r>
      <w:r w:rsidRPr="002606DB">
        <w:rPr>
          <w:snapToGrid w:val="0"/>
          <w:vertAlign w:val="superscript"/>
          <w:lang w:val="pt-PT"/>
        </w:rPr>
        <w:t>2</w:t>
      </w:r>
      <w:r w:rsidRPr="002606DB">
        <w:rPr>
          <w:snapToGrid w:val="0"/>
          <w:lang w:val="pt-PT"/>
        </w:rPr>
        <w:t xml:space="preserve"> por via intravenosa no Dia 1 mais bevacizumab 15 mg/kg por via intravenosa no Dia 1 (q3w)</w:t>
      </w:r>
    </w:p>
    <w:p w14:paraId="22062E1A" w14:textId="77777777" w:rsidR="00162CE2" w:rsidRPr="002606DB" w:rsidRDefault="00162CE2" w:rsidP="004B1FF7">
      <w:pPr>
        <w:pStyle w:val="a3"/>
        <w:adjustRightInd w:val="0"/>
        <w:snapToGrid w:val="0"/>
        <w:ind w:left="567" w:hanging="567"/>
        <w:rPr>
          <w:snapToGrid w:val="0"/>
          <w:lang w:val="pt-PT"/>
        </w:rPr>
      </w:pPr>
    </w:p>
    <w:p w14:paraId="622355F6" w14:textId="4ACA02D4" w:rsidR="00162CE2" w:rsidRPr="002606DB" w:rsidRDefault="00162CE2" w:rsidP="0091728F">
      <w:pPr>
        <w:pStyle w:val="a4"/>
        <w:numPr>
          <w:ilvl w:val="0"/>
          <w:numId w:val="13"/>
        </w:numPr>
        <w:adjustRightInd w:val="0"/>
        <w:snapToGrid w:val="0"/>
        <w:ind w:left="567" w:hanging="567"/>
        <w:rPr>
          <w:snapToGrid w:val="0"/>
          <w:lang w:val="pt-PT"/>
        </w:rPr>
      </w:pPr>
      <w:r w:rsidRPr="002606DB">
        <w:rPr>
          <w:snapToGrid w:val="0"/>
          <w:lang w:val="pt-PT"/>
        </w:rPr>
        <w:t>Paclitaxel 175 mg/m</w:t>
      </w:r>
      <w:r w:rsidRPr="002606DB">
        <w:rPr>
          <w:snapToGrid w:val="0"/>
          <w:vertAlign w:val="superscript"/>
          <w:lang w:val="pt-PT"/>
        </w:rPr>
        <w:t>2</w:t>
      </w:r>
      <w:r w:rsidRPr="002606DB">
        <w:rPr>
          <w:snapToGrid w:val="0"/>
          <w:lang w:val="pt-PT"/>
        </w:rPr>
        <w:t xml:space="preserve"> por via intravenosa durante 3 horas no Dia 1 e topotecano 0,75 mg/m</w:t>
      </w:r>
      <w:r w:rsidRPr="002606DB">
        <w:rPr>
          <w:snapToGrid w:val="0"/>
          <w:vertAlign w:val="superscript"/>
          <w:lang w:val="pt-PT"/>
        </w:rPr>
        <w:t>2</w:t>
      </w:r>
      <w:r w:rsidRPr="002606DB">
        <w:rPr>
          <w:snapToGrid w:val="0"/>
          <w:lang w:val="pt-PT"/>
        </w:rPr>
        <w:t xml:space="preserve"> por via intravenosa durante 30 minutos no dias 1-3 (q3w)</w:t>
      </w:r>
    </w:p>
    <w:p w14:paraId="00A5B941" w14:textId="77777777" w:rsidR="00162CE2" w:rsidRPr="002606DB" w:rsidRDefault="00162CE2" w:rsidP="004B1FF7">
      <w:pPr>
        <w:pStyle w:val="a3"/>
        <w:adjustRightInd w:val="0"/>
        <w:snapToGrid w:val="0"/>
        <w:ind w:left="567" w:hanging="567"/>
        <w:rPr>
          <w:snapToGrid w:val="0"/>
          <w:lang w:val="pt-PT"/>
        </w:rPr>
      </w:pPr>
    </w:p>
    <w:p w14:paraId="70C0A1E4" w14:textId="0B2ADE6B" w:rsidR="00162CE2" w:rsidRPr="002606DB" w:rsidRDefault="00162CE2" w:rsidP="0091728F">
      <w:pPr>
        <w:pStyle w:val="a4"/>
        <w:numPr>
          <w:ilvl w:val="0"/>
          <w:numId w:val="13"/>
        </w:numPr>
        <w:adjustRightInd w:val="0"/>
        <w:snapToGrid w:val="0"/>
        <w:ind w:left="567" w:hanging="567"/>
        <w:rPr>
          <w:snapToGrid w:val="0"/>
          <w:lang w:val="pt-PT"/>
        </w:rPr>
      </w:pPr>
      <w:r w:rsidRPr="002606DB">
        <w:rPr>
          <w:snapToGrid w:val="0"/>
          <w:lang w:val="pt-PT"/>
        </w:rPr>
        <w:t>Paclitaxel 175 mg/m</w:t>
      </w:r>
      <w:r w:rsidRPr="002606DB">
        <w:rPr>
          <w:snapToGrid w:val="0"/>
          <w:vertAlign w:val="superscript"/>
          <w:lang w:val="pt-PT"/>
        </w:rPr>
        <w:t>2</w:t>
      </w:r>
      <w:r w:rsidRPr="002606DB">
        <w:rPr>
          <w:snapToGrid w:val="0"/>
          <w:lang w:val="pt-PT"/>
        </w:rPr>
        <w:t xml:space="preserve"> por via intravenosa durante 3 horas no Dia 1 e topotecano 0,75 mg/m</w:t>
      </w:r>
      <w:r w:rsidRPr="002606DB">
        <w:rPr>
          <w:snapToGrid w:val="0"/>
          <w:vertAlign w:val="superscript"/>
          <w:lang w:val="pt-PT"/>
        </w:rPr>
        <w:t>2</w:t>
      </w:r>
      <w:r w:rsidRPr="002606DB">
        <w:rPr>
          <w:snapToGrid w:val="0"/>
          <w:lang w:val="pt-PT"/>
        </w:rPr>
        <w:t xml:space="preserve"> por via intravenosa durante 30 minutos no Dias 1-3 mais bevacizumab 15 mg/kg </w:t>
      </w:r>
      <w:r w:rsidR="0028621A" w:rsidRPr="002606DB">
        <w:rPr>
          <w:snapToGrid w:val="0"/>
          <w:lang w:val="pt-PT"/>
        </w:rPr>
        <w:t>por via intravenosa</w:t>
      </w:r>
      <w:r w:rsidRPr="002606DB">
        <w:rPr>
          <w:snapToGrid w:val="0"/>
          <w:lang w:val="pt-PT"/>
        </w:rPr>
        <w:t xml:space="preserve"> no Dia 1 (q3w)</w:t>
      </w:r>
    </w:p>
    <w:p w14:paraId="290F9946" w14:textId="77777777" w:rsidR="00162CE2" w:rsidRPr="002606DB" w:rsidRDefault="00162CE2" w:rsidP="00056F35">
      <w:pPr>
        <w:adjustRightInd w:val="0"/>
        <w:snapToGrid w:val="0"/>
        <w:rPr>
          <w:snapToGrid w:val="0"/>
          <w:lang w:val="pt-PT"/>
        </w:rPr>
      </w:pPr>
    </w:p>
    <w:p w14:paraId="4DB092C7" w14:textId="73B08504" w:rsidR="00162CE2" w:rsidRPr="002606DB" w:rsidRDefault="00162CE2" w:rsidP="00761B7F">
      <w:pPr>
        <w:pStyle w:val="a3"/>
        <w:adjustRightInd w:val="0"/>
        <w:snapToGrid w:val="0"/>
        <w:rPr>
          <w:snapToGrid w:val="0"/>
          <w:lang w:val="pt-PT"/>
        </w:rPr>
      </w:pPr>
      <w:r w:rsidRPr="002606DB">
        <w:rPr>
          <w:snapToGrid w:val="0"/>
          <w:lang w:val="pt-PT"/>
        </w:rPr>
        <w:t>As doentes elegíveis tinham carcinoma pavimento celular persistente, recorrente ou metastizado, carcinoma adenoescamoso, ou adenocarcinoma do colo do útero não passível de tratamento com cirurgia e/ou radioterapia e que não tivessem recebido terapêutica prévia com bevacizumab ou outros inibidores do VEGF ou agentes dirigidos ao recetor do VEGF.</w:t>
      </w:r>
      <w:r w:rsidR="00761B7F" w:rsidRPr="002606DB">
        <w:rPr>
          <w:snapToGrid w:val="0"/>
          <w:lang w:val="pt-PT"/>
        </w:rPr>
        <w:t xml:space="preserve"> </w:t>
      </w:r>
    </w:p>
    <w:p w14:paraId="09FBBEFA" w14:textId="45B5D9DB" w:rsidR="00162CE2" w:rsidRPr="002606DB" w:rsidRDefault="00162CE2" w:rsidP="00056F35">
      <w:pPr>
        <w:pStyle w:val="a3"/>
        <w:adjustRightInd w:val="0"/>
        <w:snapToGrid w:val="0"/>
        <w:rPr>
          <w:snapToGrid w:val="0"/>
          <w:lang w:val="pt-PT"/>
        </w:rPr>
      </w:pPr>
      <w:r w:rsidRPr="002606DB">
        <w:rPr>
          <w:snapToGrid w:val="0"/>
          <w:lang w:val="pt-PT"/>
        </w:rPr>
        <w:t>A idade mediana era 46,0 anos (intervalo: 20-83) no grupo da quimioterapia e 48,0 anos (intervalo 22- 85) no grupo quimioterapia+</w:t>
      </w:r>
      <w:r w:rsidRPr="007155C0">
        <w:rPr>
          <w:color w:val="000000"/>
          <w:lang w:val="pt-PT"/>
        </w:rPr>
        <w:t>bevacizumab</w:t>
      </w:r>
      <w:r w:rsidRPr="002606DB">
        <w:rPr>
          <w:snapToGrid w:val="0"/>
          <w:lang w:val="pt-PT"/>
        </w:rPr>
        <w:t>; com 9,3% das doentes do grupo da quimioterapia e 7,5% das doentes no grupo quimioterapia+</w:t>
      </w:r>
      <w:r w:rsidRPr="007155C0">
        <w:rPr>
          <w:color w:val="000000"/>
          <w:lang w:val="pt-PT"/>
        </w:rPr>
        <w:t>bevacizumab</w:t>
      </w:r>
      <w:r w:rsidRPr="002606DB">
        <w:rPr>
          <w:snapToGrid w:val="0"/>
          <w:lang w:val="pt-PT"/>
        </w:rPr>
        <w:t xml:space="preserve"> com idade superior a 65 anos.</w:t>
      </w:r>
    </w:p>
    <w:p w14:paraId="19DA38C4" w14:textId="77777777" w:rsidR="00162CE2" w:rsidRPr="002606DB" w:rsidRDefault="00162CE2" w:rsidP="00056F35">
      <w:pPr>
        <w:pStyle w:val="a3"/>
        <w:adjustRightInd w:val="0"/>
        <w:snapToGrid w:val="0"/>
        <w:rPr>
          <w:snapToGrid w:val="0"/>
          <w:lang w:val="pt-PT"/>
        </w:rPr>
      </w:pPr>
    </w:p>
    <w:p w14:paraId="63C076AA" w14:textId="73351B07" w:rsidR="00162CE2" w:rsidRPr="002606DB" w:rsidRDefault="00162CE2" w:rsidP="00761B7F">
      <w:pPr>
        <w:pStyle w:val="a3"/>
        <w:keepNext/>
        <w:widowControl/>
        <w:adjustRightInd w:val="0"/>
        <w:snapToGrid w:val="0"/>
        <w:rPr>
          <w:snapToGrid w:val="0"/>
          <w:lang w:val="pt-PT"/>
        </w:rPr>
      </w:pPr>
      <w:r w:rsidRPr="002606DB">
        <w:rPr>
          <w:snapToGrid w:val="0"/>
          <w:lang w:val="pt-PT"/>
        </w:rPr>
        <w:t>Das 452 doentes aleatorizadas na linha de base, a maioria das doentes eram de raça branca (80,0% no grupo da quimioterapia e 75,3% no grupo quimioterapia+</w:t>
      </w:r>
      <w:r w:rsidRPr="007155C0">
        <w:rPr>
          <w:color w:val="000000"/>
          <w:lang w:val="pt-PT"/>
        </w:rPr>
        <w:t>bevacizumab</w:t>
      </w:r>
      <w:r w:rsidRPr="002606DB">
        <w:rPr>
          <w:snapToGrid w:val="0"/>
          <w:lang w:val="pt-PT"/>
        </w:rPr>
        <w:t>), tinham carcinoma pavimentocelular (67,1 % no grupo da quimioterapia e 69,6% no grupo quimioterapia+</w:t>
      </w:r>
      <w:r w:rsidRPr="007155C0">
        <w:rPr>
          <w:color w:val="000000"/>
          <w:lang w:val="pt-PT"/>
        </w:rPr>
        <w:t>bevacizumab</w:t>
      </w:r>
      <w:r w:rsidRPr="002606DB">
        <w:rPr>
          <w:snapToGrid w:val="0"/>
          <w:lang w:val="pt-PT"/>
        </w:rPr>
        <w:t>), tinham doença persistente/recorrente (83,6% no grupo da quimioterapia e 82,8% no grupo quimioterapia+</w:t>
      </w:r>
      <w:r w:rsidRPr="007155C0">
        <w:rPr>
          <w:color w:val="000000"/>
          <w:lang w:val="pt-PT"/>
        </w:rPr>
        <w:t>bevacizumab</w:t>
      </w:r>
      <w:r w:rsidRPr="002606DB">
        <w:rPr>
          <w:snapToGrid w:val="0"/>
          <w:lang w:val="pt-PT"/>
        </w:rPr>
        <w:t>), tinham 1-2 locais metastáticos (72,0% no grupo da quimioterapia e 76,2 % no grupo quimioterapia+</w:t>
      </w:r>
      <w:r w:rsidRPr="007155C0">
        <w:rPr>
          <w:color w:val="000000"/>
          <w:lang w:val="pt-PT"/>
        </w:rPr>
        <w:t>bevacizumab</w:t>
      </w:r>
      <w:r w:rsidRPr="002606DB">
        <w:rPr>
          <w:snapToGrid w:val="0"/>
          <w:lang w:val="pt-PT"/>
        </w:rPr>
        <w:t>), tinham envolvimento dos nódulos linfáticos (50,2% no grupo da quimioterapia e 56,4 % no grupo quimioterapia+</w:t>
      </w:r>
      <w:r w:rsidRPr="007155C0">
        <w:rPr>
          <w:color w:val="000000"/>
          <w:lang w:val="pt-PT"/>
        </w:rPr>
        <w:t>bevacizumab</w:t>
      </w:r>
      <w:r w:rsidRPr="002606DB">
        <w:rPr>
          <w:snapToGrid w:val="0"/>
          <w:lang w:val="pt-PT"/>
        </w:rPr>
        <w:t xml:space="preserve">) e tinham um intervalo livre de platina </w:t>
      </w:r>
      <w:r w:rsidRPr="002606DB">
        <w:rPr>
          <w:rFonts w:ascii="Symbol" w:hAnsi="Symbol"/>
          <w:snapToGrid w:val="0"/>
          <w:lang w:val="pt-PT"/>
        </w:rPr>
        <w:t></w:t>
      </w:r>
      <w:r w:rsidRPr="002606DB">
        <w:rPr>
          <w:snapToGrid w:val="0"/>
          <w:lang w:val="pt-PT"/>
        </w:rPr>
        <w:t xml:space="preserve"> 6 meses (72,5% no grupo da quimioterapia e 64,4% no grupo quimioterapia+</w:t>
      </w:r>
      <w:r w:rsidRPr="007155C0">
        <w:rPr>
          <w:color w:val="000000"/>
          <w:lang w:val="pt-PT"/>
        </w:rPr>
        <w:t>bevacizumab</w:t>
      </w:r>
      <w:r w:rsidRPr="002606DB">
        <w:rPr>
          <w:snapToGrid w:val="0"/>
          <w:lang w:val="pt-PT"/>
        </w:rPr>
        <w:t>).</w:t>
      </w:r>
    </w:p>
    <w:p w14:paraId="69955230" w14:textId="77777777" w:rsidR="00162CE2" w:rsidRPr="002606DB" w:rsidRDefault="00162CE2" w:rsidP="00056F35">
      <w:pPr>
        <w:pStyle w:val="a3"/>
        <w:adjustRightInd w:val="0"/>
        <w:snapToGrid w:val="0"/>
        <w:rPr>
          <w:snapToGrid w:val="0"/>
          <w:lang w:val="pt-PT"/>
        </w:rPr>
      </w:pPr>
    </w:p>
    <w:p w14:paraId="207EF400" w14:textId="6F6F54A4" w:rsidR="00162CE2" w:rsidRPr="002606DB" w:rsidRDefault="00162CE2" w:rsidP="00056F35">
      <w:pPr>
        <w:pStyle w:val="a3"/>
        <w:adjustRightInd w:val="0"/>
        <w:snapToGrid w:val="0"/>
        <w:rPr>
          <w:snapToGrid w:val="0"/>
          <w:lang w:val="pt-PT"/>
        </w:rPr>
      </w:pPr>
      <w:r w:rsidRPr="002606DB">
        <w:rPr>
          <w:snapToGrid w:val="0"/>
          <w:lang w:val="pt-PT"/>
        </w:rPr>
        <w:t xml:space="preserve">O objetivo primário de eficácia foi a </w:t>
      </w:r>
      <w:r w:rsidR="00B5283C">
        <w:rPr>
          <w:snapToGrid w:val="0"/>
          <w:lang w:val="pt-PT"/>
        </w:rPr>
        <w:t>OS</w:t>
      </w:r>
      <w:r w:rsidRPr="002606DB">
        <w:rPr>
          <w:snapToGrid w:val="0"/>
          <w:lang w:val="pt-PT"/>
        </w:rPr>
        <w:t xml:space="preserve">. Os objetivos secundários de eficácia incluíram a </w:t>
      </w:r>
      <w:r w:rsidR="00B5283C">
        <w:rPr>
          <w:snapToGrid w:val="0"/>
          <w:lang w:val="pt-PT"/>
        </w:rPr>
        <w:t>PFS</w:t>
      </w:r>
      <w:r w:rsidRPr="002606DB">
        <w:rPr>
          <w:snapToGrid w:val="0"/>
          <w:lang w:val="pt-PT"/>
        </w:rPr>
        <w:t xml:space="preserve"> e a taxa de resposta objetiva. Os resultados da análise primária e da análise de </w:t>
      </w:r>
      <w:r w:rsidRPr="002606DB">
        <w:rPr>
          <w:i/>
          <w:snapToGrid w:val="0"/>
          <w:lang w:val="pt-PT"/>
        </w:rPr>
        <w:t>foll</w:t>
      </w:r>
      <w:r w:rsidR="00B6449F" w:rsidRPr="00B6449F">
        <w:rPr>
          <w:i/>
          <w:snapToGrid w:val="0"/>
          <w:lang w:val="pt-PT"/>
        </w:rPr>
        <w:t>o</w:t>
      </w:r>
      <w:r w:rsidRPr="002606DB">
        <w:rPr>
          <w:i/>
          <w:snapToGrid w:val="0"/>
          <w:lang w:val="pt-PT"/>
        </w:rPr>
        <w:t xml:space="preserve">w-up </w:t>
      </w:r>
      <w:r w:rsidRPr="002606DB">
        <w:rPr>
          <w:snapToGrid w:val="0"/>
          <w:lang w:val="pt-PT"/>
        </w:rPr>
        <w:t xml:space="preserve">são apresentados por </w:t>
      </w:r>
      <w:r w:rsidR="00B5283C">
        <w:rPr>
          <w:snapToGrid w:val="0"/>
          <w:lang w:val="pt-PT"/>
        </w:rPr>
        <w:t>t</w:t>
      </w:r>
      <w:r w:rsidRPr="002606DB">
        <w:rPr>
          <w:snapToGrid w:val="0"/>
          <w:lang w:val="pt-PT"/>
        </w:rPr>
        <w:t xml:space="preserve">ratamento com </w:t>
      </w:r>
      <w:r w:rsidRPr="007155C0">
        <w:rPr>
          <w:color w:val="000000"/>
          <w:lang w:val="pt-PT"/>
        </w:rPr>
        <w:t xml:space="preserve">bevacizumab </w:t>
      </w:r>
      <w:r w:rsidRPr="002606DB">
        <w:rPr>
          <w:snapToGrid w:val="0"/>
          <w:lang w:val="pt-PT"/>
        </w:rPr>
        <w:t xml:space="preserve">e por </w:t>
      </w:r>
      <w:r w:rsidR="00B5283C">
        <w:rPr>
          <w:snapToGrid w:val="0"/>
          <w:lang w:val="pt-PT"/>
        </w:rPr>
        <w:t>t</w:t>
      </w:r>
      <w:r w:rsidRPr="002606DB">
        <w:rPr>
          <w:snapToGrid w:val="0"/>
          <w:lang w:val="pt-PT"/>
        </w:rPr>
        <w:t xml:space="preserve">ratamento do </w:t>
      </w:r>
      <w:r w:rsidR="00B5283C">
        <w:rPr>
          <w:snapToGrid w:val="0"/>
          <w:lang w:val="pt-PT"/>
        </w:rPr>
        <w:t>e</w:t>
      </w:r>
      <w:r w:rsidRPr="002606DB">
        <w:rPr>
          <w:snapToGrid w:val="0"/>
          <w:lang w:val="pt-PT"/>
        </w:rPr>
        <w:t>nsaio na Tabela 25 e Tabela 26, respetivamente.</w:t>
      </w:r>
    </w:p>
    <w:p w14:paraId="41636171" w14:textId="77777777" w:rsidR="00162CE2" w:rsidRPr="002606DB" w:rsidRDefault="00162CE2" w:rsidP="00056F35">
      <w:pPr>
        <w:adjustRightInd w:val="0"/>
        <w:snapToGrid w:val="0"/>
        <w:rPr>
          <w:snapToGrid w:val="0"/>
          <w:lang w:val="pt-PT"/>
        </w:rPr>
      </w:pPr>
    </w:p>
    <w:p w14:paraId="1C9E03CB" w14:textId="26096821" w:rsidR="00162CE2" w:rsidRPr="00730741" w:rsidRDefault="003A27CE" w:rsidP="00730741">
      <w:pPr>
        <w:pStyle w:val="a3"/>
        <w:keepNext/>
        <w:keepLines/>
        <w:widowControl/>
        <w:adjustRightInd w:val="0"/>
        <w:snapToGrid w:val="0"/>
        <w:ind w:left="1134" w:hanging="1134"/>
        <w:rPr>
          <w:b/>
          <w:bCs/>
          <w:snapToGrid w:val="0"/>
          <w:lang w:val="pt-PT"/>
        </w:rPr>
      </w:pPr>
      <w:r>
        <w:rPr>
          <w:snapToGrid w:val="0"/>
          <w:lang w:val="pt-PT"/>
        </w:rPr>
        <w:br w:type="page"/>
      </w:r>
      <w:r w:rsidR="00162CE2" w:rsidRPr="00730741">
        <w:rPr>
          <w:b/>
          <w:bCs/>
          <w:snapToGrid w:val="0"/>
          <w:lang w:val="pt-PT"/>
        </w:rPr>
        <w:lastRenderedPageBreak/>
        <w:t>Tabela 25</w:t>
      </w:r>
      <w:r w:rsidR="00162CE2" w:rsidRPr="00730741">
        <w:rPr>
          <w:b/>
          <w:bCs/>
          <w:snapToGrid w:val="0"/>
          <w:lang w:val="pt-PT"/>
        </w:rPr>
        <w:tab/>
        <w:t xml:space="preserve">Resultados de eficácia no estudo GOG-0240 por </w:t>
      </w:r>
      <w:r w:rsidR="00B5283C" w:rsidRPr="00730741">
        <w:rPr>
          <w:b/>
          <w:bCs/>
          <w:snapToGrid w:val="0"/>
          <w:lang w:val="pt-PT"/>
        </w:rPr>
        <w:t>t</w:t>
      </w:r>
      <w:r w:rsidR="00162CE2" w:rsidRPr="00730741">
        <w:rPr>
          <w:b/>
          <w:bCs/>
          <w:snapToGrid w:val="0"/>
          <w:lang w:val="pt-PT"/>
        </w:rPr>
        <w:t xml:space="preserve">ratamento com </w:t>
      </w:r>
      <w:r w:rsidR="00052D84" w:rsidRPr="00730741">
        <w:rPr>
          <w:b/>
          <w:bCs/>
          <w:color w:val="000000"/>
          <w:lang w:val="en-GB"/>
        </w:rPr>
        <w:t>b</w:t>
      </w:r>
      <w:r w:rsidR="00162CE2" w:rsidRPr="00730741">
        <w:rPr>
          <w:b/>
          <w:bCs/>
          <w:color w:val="000000"/>
          <w:lang w:val="en-GB"/>
        </w:rPr>
        <w:t>evacizumab</w:t>
      </w:r>
    </w:p>
    <w:p w14:paraId="7504511E" w14:textId="77777777" w:rsidR="00162CE2" w:rsidRPr="002606DB" w:rsidRDefault="00162CE2" w:rsidP="004B1FF7">
      <w:pPr>
        <w:pStyle w:val="a3"/>
        <w:adjustRightInd w:val="0"/>
        <w:snapToGrid w:val="0"/>
        <w:jc w:val="center"/>
        <w:rPr>
          <w:b/>
          <w:snapToGrid w:val="0"/>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2"/>
        <w:gridCol w:w="2321"/>
        <w:gridCol w:w="2563"/>
      </w:tblGrid>
      <w:tr w:rsidR="00162CE2" w:rsidRPr="002606DB" w14:paraId="28862764" w14:textId="77777777" w:rsidTr="004B1FF7">
        <w:trPr>
          <w:cantSplit/>
        </w:trPr>
        <w:tc>
          <w:tcPr>
            <w:tcW w:w="4111" w:type="dxa"/>
          </w:tcPr>
          <w:p w14:paraId="41A8EBF3" w14:textId="77777777" w:rsidR="00162CE2" w:rsidRPr="002606DB" w:rsidRDefault="00162CE2" w:rsidP="004B1FF7">
            <w:pPr>
              <w:pStyle w:val="TableParagraph"/>
              <w:adjustRightInd w:val="0"/>
              <w:snapToGrid w:val="0"/>
              <w:jc w:val="center"/>
              <w:rPr>
                <w:snapToGrid w:val="0"/>
                <w:sz w:val="20"/>
                <w:lang w:val="pt-PT"/>
              </w:rPr>
            </w:pPr>
          </w:p>
        </w:tc>
        <w:tc>
          <w:tcPr>
            <w:tcW w:w="2282" w:type="dxa"/>
          </w:tcPr>
          <w:p w14:paraId="0870B374"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 xml:space="preserve">Quimioterapia </w:t>
            </w:r>
          </w:p>
          <w:p w14:paraId="66A12B60" w14:textId="77777777"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(n = 225)</w:t>
            </w:r>
          </w:p>
        </w:tc>
        <w:tc>
          <w:tcPr>
            <w:tcW w:w="2520" w:type="dxa"/>
          </w:tcPr>
          <w:p w14:paraId="5009F198" w14:textId="19DB25D4" w:rsidR="00162CE2" w:rsidRPr="002606DB" w:rsidRDefault="00162CE2" w:rsidP="004B1FF7">
            <w:pPr>
              <w:pStyle w:val="TableParagraph"/>
              <w:adjustRightInd w:val="0"/>
              <w:snapToGrid w:val="0"/>
              <w:jc w:val="center"/>
              <w:rPr>
                <w:snapToGrid w:val="0"/>
                <w:sz w:val="20"/>
                <w:lang w:val="pt-PT"/>
              </w:rPr>
            </w:pPr>
            <w:r w:rsidRPr="002606DB">
              <w:rPr>
                <w:snapToGrid w:val="0"/>
                <w:sz w:val="20"/>
                <w:lang w:val="pt-PT"/>
              </w:rPr>
              <w:t xml:space="preserve">Quimioterapia + </w:t>
            </w:r>
            <w:r w:rsidRPr="002606DB">
              <w:rPr>
                <w:snapToGrid w:val="0"/>
                <w:sz w:val="20"/>
                <w:u w:val="single"/>
                <w:lang w:val="pt-PT"/>
              </w:rPr>
              <w:t>Bevacizumab</w:t>
            </w:r>
            <w:r w:rsidRPr="002606DB">
              <w:rPr>
                <w:snapToGrid w:val="0"/>
                <w:sz w:val="20"/>
                <w:lang w:val="pt-PT"/>
              </w:rPr>
              <w:t xml:space="preserve"> (n = 227)</w:t>
            </w:r>
          </w:p>
        </w:tc>
      </w:tr>
      <w:tr w:rsidR="00162CE2" w:rsidRPr="002606DB" w14:paraId="08E5F963" w14:textId="77777777" w:rsidTr="004B1FF7">
        <w:trPr>
          <w:cantSplit/>
        </w:trPr>
        <w:tc>
          <w:tcPr>
            <w:tcW w:w="8913" w:type="dxa"/>
            <w:gridSpan w:val="3"/>
          </w:tcPr>
          <w:p w14:paraId="3DA1F2A2" w14:textId="4B2EC2C9" w:rsidR="00162CE2" w:rsidRPr="002606DB" w:rsidRDefault="00162CE2" w:rsidP="00056F35">
            <w:pPr>
              <w:pStyle w:val="TableParagraph"/>
              <w:adjustRightInd w:val="0"/>
              <w:snapToGrid w:val="0"/>
              <w:jc w:val="center"/>
              <w:rPr>
                <w:b/>
                <w:snapToGrid w:val="0"/>
                <w:sz w:val="20"/>
                <w:lang w:val="pt-PT"/>
              </w:rPr>
            </w:pPr>
            <w:r w:rsidRPr="002606DB">
              <w:rPr>
                <w:b/>
                <w:snapToGrid w:val="0"/>
                <w:sz w:val="20"/>
                <w:u w:val="single"/>
                <w:lang w:val="pt-PT"/>
              </w:rPr>
              <w:t xml:space="preserve">Objetivo </w:t>
            </w:r>
            <w:r w:rsidR="00FA5C21">
              <w:rPr>
                <w:b/>
                <w:snapToGrid w:val="0"/>
                <w:sz w:val="20"/>
                <w:u w:val="single"/>
                <w:lang w:val="pt-PT"/>
              </w:rPr>
              <w:t>p</w:t>
            </w:r>
            <w:r w:rsidRPr="002606DB">
              <w:rPr>
                <w:b/>
                <w:snapToGrid w:val="0"/>
                <w:sz w:val="20"/>
                <w:u w:val="single"/>
                <w:lang w:val="pt-PT"/>
              </w:rPr>
              <w:t>rimário</w:t>
            </w:r>
          </w:p>
        </w:tc>
      </w:tr>
      <w:tr w:rsidR="00162CE2" w:rsidRPr="002606DB" w14:paraId="15DD121B" w14:textId="77777777" w:rsidTr="004B1FF7">
        <w:trPr>
          <w:cantSplit/>
        </w:trPr>
        <w:tc>
          <w:tcPr>
            <w:tcW w:w="8913" w:type="dxa"/>
            <w:gridSpan w:val="3"/>
          </w:tcPr>
          <w:p w14:paraId="799CF7D8" w14:textId="2595B314" w:rsidR="00162CE2" w:rsidRPr="002606DB" w:rsidRDefault="00162CE2" w:rsidP="00A55B18">
            <w:pPr>
              <w:pStyle w:val="TableParagraph"/>
              <w:adjustRightInd w:val="0"/>
              <w:snapToGrid w:val="0"/>
              <w:rPr>
                <w:b/>
                <w:snapToGrid w:val="0"/>
                <w:sz w:val="20"/>
                <w:lang w:val="pt-PT"/>
              </w:rPr>
            </w:pPr>
            <w:r w:rsidRPr="002606DB">
              <w:rPr>
                <w:b/>
                <w:snapToGrid w:val="0"/>
                <w:sz w:val="20"/>
                <w:lang w:val="pt-PT"/>
              </w:rPr>
              <w:t xml:space="preserve">Sobrevivência </w:t>
            </w:r>
            <w:r w:rsidR="00FA5C21">
              <w:rPr>
                <w:b/>
                <w:snapToGrid w:val="0"/>
                <w:sz w:val="20"/>
                <w:lang w:val="pt-PT"/>
              </w:rPr>
              <w:t>g</w:t>
            </w:r>
            <w:r w:rsidRPr="002606DB">
              <w:rPr>
                <w:b/>
                <w:snapToGrid w:val="0"/>
                <w:sz w:val="20"/>
                <w:lang w:val="pt-PT"/>
              </w:rPr>
              <w:t xml:space="preserve">lobal – </w:t>
            </w:r>
            <w:r w:rsidR="00A55B18">
              <w:rPr>
                <w:b/>
                <w:snapToGrid w:val="0"/>
                <w:sz w:val="20"/>
                <w:lang w:val="pt-PT"/>
              </w:rPr>
              <w:t>a</w:t>
            </w:r>
            <w:r w:rsidR="00A55B18" w:rsidRPr="002606DB">
              <w:rPr>
                <w:b/>
                <w:snapToGrid w:val="0"/>
                <w:sz w:val="20"/>
                <w:lang w:val="pt-PT"/>
              </w:rPr>
              <w:t xml:space="preserve">nálise </w:t>
            </w:r>
            <w:r w:rsidRPr="002606DB">
              <w:rPr>
                <w:b/>
                <w:snapToGrid w:val="0"/>
                <w:sz w:val="20"/>
                <w:lang w:val="pt-PT"/>
              </w:rPr>
              <w:t>primária</w:t>
            </w:r>
            <w:r w:rsidRPr="002606DB">
              <w:rPr>
                <w:b/>
                <w:snapToGrid w:val="0"/>
                <w:sz w:val="20"/>
                <w:vertAlign w:val="superscript"/>
                <w:lang w:val="pt-PT"/>
              </w:rPr>
              <w:t>6</w:t>
            </w:r>
          </w:p>
        </w:tc>
      </w:tr>
      <w:tr w:rsidR="00162CE2" w:rsidRPr="002606DB" w14:paraId="03CE2043" w14:textId="77777777" w:rsidTr="004B1FF7">
        <w:trPr>
          <w:cantSplit/>
        </w:trPr>
        <w:tc>
          <w:tcPr>
            <w:tcW w:w="4111" w:type="dxa"/>
          </w:tcPr>
          <w:p w14:paraId="5D0C5A5E"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Mediana (meses)</w:t>
            </w:r>
            <w:r w:rsidRPr="002606DB">
              <w:rPr>
                <w:snapToGrid w:val="0"/>
                <w:sz w:val="20"/>
                <w:vertAlign w:val="superscript"/>
                <w:lang w:val="pt-PT"/>
              </w:rPr>
              <w:t>1</w:t>
            </w:r>
          </w:p>
        </w:tc>
        <w:tc>
          <w:tcPr>
            <w:tcW w:w="2282" w:type="dxa"/>
          </w:tcPr>
          <w:p w14:paraId="3DF3A9B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12,9</w:t>
            </w:r>
          </w:p>
        </w:tc>
        <w:tc>
          <w:tcPr>
            <w:tcW w:w="2520" w:type="dxa"/>
          </w:tcPr>
          <w:p w14:paraId="47C24B43"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16,8</w:t>
            </w:r>
          </w:p>
        </w:tc>
      </w:tr>
      <w:tr w:rsidR="00162CE2" w:rsidRPr="002606DB" w14:paraId="7605B9DC" w14:textId="77777777" w:rsidTr="004B1FF7">
        <w:trPr>
          <w:cantSplit/>
        </w:trPr>
        <w:tc>
          <w:tcPr>
            <w:tcW w:w="4111" w:type="dxa"/>
          </w:tcPr>
          <w:p w14:paraId="15B8526E"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4802" w:type="dxa"/>
            <w:gridSpan w:val="2"/>
          </w:tcPr>
          <w:p w14:paraId="5B3F004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0,74 [0,58; 0,94]</w:t>
            </w:r>
          </w:p>
          <w:p w14:paraId="1AF9A39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w:t>
            </w:r>
            <w:r w:rsidRPr="002606DB">
              <w:rPr>
                <w:snapToGrid w:val="0"/>
                <w:sz w:val="20"/>
                <w:vertAlign w:val="superscript"/>
                <w:lang w:val="pt-PT"/>
              </w:rPr>
              <w:t>5</w:t>
            </w:r>
            <w:r w:rsidRPr="002606DB">
              <w:rPr>
                <w:snapToGrid w:val="0"/>
                <w:sz w:val="20"/>
                <w:lang w:val="pt-PT"/>
              </w:rPr>
              <w:t xml:space="preserve"> = 0,0132)</w:t>
            </w:r>
          </w:p>
        </w:tc>
      </w:tr>
      <w:tr w:rsidR="00162CE2" w:rsidRPr="002606DB" w14:paraId="364691CA" w14:textId="77777777" w:rsidTr="004B1FF7">
        <w:trPr>
          <w:cantSplit/>
        </w:trPr>
        <w:tc>
          <w:tcPr>
            <w:tcW w:w="8913" w:type="dxa"/>
            <w:gridSpan w:val="3"/>
          </w:tcPr>
          <w:p w14:paraId="54B81D3D" w14:textId="5C2F9AB5" w:rsidR="00162CE2" w:rsidRPr="002606DB" w:rsidRDefault="00162CE2" w:rsidP="00056F35">
            <w:pPr>
              <w:pStyle w:val="TableParagraph"/>
              <w:adjustRightInd w:val="0"/>
              <w:snapToGrid w:val="0"/>
              <w:rPr>
                <w:b/>
                <w:snapToGrid w:val="0"/>
                <w:sz w:val="20"/>
                <w:lang w:val="pt-PT"/>
              </w:rPr>
            </w:pPr>
            <w:r w:rsidRPr="002606DB">
              <w:rPr>
                <w:b/>
                <w:snapToGrid w:val="0"/>
                <w:sz w:val="20"/>
                <w:lang w:val="pt-PT"/>
              </w:rPr>
              <w:t xml:space="preserve">Sobrevivência </w:t>
            </w:r>
            <w:r w:rsidR="00FA5C21">
              <w:rPr>
                <w:b/>
                <w:snapToGrid w:val="0"/>
                <w:sz w:val="20"/>
                <w:lang w:val="pt-PT"/>
              </w:rPr>
              <w:t>g</w:t>
            </w:r>
            <w:r w:rsidRPr="002606DB">
              <w:rPr>
                <w:b/>
                <w:snapToGrid w:val="0"/>
                <w:sz w:val="20"/>
                <w:lang w:val="pt-PT"/>
              </w:rPr>
              <w:t xml:space="preserve">lobal – </w:t>
            </w:r>
            <w:r w:rsidR="00FA5C21">
              <w:rPr>
                <w:b/>
                <w:snapToGrid w:val="0"/>
                <w:sz w:val="20"/>
                <w:lang w:val="pt-PT"/>
              </w:rPr>
              <w:t>a</w:t>
            </w:r>
            <w:r w:rsidRPr="002606DB">
              <w:rPr>
                <w:b/>
                <w:snapToGrid w:val="0"/>
                <w:sz w:val="20"/>
                <w:lang w:val="pt-PT"/>
              </w:rPr>
              <w:t xml:space="preserve">nálise de </w:t>
            </w:r>
            <w:r w:rsidRPr="002606DB">
              <w:rPr>
                <w:b/>
                <w:i/>
                <w:snapToGrid w:val="0"/>
                <w:sz w:val="20"/>
                <w:lang w:val="pt-PT"/>
              </w:rPr>
              <w:t>follow-up</w:t>
            </w:r>
            <w:r w:rsidRPr="002606DB">
              <w:rPr>
                <w:b/>
                <w:snapToGrid w:val="0"/>
                <w:sz w:val="20"/>
                <w:vertAlign w:val="superscript"/>
                <w:lang w:val="pt-PT"/>
              </w:rPr>
              <w:t>7</w:t>
            </w:r>
          </w:p>
        </w:tc>
      </w:tr>
      <w:tr w:rsidR="00162CE2" w:rsidRPr="002606DB" w14:paraId="6AB2AAD5" w14:textId="77777777" w:rsidTr="004B1FF7">
        <w:trPr>
          <w:cantSplit/>
        </w:trPr>
        <w:tc>
          <w:tcPr>
            <w:tcW w:w="4111" w:type="dxa"/>
          </w:tcPr>
          <w:p w14:paraId="4C53CA0C" w14:textId="77777777" w:rsidR="00162CE2" w:rsidRPr="002606DB" w:rsidRDefault="00162CE2" w:rsidP="00056F35">
            <w:pPr>
              <w:pStyle w:val="TableParagraph"/>
              <w:adjustRightInd w:val="0"/>
              <w:snapToGrid w:val="0"/>
              <w:rPr>
                <w:snapToGrid w:val="0"/>
                <w:sz w:val="20"/>
                <w:lang w:val="pt-PT"/>
              </w:rPr>
            </w:pPr>
            <w:r w:rsidRPr="002606DB">
              <w:rPr>
                <w:snapToGrid w:val="0"/>
                <w:sz w:val="20"/>
                <w:lang w:val="pt-PT"/>
              </w:rPr>
              <w:t>Mediana (meses)</w:t>
            </w:r>
            <w:r w:rsidRPr="002606DB">
              <w:rPr>
                <w:snapToGrid w:val="0"/>
                <w:sz w:val="20"/>
                <w:vertAlign w:val="superscript"/>
                <w:lang w:val="pt-PT"/>
              </w:rPr>
              <w:t>1</w:t>
            </w:r>
          </w:p>
        </w:tc>
        <w:tc>
          <w:tcPr>
            <w:tcW w:w="2282" w:type="dxa"/>
          </w:tcPr>
          <w:p w14:paraId="457B1C21"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13,3</w:t>
            </w:r>
          </w:p>
        </w:tc>
        <w:tc>
          <w:tcPr>
            <w:tcW w:w="2520" w:type="dxa"/>
          </w:tcPr>
          <w:p w14:paraId="1EF2FBC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16,8</w:t>
            </w:r>
          </w:p>
        </w:tc>
      </w:tr>
      <w:tr w:rsidR="00162CE2" w:rsidRPr="002606DB" w14:paraId="358EEE50" w14:textId="77777777" w:rsidTr="004B1FF7">
        <w:trPr>
          <w:cantSplit/>
        </w:trPr>
        <w:tc>
          <w:tcPr>
            <w:tcW w:w="4111" w:type="dxa"/>
          </w:tcPr>
          <w:p w14:paraId="63509288" w14:textId="77777777" w:rsidR="00162CE2" w:rsidRPr="002606DB" w:rsidRDefault="00162CE2" w:rsidP="00056F35">
            <w:pPr>
              <w:pStyle w:val="TableParagraph"/>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4802" w:type="dxa"/>
            <w:gridSpan w:val="2"/>
          </w:tcPr>
          <w:p w14:paraId="25124D7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0,76 [0,62; 0,94]</w:t>
            </w:r>
          </w:p>
          <w:p w14:paraId="4A338555"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(valor de p</w:t>
            </w:r>
            <w:r w:rsidRPr="002606DB">
              <w:rPr>
                <w:snapToGrid w:val="0"/>
                <w:sz w:val="20"/>
                <w:vertAlign w:val="superscript"/>
                <w:lang w:val="pt-PT"/>
              </w:rPr>
              <w:t>5,8</w:t>
            </w:r>
            <w:r w:rsidRPr="002606DB">
              <w:rPr>
                <w:snapToGrid w:val="0"/>
                <w:sz w:val="20"/>
                <w:lang w:val="pt-PT"/>
              </w:rPr>
              <w:t xml:space="preserve"> = 0,0126)</w:t>
            </w:r>
          </w:p>
        </w:tc>
      </w:tr>
      <w:tr w:rsidR="00162CE2" w:rsidRPr="002606DB" w14:paraId="4697BAB9" w14:textId="77777777" w:rsidTr="004B1FF7">
        <w:trPr>
          <w:cantSplit/>
        </w:trPr>
        <w:tc>
          <w:tcPr>
            <w:tcW w:w="8913" w:type="dxa"/>
            <w:gridSpan w:val="3"/>
          </w:tcPr>
          <w:p w14:paraId="47594423" w14:textId="294EF5C9" w:rsidR="00162CE2" w:rsidRPr="002606DB" w:rsidRDefault="00162CE2" w:rsidP="004B1FF7">
            <w:pPr>
              <w:pStyle w:val="TableParagraph"/>
              <w:keepNext/>
              <w:keepLines/>
              <w:adjustRightInd w:val="0"/>
              <w:snapToGrid w:val="0"/>
              <w:jc w:val="center"/>
              <w:rPr>
                <w:b/>
                <w:snapToGrid w:val="0"/>
                <w:sz w:val="20"/>
                <w:lang w:val="pt-PT"/>
              </w:rPr>
            </w:pPr>
            <w:r w:rsidRPr="002606DB">
              <w:rPr>
                <w:b/>
                <w:snapToGrid w:val="0"/>
                <w:sz w:val="20"/>
                <w:u w:val="single"/>
                <w:lang w:val="pt-PT"/>
              </w:rPr>
              <w:t xml:space="preserve">Objetivos </w:t>
            </w:r>
            <w:r w:rsidR="00FA5C21">
              <w:rPr>
                <w:b/>
                <w:snapToGrid w:val="0"/>
                <w:sz w:val="20"/>
                <w:u w:val="single"/>
                <w:lang w:val="pt-PT"/>
              </w:rPr>
              <w:t>s</w:t>
            </w:r>
            <w:r w:rsidRPr="002606DB">
              <w:rPr>
                <w:b/>
                <w:snapToGrid w:val="0"/>
                <w:sz w:val="20"/>
                <w:u w:val="single"/>
                <w:lang w:val="pt-PT"/>
              </w:rPr>
              <w:t>ecundários</w:t>
            </w:r>
          </w:p>
        </w:tc>
      </w:tr>
      <w:tr w:rsidR="00162CE2" w:rsidRPr="00730741" w14:paraId="33848C64" w14:textId="77777777" w:rsidTr="004B1FF7">
        <w:trPr>
          <w:cantSplit/>
        </w:trPr>
        <w:tc>
          <w:tcPr>
            <w:tcW w:w="8913" w:type="dxa"/>
            <w:gridSpan w:val="3"/>
          </w:tcPr>
          <w:p w14:paraId="45E3140A" w14:textId="5537E64D" w:rsidR="00162CE2" w:rsidRPr="002606DB" w:rsidRDefault="00162CE2" w:rsidP="00A55B18">
            <w:pPr>
              <w:pStyle w:val="TableParagraph"/>
              <w:keepNext/>
              <w:keepLines/>
              <w:adjustRightInd w:val="0"/>
              <w:snapToGrid w:val="0"/>
              <w:rPr>
                <w:b/>
                <w:snapToGrid w:val="0"/>
                <w:sz w:val="20"/>
                <w:lang w:val="pt-PT"/>
              </w:rPr>
            </w:pPr>
            <w:r w:rsidRPr="002606DB">
              <w:rPr>
                <w:b/>
                <w:snapToGrid w:val="0"/>
                <w:sz w:val="20"/>
                <w:lang w:val="pt-PT"/>
              </w:rPr>
              <w:t xml:space="preserve">Sobrevivência livre de progressão - </w:t>
            </w:r>
            <w:r w:rsidR="00A55B18">
              <w:rPr>
                <w:b/>
                <w:snapToGrid w:val="0"/>
                <w:sz w:val="20"/>
                <w:lang w:val="pt-PT"/>
              </w:rPr>
              <w:t>a</w:t>
            </w:r>
            <w:r w:rsidR="00A55B18" w:rsidRPr="002606DB">
              <w:rPr>
                <w:b/>
                <w:snapToGrid w:val="0"/>
                <w:sz w:val="20"/>
                <w:lang w:val="pt-PT"/>
              </w:rPr>
              <w:t xml:space="preserve">nálise </w:t>
            </w:r>
            <w:r w:rsidRPr="002606DB">
              <w:rPr>
                <w:b/>
                <w:snapToGrid w:val="0"/>
                <w:sz w:val="20"/>
                <w:lang w:val="pt-PT"/>
              </w:rPr>
              <w:t>primária</w:t>
            </w:r>
            <w:r w:rsidRPr="002606DB">
              <w:rPr>
                <w:b/>
                <w:snapToGrid w:val="0"/>
                <w:sz w:val="20"/>
                <w:vertAlign w:val="superscript"/>
                <w:lang w:val="pt-PT"/>
              </w:rPr>
              <w:t>6</w:t>
            </w:r>
          </w:p>
        </w:tc>
      </w:tr>
      <w:tr w:rsidR="00162CE2" w:rsidRPr="002606DB" w14:paraId="67579D38" w14:textId="77777777" w:rsidTr="004B1FF7">
        <w:trPr>
          <w:cantSplit/>
        </w:trPr>
        <w:tc>
          <w:tcPr>
            <w:tcW w:w="4111" w:type="dxa"/>
          </w:tcPr>
          <w:p w14:paraId="7F0A9A1D" w14:textId="77777777" w:rsidR="00162CE2" w:rsidRPr="002606DB" w:rsidRDefault="00162CE2" w:rsidP="004B1FF7">
            <w:pPr>
              <w:pStyle w:val="TableParagraph"/>
              <w:keepNext/>
              <w:keepLines/>
              <w:adjustRightInd w:val="0"/>
              <w:snapToGrid w:val="0"/>
              <w:rPr>
                <w:snapToGrid w:val="0"/>
                <w:sz w:val="20"/>
                <w:lang w:val="pt-PT"/>
              </w:rPr>
            </w:pPr>
            <w:r w:rsidRPr="002606DB">
              <w:rPr>
                <w:snapToGrid w:val="0"/>
                <w:sz w:val="20"/>
                <w:lang w:val="pt-PT"/>
              </w:rPr>
              <w:t>Mediana PFS (meses)</w:t>
            </w:r>
            <w:r w:rsidRPr="002606DB">
              <w:rPr>
                <w:snapToGrid w:val="0"/>
                <w:sz w:val="20"/>
                <w:vertAlign w:val="superscript"/>
                <w:lang w:val="pt-PT"/>
              </w:rPr>
              <w:t>1</w:t>
            </w:r>
          </w:p>
        </w:tc>
        <w:tc>
          <w:tcPr>
            <w:tcW w:w="2282" w:type="dxa"/>
          </w:tcPr>
          <w:p w14:paraId="54C736CE"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6,0</w:t>
            </w:r>
          </w:p>
        </w:tc>
        <w:tc>
          <w:tcPr>
            <w:tcW w:w="2520" w:type="dxa"/>
          </w:tcPr>
          <w:p w14:paraId="798E68CE"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8,3</w:t>
            </w:r>
          </w:p>
        </w:tc>
      </w:tr>
      <w:tr w:rsidR="00162CE2" w:rsidRPr="002606DB" w14:paraId="350A7E86" w14:textId="77777777" w:rsidTr="004B1FF7">
        <w:trPr>
          <w:cantSplit/>
        </w:trPr>
        <w:tc>
          <w:tcPr>
            <w:tcW w:w="4111" w:type="dxa"/>
          </w:tcPr>
          <w:p w14:paraId="27376D40" w14:textId="77777777" w:rsidR="00162CE2" w:rsidRPr="002606DB" w:rsidRDefault="00162CE2" w:rsidP="004B1FF7">
            <w:pPr>
              <w:pStyle w:val="TableParagraph"/>
              <w:keepNext/>
              <w:keepLines/>
              <w:adjustRightInd w:val="0"/>
              <w:snapToGrid w:val="0"/>
              <w:rPr>
                <w:snapToGrid w:val="0"/>
                <w:sz w:val="20"/>
                <w:lang w:val="pt-PT"/>
              </w:rPr>
            </w:pPr>
            <w:r w:rsidRPr="002606DB">
              <w:rPr>
                <w:i/>
                <w:snapToGrid w:val="0"/>
                <w:sz w:val="20"/>
                <w:lang w:val="pt-PT"/>
              </w:rPr>
              <w:t xml:space="preserve">Hazard ratio </w:t>
            </w:r>
            <w:r w:rsidRPr="002606DB">
              <w:rPr>
                <w:snapToGrid w:val="0"/>
                <w:sz w:val="20"/>
                <w:lang w:val="pt-PT"/>
              </w:rPr>
              <w:t>(taxa de risco) [IC 95%]</w:t>
            </w:r>
          </w:p>
        </w:tc>
        <w:tc>
          <w:tcPr>
            <w:tcW w:w="4802" w:type="dxa"/>
            <w:gridSpan w:val="2"/>
          </w:tcPr>
          <w:p w14:paraId="1466E60D"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0,66 [0,54; 0,81]</w:t>
            </w:r>
          </w:p>
          <w:p w14:paraId="4A94443C"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(valor de p</w:t>
            </w:r>
            <w:r w:rsidRPr="002606DB">
              <w:rPr>
                <w:snapToGrid w:val="0"/>
                <w:sz w:val="20"/>
                <w:vertAlign w:val="superscript"/>
                <w:lang w:val="pt-PT"/>
              </w:rPr>
              <w:t>5</w:t>
            </w:r>
            <w:r w:rsidRPr="002606DB">
              <w:rPr>
                <w:snapToGrid w:val="0"/>
                <w:sz w:val="20"/>
                <w:lang w:val="pt-PT"/>
              </w:rPr>
              <w:t xml:space="preserve"> &lt;0,0001)</w:t>
            </w:r>
          </w:p>
        </w:tc>
      </w:tr>
      <w:tr w:rsidR="00162CE2" w:rsidRPr="002606DB" w14:paraId="3FAE23FD" w14:textId="77777777" w:rsidTr="004B1FF7">
        <w:trPr>
          <w:cantSplit/>
        </w:trPr>
        <w:tc>
          <w:tcPr>
            <w:tcW w:w="8913" w:type="dxa"/>
            <w:gridSpan w:val="3"/>
          </w:tcPr>
          <w:p w14:paraId="6EA4B484" w14:textId="1EFF37FA" w:rsidR="00162CE2" w:rsidRPr="002606DB" w:rsidRDefault="00162CE2" w:rsidP="00A55B18">
            <w:pPr>
              <w:pStyle w:val="TableParagraph"/>
              <w:keepNext/>
              <w:keepLines/>
              <w:adjustRightInd w:val="0"/>
              <w:snapToGrid w:val="0"/>
              <w:rPr>
                <w:b/>
                <w:snapToGrid w:val="0"/>
                <w:sz w:val="20"/>
                <w:lang w:val="pt-PT"/>
              </w:rPr>
            </w:pPr>
            <w:r w:rsidRPr="002606DB">
              <w:rPr>
                <w:b/>
                <w:snapToGrid w:val="0"/>
                <w:sz w:val="20"/>
                <w:lang w:val="pt-PT"/>
              </w:rPr>
              <w:t xml:space="preserve">Melhor </w:t>
            </w:r>
            <w:r w:rsidR="00FA5C21">
              <w:rPr>
                <w:b/>
                <w:snapToGrid w:val="0"/>
                <w:sz w:val="20"/>
                <w:lang w:val="pt-PT"/>
              </w:rPr>
              <w:t>r</w:t>
            </w:r>
            <w:r w:rsidRPr="002606DB">
              <w:rPr>
                <w:b/>
                <w:snapToGrid w:val="0"/>
                <w:sz w:val="20"/>
                <w:lang w:val="pt-PT"/>
              </w:rPr>
              <w:t xml:space="preserve">esposta </w:t>
            </w:r>
            <w:r w:rsidR="00FA5C21">
              <w:rPr>
                <w:b/>
                <w:snapToGrid w:val="0"/>
                <w:sz w:val="20"/>
                <w:lang w:val="pt-PT"/>
              </w:rPr>
              <w:t>g</w:t>
            </w:r>
            <w:r w:rsidRPr="002606DB">
              <w:rPr>
                <w:b/>
                <w:snapToGrid w:val="0"/>
                <w:sz w:val="20"/>
                <w:lang w:val="pt-PT"/>
              </w:rPr>
              <w:t xml:space="preserve">lobal - </w:t>
            </w:r>
            <w:r w:rsidR="00A55B18">
              <w:rPr>
                <w:b/>
                <w:snapToGrid w:val="0"/>
                <w:sz w:val="20"/>
                <w:lang w:val="pt-PT"/>
              </w:rPr>
              <w:t>a</w:t>
            </w:r>
            <w:r w:rsidR="00A55B18" w:rsidRPr="002606DB">
              <w:rPr>
                <w:b/>
                <w:snapToGrid w:val="0"/>
                <w:sz w:val="20"/>
                <w:lang w:val="pt-PT"/>
              </w:rPr>
              <w:t xml:space="preserve">nálise </w:t>
            </w:r>
            <w:r w:rsidRPr="002606DB">
              <w:rPr>
                <w:b/>
                <w:snapToGrid w:val="0"/>
                <w:sz w:val="20"/>
                <w:lang w:val="pt-PT"/>
              </w:rPr>
              <w:t>primária</w:t>
            </w:r>
            <w:r w:rsidRPr="002606DB">
              <w:rPr>
                <w:b/>
                <w:snapToGrid w:val="0"/>
                <w:sz w:val="20"/>
                <w:vertAlign w:val="superscript"/>
                <w:lang w:val="pt-PT"/>
              </w:rPr>
              <w:t>6</w:t>
            </w:r>
          </w:p>
        </w:tc>
      </w:tr>
      <w:tr w:rsidR="00162CE2" w:rsidRPr="002606DB" w14:paraId="3E67608A" w14:textId="77777777" w:rsidTr="004B1FF7">
        <w:trPr>
          <w:cantSplit/>
        </w:trPr>
        <w:tc>
          <w:tcPr>
            <w:tcW w:w="4111" w:type="dxa"/>
          </w:tcPr>
          <w:p w14:paraId="16A77A74" w14:textId="40133C00" w:rsidR="00162CE2" w:rsidRPr="002606DB" w:rsidRDefault="00162CE2" w:rsidP="004B1FF7">
            <w:pPr>
              <w:pStyle w:val="TableParagraph"/>
              <w:keepNext/>
              <w:keepLines/>
              <w:adjustRightInd w:val="0"/>
              <w:snapToGrid w:val="0"/>
              <w:rPr>
                <w:snapToGrid w:val="0"/>
                <w:sz w:val="20"/>
                <w:lang w:val="pt-PT"/>
              </w:rPr>
            </w:pPr>
            <w:r w:rsidRPr="002606DB">
              <w:rPr>
                <w:snapToGrid w:val="0"/>
                <w:sz w:val="20"/>
                <w:lang w:val="pt-PT"/>
              </w:rPr>
              <w:t>Respondedores (</w:t>
            </w:r>
            <w:r w:rsidR="00FA5C21">
              <w:rPr>
                <w:snapToGrid w:val="0"/>
                <w:sz w:val="20"/>
                <w:lang w:val="pt-PT"/>
              </w:rPr>
              <w:t>t</w:t>
            </w:r>
            <w:r w:rsidRPr="002606DB">
              <w:rPr>
                <w:snapToGrid w:val="0"/>
                <w:sz w:val="20"/>
                <w:lang w:val="pt-PT"/>
              </w:rPr>
              <w:t>axa de resposta</w:t>
            </w:r>
            <w:r w:rsidRPr="002606DB">
              <w:rPr>
                <w:snapToGrid w:val="0"/>
                <w:sz w:val="20"/>
                <w:vertAlign w:val="superscript"/>
                <w:lang w:val="pt-PT"/>
              </w:rPr>
              <w:t>2</w:t>
            </w:r>
            <w:r w:rsidRPr="002606DB">
              <w:rPr>
                <w:snapToGrid w:val="0"/>
                <w:sz w:val="20"/>
                <w:lang w:val="pt-PT"/>
              </w:rPr>
              <w:t>)</w:t>
            </w:r>
          </w:p>
        </w:tc>
        <w:tc>
          <w:tcPr>
            <w:tcW w:w="2282" w:type="dxa"/>
          </w:tcPr>
          <w:p w14:paraId="321169F1"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76 (33,8 %)</w:t>
            </w:r>
          </w:p>
        </w:tc>
        <w:tc>
          <w:tcPr>
            <w:tcW w:w="2520" w:type="dxa"/>
          </w:tcPr>
          <w:p w14:paraId="611A060F"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103 (45,4 %)</w:t>
            </w:r>
          </w:p>
        </w:tc>
      </w:tr>
      <w:tr w:rsidR="00162CE2" w:rsidRPr="002606DB" w14:paraId="584FCB76" w14:textId="77777777" w:rsidTr="004B1FF7">
        <w:trPr>
          <w:cantSplit/>
        </w:trPr>
        <w:tc>
          <w:tcPr>
            <w:tcW w:w="4111" w:type="dxa"/>
          </w:tcPr>
          <w:p w14:paraId="1EEF67F9" w14:textId="1C71466B" w:rsidR="00162CE2" w:rsidRPr="002606DB" w:rsidRDefault="00162CE2" w:rsidP="004B1FF7">
            <w:pPr>
              <w:pStyle w:val="TableParagraph"/>
              <w:keepNext/>
              <w:keepLines/>
              <w:adjustRightInd w:val="0"/>
              <w:snapToGrid w:val="0"/>
              <w:rPr>
                <w:snapToGrid w:val="0"/>
                <w:sz w:val="20"/>
                <w:lang w:val="pt-PT"/>
              </w:rPr>
            </w:pPr>
            <w:r w:rsidRPr="002606DB">
              <w:rPr>
                <w:snapToGrid w:val="0"/>
                <w:sz w:val="20"/>
                <w:lang w:val="pt-PT"/>
              </w:rPr>
              <w:t xml:space="preserve">IC 95% para </w:t>
            </w:r>
            <w:r w:rsidR="00FA5C21">
              <w:rPr>
                <w:snapToGrid w:val="0"/>
                <w:sz w:val="20"/>
                <w:lang w:val="pt-PT"/>
              </w:rPr>
              <w:t>t</w:t>
            </w:r>
            <w:r w:rsidRPr="002606DB">
              <w:rPr>
                <w:snapToGrid w:val="0"/>
                <w:sz w:val="20"/>
                <w:lang w:val="pt-PT"/>
              </w:rPr>
              <w:t xml:space="preserve">axas de </w:t>
            </w:r>
            <w:r w:rsidR="00FA5C21">
              <w:rPr>
                <w:snapToGrid w:val="0"/>
                <w:sz w:val="20"/>
                <w:lang w:val="pt-PT"/>
              </w:rPr>
              <w:t>r</w:t>
            </w:r>
            <w:r w:rsidRPr="002606DB">
              <w:rPr>
                <w:snapToGrid w:val="0"/>
                <w:sz w:val="20"/>
                <w:lang w:val="pt-PT"/>
              </w:rPr>
              <w:t>esposta</w:t>
            </w:r>
            <w:r w:rsidRPr="002606DB">
              <w:rPr>
                <w:snapToGrid w:val="0"/>
                <w:sz w:val="20"/>
                <w:vertAlign w:val="superscript"/>
                <w:lang w:val="pt-PT"/>
              </w:rPr>
              <w:t>3</w:t>
            </w:r>
          </w:p>
        </w:tc>
        <w:tc>
          <w:tcPr>
            <w:tcW w:w="2282" w:type="dxa"/>
          </w:tcPr>
          <w:p w14:paraId="61748D21"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[27,6%; 40,4%]</w:t>
            </w:r>
          </w:p>
        </w:tc>
        <w:tc>
          <w:tcPr>
            <w:tcW w:w="2520" w:type="dxa"/>
          </w:tcPr>
          <w:p w14:paraId="4F570461" w14:textId="77777777" w:rsidR="00162CE2" w:rsidRPr="002606DB" w:rsidRDefault="00162CE2" w:rsidP="004B1FF7">
            <w:pPr>
              <w:pStyle w:val="TableParagraph"/>
              <w:keepNext/>
              <w:keepLines/>
              <w:adjustRightInd w:val="0"/>
              <w:snapToGrid w:val="0"/>
              <w:jc w:val="center"/>
              <w:rPr>
                <w:snapToGrid w:val="0"/>
                <w:sz w:val="20"/>
                <w:lang w:val="pt-PT"/>
              </w:rPr>
            </w:pPr>
            <w:r w:rsidRPr="002606DB">
              <w:rPr>
                <w:snapToGrid w:val="0"/>
                <w:sz w:val="20"/>
                <w:lang w:val="pt-PT"/>
              </w:rPr>
              <w:t>[38,8%; 52,1%]</w:t>
            </w:r>
          </w:p>
        </w:tc>
      </w:tr>
      <w:tr w:rsidR="00162CE2" w:rsidRPr="002606DB" w14:paraId="260B7F90" w14:textId="77777777" w:rsidTr="004B1FF7">
        <w:trPr>
          <w:cantSplit/>
        </w:trPr>
        <w:tc>
          <w:tcPr>
            <w:tcW w:w="4111" w:type="dxa"/>
          </w:tcPr>
          <w:p w14:paraId="083D5FFD" w14:textId="6BD63E8C"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Diferença nas </w:t>
            </w:r>
            <w:r w:rsidR="00FA5C21">
              <w:rPr>
                <w:snapToGrid w:val="0"/>
                <w:sz w:val="20"/>
                <w:lang w:val="pt-PT"/>
              </w:rPr>
              <w:t>t</w:t>
            </w:r>
            <w:r w:rsidRPr="002606DB">
              <w:rPr>
                <w:snapToGrid w:val="0"/>
                <w:sz w:val="20"/>
                <w:lang w:val="pt-PT"/>
              </w:rPr>
              <w:t xml:space="preserve">axas de </w:t>
            </w:r>
            <w:r w:rsidR="00FA5C21">
              <w:rPr>
                <w:snapToGrid w:val="0"/>
                <w:sz w:val="20"/>
                <w:lang w:val="pt-PT"/>
              </w:rPr>
              <w:t>r</w:t>
            </w:r>
            <w:r w:rsidRPr="002606DB">
              <w:rPr>
                <w:snapToGrid w:val="0"/>
                <w:sz w:val="20"/>
                <w:lang w:val="pt-PT"/>
              </w:rPr>
              <w:t>esposta</w:t>
            </w:r>
          </w:p>
        </w:tc>
        <w:tc>
          <w:tcPr>
            <w:tcW w:w="4802" w:type="dxa"/>
            <w:gridSpan w:val="2"/>
          </w:tcPr>
          <w:p w14:paraId="3598128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11,60%</w:t>
            </w:r>
          </w:p>
        </w:tc>
      </w:tr>
      <w:tr w:rsidR="00162CE2" w:rsidRPr="002606DB" w14:paraId="5232F142" w14:textId="77777777" w:rsidTr="004B1FF7">
        <w:trPr>
          <w:cantSplit/>
        </w:trPr>
        <w:tc>
          <w:tcPr>
            <w:tcW w:w="4111" w:type="dxa"/>
          </w:tcPr>
          <w:p w14:paraId="22298BD5" w14:textId="1A0ADB8C" w:rsidR="00162CE2" w:rsidRPr="002606DB" w:rsidRDefault="00162CE2" w:rsidP="00056F35">
            <w:pPr>
              <w:pStyle w:val="TableParagraph"/>
              <w:adjustRightInd w:val="0"/>
              <w:snapToGrid w:val="0"/>
              <w:rPr>
                <w:snapToGrid w:val="0"/>
                <w:sz w:val="20"/>
                <w:lang w:val="pt-PT"/>
              </w:rPr>
            </w:pPr>
            <w:r w:rsidRPr="002606DB">
              <w:rPr>
                <w:snapToGrid w:val="0"/>
                <w:sz w:val="20"/>
                <w:lang w:val="pt-PT"/>
              </w:rPr>
              <w:t xml:space="preserve">IC 95% para Diferença nas </w:t>
            </w:r>
            <w:r w:rsidR="00FA5C21">
              <w:rPr>
                <w:snapToGrid w:val="0"/>
                <w:sz w:val="20"/>
                <w:lang w:val="pt-PT"/>
              </w:rPr>
              <w:t>t</w:t>
            </w:r>
            <w:r w:rsidRPr="002606DB">
              <w:rPr>
                <w:snapToGrid w:val="0"/>
                <w:sz w:val="20"/>
                <w:lang w:val="pt-PT"/>
              </w:rPr>
              <w:t xml:space="preserve">axas de </w:t>
            </w:r>
            <w:r w:rsidR="00FA5C21">
              <w:rPr>
                <w:snapToGrid w:val="0"/>
                <w:sz w:val="20"/>
                <w:lang w:val="pt-PT"/>
              </w:rPr>
              <w:t>r</w:t>
            </w:r>
            <w:r w:rsidRPr="002606DB">
              <w:rPr>
                <w:snapToGrid w:val="0"/>
                <w:sz w:val="20"/>
                <w:lang w:val="pt-PT"/>
              </w:rPr>
              <w:t>esposta</w:t>
            </w:r>
            <w:r w:rsidRPr="002606DB">
              <w:rPr>
                <w:snapToGrid w:val="0"/>
                <w:sz w:val="20"/>
                <w:vertAlign w:val="superscript"/>
                <w:lang w:val="pt-PT"/>
              </w:rPr>
              <w:t>4</w:t>
            </w:r>
          </w:p>
        </w:tc>
        <w:tc>
          <w:tcPr>
            <w:tcW w:w="4802" w:type="dxa"/>
            <w:gridSpan w:val="2"/>
          </w:tcPr>
          <w:p w14:paraId="2EE6400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[2,4%; 20,8%]</w:t>
            </w:r>
          </w:p>
        </w:tc>
      </w:tr>
      <w:tr w:rsidR="00162CE2" w:rsidRPr="002606DB" w14:paraId="7F956BC0" w14:textId="77777777" w:rsidTr="004B1FF7">
        <w:trPr>
          <w:cantSplit/>
        </w:trPr>
        <w:tc>
          <w:tcPr>
            <w:tcW w:w="4111" w:type="dxa"/>
          </w:tcPr>
          <w:p w14:paraId="075E4AF8" w14:textId="5133BFDA" w:rsidR="00162CE2" w:rsidRPr="002606DB" w:rsidRDefault="00162CE2" w:rsidP="00056F35">
            <w:pPr>
              <w:pStyle w:val="TableParagraph"/>
              <w:adjustRightInd w:val="0"/>
              <w:snapToGrid w:val="0"/>
              <w:rPr>
                <w:snapToGrid w:val="0"/>
                <w:sz w:val="20"/>
                <w:lang w:val="pt-PT"/>
              </w:rPr>
            </w:pPr>
            <w:r w:rsidRPr="002606DB">
              <w:rPr>
                <w:snapToGrid w:val="0"/>
                <w:sz w:val="20"/>
                <w:lang w:val="pt-PT"/>
              </w:rPr>
              <w:t>Valor de p (</w:t>
            </w:r>
            <w:r w:rsidR="00FA5C21">
              <w:rPr>
                <w:snapToGrid w:val="0"/>
                <w:sz w:val="20"/>
                <w:lang w:val="pt-PT"/>
              </w:rPr>
              <w:t>t</w:t>
            </w:r>
            <w:r w:rsidRPr="002606DB">
              <w:rPr>
                <w:snapToGrid w:val="0"/>
                <w:sz w:val="20"/>
                <w:lang w:val="pt-PT"/>
              </w:rPr>
              <w:t xml:space="preserve">este </w:t>
            </w:r>
            <w:r w:rsidR="00FA5C21">
              <w:rPr>
                <w:snapToGrid w:val="0"/>
                <w:sz w:val="20"/>
                <w:lang w:val="pt-PT"/>
              </w:rPr>
              <w:t>q</w:t>
            </w:r>
            <w:r w:rsidRPr="002606DB">
              <w:rPr>
                <w:snapToGrid w:val="0"/>
                <w:sz w:val="20"/>
                <w:lang w:val="pt-PT"/>
              </w:rPr>
              <w:t>ui</w:t>
            </w:r>
            <w:r w:rsidR="00052D84" w:rsidRPr="002606DB">
              <w:rPr>
                <w:snapToGrid w:val="0"/>
                <w:sz w:val="20"/>
                <w:lang w:val="pt-PT"/>
              </w:rPr>
              <w:noBreakHyphen/>
            </w:r>
            <w:r w:rsidRPr="002606DB">
              <w:rPr>
                <w:snapToGrid w:val="0"/>
                <w:sz w:val="20"/>
                <w:lang w:val="pt-PT"/>
              </w:rPr>
              <w:t>quadrado)</w:t>
            </w:r>
          </w:p>
        </w:tc>
        <w:tc>
          <w:tcPr>
            <w:tcW w:w="4802" w:type="dxa"/>
            <w:gridSpan w:val="2"/>
          </w:tcPr>
          <w:p w14:paraId="476EC557"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0,0117</w:t>
            </w:r>
          </w:p>
        </w:tc>
      </w:tr>
    </w:tbl>
    <w:p w14:paraId="22539A17" w14:textId="47D148ED"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Estimativas Kaplan</w:t>
      </w:r>
      <w:r w:rsidR="00052D84" w:rsidRPr="002606DB">
        <w:rPr>
          <w:snapToGrid w:val="0"/>
          <w:sz w:val="18"/>
          <w:szCs w:val="18"/>
          <w:lang w:val="pt-PT"/>
        </w:rPr>
        <w:noBreakHyphen/>
      </w:r>
      <w:r w:rsidRPr="002606DB">
        <w:rPr>
          <w:snapToGrid w:val="0"/>
          <w:sz w:val="18"/>
          <w:szCs w:val="18"/>
          <w:lang w:val="pt-PT"/>
        </w:rPr>
        <w:t>Meier</w:t>
      </w:r>
    </w:p>
    <w:p w14:paraId="7C4B2936"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2</w:t>
      </w:r>
      <w:r w:rsidRPr="002606DB">
        <w:rPr>
          <w:snapToGrid w:val="0"/>
          <w:sz w:val="18"/>
          <w:szCs w:val="18"/>
          <w:lang w:val="pt-PT"/>
        </w:rPr>
        <w:t xml:space="preserve"> Doentes e percentagem de doentes com melhor resposta global das respostas completa ou parcial confirmadas; percentagem calculada em doentes com doença mensurável na linha de base</w:t>
      </w:r>
    </w:p>
    <w:p w14:paraId="6A78FA0B" w14:textId="42E789AF"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3</w:t>
      </w:r>
      <w:r w:rsidRPr="002606DB">
        <w:rPr>
          <w:snapToGrid w:val="0"/>
          <w:sz w:val="18"/>
          <w:szCs w:val="18"/>
          <w:lang w:val="pt-PT"/>
        </w:rPr>
        <w:t xml:space="preserve"> IC 95% para uma amostra binomial utilizando o método de Pearson</w:t>
      </w:r>
      <w:r w:rsidR="00052D84" w:rsidRPr="002606DB">
        <w:rPr>
          <w:snapToGrid w:val="0"/>
          <w:sz w:val="18"/>
          <w:szCs w:val="18"/>
          <w:lang w:val="pt-PT"/>
        </w:rPr>
        <w:noBreakHyphen/>
      </w:r>
      <w:r w:rsidRPr="002606DB">
        <w:rPr>
          <w:snapToGrid w:val="0"/>
          <w:sz w:val="18"/>
          <w:szCs w:val="18"/>
          <w:lang w:val="pt-PT"/>
        </w:rPr>
        <w:t>Clopper</w:t>
      </w:r>
    </w:p>
    <w:p w14:paraId="3E1D7AE5" w14:textId="4799D365"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4</w:t>
      </w:r>
      <w:r w:rsidRPr="002606DB">
        <w:rPr>
          <w:snapToGrid w:val="0"/>
          <w:sz w:val="18"/>
          <w:szCs w:val="18"/>
          <w:lang w:val="pt-PT"/>
        </w:rPr>
        <w:t xml:space="preserve"> IC de aproximadamente 95% para a diferença entre as duas taxas utilizando o método de Hauck</w:t>
      </w:r>
      <w:r w:rsidR="00052D84" w:rsidRPr="002606DB">
        <w:rPr>
          <w:snapToGrid w:val="0"/>
          <w:sz w:val="18"/>
          <w:szCs w:val="18"/>
          <w:lang w:val="pt-PT"/>
        </w:rPr>
        <w:noBreakHyphen/>
      </w:r>
      <w:r w:rsidRPr="002606DB">
        <w:rPr>
          <w:snapToGrid w:val="0"/>
          <w:sz w:val="18"/>
          <w:szCs w:val="18"/>
          <w:lang w:val="pt-PT"/>
        </w:rPr>
        <w:t>Anderson</w:t>
      </w:r>
    </w:p>
    <w:p w14:paraId="0C00898C" w14:textId="734F94D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5</w:t>
      </w:r>
      <w:r w:rsidRPr="002606DB">
        <w:rPr>
          <w:snapToGrid w:val="0"/>
          <w:sz w:val="18"/>
          <w:szCs w:val="18"/>
          <w:lang w:val="pt-PT"/>
        </w:rPr>
        <w:t xml:space="preserve"> teste log</w:t>
      </w:r>
      <w:r w:rsidR="00052D84" w:rsidRPr="002606DB">
        <w:rPr>
          <w:snapToGrid w:val="0"/>
          <w:sz w:val="18"/>
          <w:szCs w:val="18"/>
          <w:lang w:val="pt-PT"/>
        </w:rPr>
        <w:noBreakHyphen/>
      </w:r>
      <w:r w:rsidRPr="002606DB">
        <w:rPr>
          <w:snapToGrid w:val="0"/>
          <w:sz w:val="18"/>
          <w:szCs w:val="18"/>
          <w:lang w:val="pt-PT"/>
        </w:rPr>
        <w:t>rank (estratificado)</w:t>
      </w:r>
    </w:p>
    <w:p w14:paraId="0BA977FC" w14:textId="4F0E036D"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6</w:t>
      </w:r>
      <w:r w:rsidRPr="002606DB">
        <w:rPr>
          <w:snapToGrid w:val="0"/>
          <w:sz w:val="18"/>
          <w:szCs w:val="18"/>
          <w:lang w:val="pt-PT"/>
        </w:rPr>
        <w:t xml:space="preserve"> A análise primária foi efetuada com uma data de </w:t>
      </w:r>
      <w:r w:rsidRPr="002606DB">
        <w:rPr>
          <w:i/>
          <w:snapToGrid w:val="0"/>
          <w:sz w:val="18"/>
          <w:szCs w:val="18"/>
          <w:lang w:val="pt-PT"/>
        </w:rPr>
        <w:t>cut</w:t>
      </w:r>
      <w:r w:rsidR="00052D84"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12 de dezembro de 2012 e é considerada a análise final</w:t>
      </w:r>
    </w:p>
    <w:p w14:paraId="7F6CB3E4" w14:textId="712E0541"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7</w:t>
      </w:r>
      <w:r w:rsidRPr="002606DB">
        <w:rPr>
          <w:snapToGrid w:val="0"/>
          <w:sz w:val="18"/>
          <w:szCs w:val="18"/>
          <w:lang w:val="pt-PT"/>
        </w:rPr>
        <w:t xml:space="preserve"> A análise de </w:t>
      </w:r>
      <w:r w:rsidRPr="002606DB">
        <w:rPr>
          <w:i/>
          <w:snapToGrid w:val="0"/>
          <w:sz w:val="18"/>
          <w:szCs w:val="18"/>
          <w:lang w:val="pt-PT"/>
        </w:rPr>
        <w:t>follow</w:t>
      </w:r>
      <w:r w:rsidR="00052D84" w:rsidRPr="002606DB">
        <w:rPr>
          <w:i/>
          <w:snapToGrid w:val="0"/>
          <w:sz w:val="18"/>
          <w:szCs w:val="18"/>
          <w:lang w:val="pt-PT"/>
        </w:rPr>
        <w:noBreakHyphen/>
      </w:r>
      <w:r w:rsidRPr="002606DB">
        <w:rPr>
          <w:i/>
          <w:snapToGrid w:val="0"/>
          <w:sz w:val="18"/>
          <w:szCs w:val="18"/>
          <w:lang w:val="pt-PT"/>
        </w:rPr>
        <w:t xml:space="preserve">up </w:t>
      </w:r>
      <w:r w:rsidRPr="002606DB">
        <w:rPr>
          <w:snapToGrid w:val="0"/>
          <w:sz w:val="18"/>
          <w:szCs w:val="18"/>
          <w:lang w:val="pt-PT"/>
        </w:rPr>
        <w:t xml:space="preserve">foi efetuada com uma data de </w:t>
      </w:r>
      <w:r w:rsidRPr="002606DB">
        <w:rPr>
          <w:i/>
          <w:snapToGrid w:val="0"/>
          <w:sz w:val="18"/>
          <w:szCs w:val="18"/>
          <w:lang w:val="pt-PT"/>
        </w:rPr>
        <w:t>cut</w:t>
      </w:r>
      <w:r w:rsidR="00052D84"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07 de março de 2014</w:t>
      </w:r>
    </w:p>
    <w:p w14:paraId="083E3E9F" w14:textId="77777777"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8</w:t>
      </w:r>
      <w:r w:rsidRPr="002606DB">
        <w:rPr>
          <w:snapToGrid w:val="0"/>
          <w:sz w:val="18"/>
          <w:szCs w:val="18"/>
          <w:lang w:val="pt-PT"/>
        </w:rPr>
        <w:t xml:space="preserve"> Valor de p exibido apenas para fins descritivos</w:t>
      </w:r>
    </w:p>
    <w:p w14:paraId="56F518ED" w14:textId="77777777" w:rsidR="00162CE2" w:rsidRPr="002606DB" w:rsidRDefault="00162CE2" w:rsidP="00056F35">
      <w:pPr>
        <w:adjustRightInd w:val="0"/>
        <w:snapToGrid w:val="0"/>
        <w:rPr>
          <w:snapToGrid w:val="0"/>
          <w:lang w:val="pt-PT"/>
        </w:rPr>
      </w:pPr>
    </w:p>
    <w:p w14:paraId="13CA1AA9" w14:textId="77777777" w:rsidR="00162CE2" w:rsidRPr="00730741" w:rsidRDefault="00162CE2" w:rsidP="00730741">
      <w:pPr>
        <w:pStyle w:val="a3"/>
        <w:keepNext/>
        <w:keepLines/>
        <w:widowControl/>
        <w:adjustRightInd w:val="0"/>
        <w:snapToGrid w:val="0"/>
        <w:ind w:left="1134" w:hanging="1134"/>
        <w:rPr>
          <w:b/>
          <w:bCs/>
          <w:snapToGrid w:val="0"/>
          <w:lang w:val="pt-PT"/>
        </w:rPr>
      </w:pPr>
      <w:r w:rsidRPr="00730741">
        <w:rPr>
          <w:b/>
          <w:bCs/>
          <w:snapToGrid w:val="0"/>
          <w:lang w:val="pt-PT"/>
        </w:rPr>
        <w:t>Tabela 26</w:t>
      </w:r>
      <w:r w:rsidRPr="00730741">
        <w:rPr>
          <w:b/>
          <w:bCs/>
          <w:snapToGrid w:val="0"/>
          <w:lang w:val="pt-PT"/>
        </w:rPr>
        <w:tab/>
        <w:t>Resultados de sobrevivência global no estudo GOG-0240 por Tratamento do Ensaio</w:t>
      </w:r>
    </w:p>
    <w:p w14:paraId="4B6D81B6" w14:textId="77777777" w:rsidR="00162CE2" w:rsidRPr="002606DB" w:rsidRDefault="00162CE2" w:rsidP="00056F35">
      <w:pPr>
        <w:pStyle w:val="a3"/>
        <w:adjustRightInd w:val="0"/>
        <w:snapToGrid w:val="0"/>
        <w:rPr>
          <w:b/>
          <w:snapToGrid w:val="0"/>
          <w:lang w:val="pt-PT"/>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305"/>
        <w:gridCol w:w="3218"/>
        <w:gridCol w:w="3218"/>
      </w:tblGrid>
      <w:tr w:rsidR="00FE403D" w:rsidRPr="002606DB" w14:paraId="00380785" w14:textId="77777777" w:rsidTr="00A03389">
        <w:trPr>
          <w:cantSplit/>
        </w:trPr>
        <w:tc>
          <w:tcPr>
            <w:tcW w:w="704" w:type="pct"/>
          </w:tcPr>
          <w:p w14:paraId="4316056C" w14:textId="77777777" w:rsidR="00162CE2" w:rsidRPr="00A03389" w:rsidRDefault="00162CE2" w:rsidP="00EF719B">
            <w:pPr>
              <w:pStyle w:val="TableParagraph"/>
              <w:adjustRightInd w:val="0"/>
              <w:snapToGrid w:val="0"/>
              <w:jc w:val="center"/>
              <w:rPr>
                <w:b/>
                <w:bCs/>
                <w:snapToGrid w:val="0"/>
                <w:sz w:val="20"/>
                <w:lang w:val="pt-PT"/>
              </w:rPr>
            </w:pPr>
            <w:r w:rsidRPr="00A03389">
              <w:rPr>
                <w:b/>
                <w:bCs/>
                <w:snapToGrid w:val="0"/>
                <w:sz w:val="20"/>
                <w:lang w:val="pt-PT"/>
              </w:rPr>
              <w:t>Tratamento comparação</w:t>
            </w:r>
          </w:p>
        </w:tc>
        <w:tc>
          <w:tcPr>
            <w:tcW w:w="704" w:type="pct"/>
          </w:tcPr>
          <w:p w14:paraId="3EDAE610" w14:textId="77777777" w:rsidR="00162CE2" w:rsidRPr="00A03389" w:rsidRDefault="00162CE2" w:rsidP="00EF719B">
            <w:pPr>
              <w:pStyle w:val="TableParagraph"/>
              <w:adjustRightInd w:val="0"/>
              <w:snapToGrid w:val="0"/>
              <w:jc w:val="center"/>
              <w:rPr>
                <w:b/>
                <w:bCs/>
                <w:snapToGrid w:val="0"/>
                <w:sz w:val="20"/>
                <w:lang w:val="pt-PT"/>
              </w:rPr>
            </w:pPr>
            <w:r w:rsidRPr="00A03389">
              <w:rPr>
                <w:b/>
                <w:bCs/>
                <w:snapToGrid w:val="0"/>
                <w:sz w:val="20"/>
                <w:lang w:val="pt-PT"/>
              </w:rPr>
              <w:t>Outro fator</w:t>
            </w:r>
          </w:p>
        </w:tc>
        <w:tc>
          <w:tcPr>
            <w:tcW w:w="1796" w:type="pct"/>
          </w:tcPr>
          <w:p w14:paraId="6EB8C7E1" w14:textId="366BEB3D" w:rsidR="00162CE2" w:rsidRPr="00A03389" w:rsidRDefault="00162CE2" w:rsidP="00EF719B">
            <w:pPr>
              <w:pStyle w:val="TableParagraph"/>
              <w:adjustRightInd w:val="0"/>
              <w:snapToGrid w:val="0"/>
              <w:jc w:val="center"/>
              <w:rPr>
                <w:b/>
                <w:bCs/>
                <w:snapToGrid w:val="0"/>
                <w:sz w:val="20"/>
                <w:lang w:val="pt-PT"/>
              </w:rPr>
            </w:pPr>
            <w:r w:rsidRPr="00A03389">
              <w:rPr>
                <w:b/>
                <w:bCs/>
                <w:snapToGrid w:val="0"/>
                <w:sz w:val="20"/>
                <w:lang w:val="pt-PT"/>
              </w:rPr>
              <w:t xml:space="preserve">Sobrevivência </w:t>
            </w:r>
            <w:r w:rsidR="00FA5C21" w:rsidRPr="00A03389">
              <w:rPr>
                <w:b/>
                <w:bCs/>
                <w:snapToGrid w:val="0"/>
                <w:sz w:val="20"/>
                <w:lang w:val="pt-PT"/>
              </w:rPr>
              <w:t>g</w:t>
            </w:r>
            <w:r w:rsidRPr="00A03389">
              <w:rPr>
                <w:b/>
                <w:bCs/>
                <w:snapToGrid w:val="0"/>
                <w:sz w:val="20"/>
                <w:lang w:val="pt-PT"/>
              </w:rPr>
              <w:t xml:space="preserve">lobal – </w:t>
            </w:r>
            <w:r w:rsidR="00FA5C21" w:rsidRPr="00A03389">
              <w:rPr>
                <w:b/>
                <w:bCs/>
                <w:snapToGrid w:val="0"/>
                <w:sz w:val="20"/>
                <w:lang w:val="pt-PT"/>
              </w:rPr>
              <w:t>a</w:t>
            </w:r>
            <w:r w:rsidRPr="00A03389">
              <w:rPr>
                <w:b/>
                <w:bCs/>
                <w:snapToGrid w:val="0"/>
                <w:sz w:val="20"/>
                <w:lang w:val="pt-PT"/>
              </w:rPr>
              <w:t>nálise primária</w:t>
            </w:r>
            <w:r w:rsidRPr="00A03389">
              <w:rPr>
                <w:b/>
                <w:bCs/>
                <w:snapToGrid w:val="0"/>
                <w:sz w:val="20"/>
                <w:vertAlign w:val="superscript"/>
                <w:lang w:val="pt-PT"/>
              </w:rPr>
              <w:t>1</w:t>
            </w:r>
          </w:p>
          <w:p w14:paraId="41D8FB4C" w14:textId="77777777" w:rsidR="00162CE2" w:rsidRPr="00A03389" w:rsidRDefault="00162CE2" w:rsidP="00EF719B">
            <w:pPr>
              <w:pStyle w:val="TableParagraph"/>
              <w:adjustRightInd w:val="0"/>
              <w:snapToGrid w:val="0"/>
              <w:jc w:val="center"/>
              <w:rPr>
                <w:b/>
                <w:bCs/>
                <w:snapToGrid w:val="0"/>
                <w:sz w:val="20"/>
                <w:lang w:val="pt-PT"/>
              </w:rPr>
            </w:pPr>
            <w:r w:rsidRPr="00A03389">
              <w:rPr>
                <w:b/>
                <w:bCs/>
                <w:iCs/>
                <w:snapToGrid w:val="0"/>
                <w:sz w:val="20"/>
                <w:lang w:val="pt-PT"/>
              </w:rPr>
              <w:t>Hazard Ratio</w:t>
            </w:r>
            <w:r w:rsidRPr="00A03389">
              <w:rPr>
                <w:b/>
                <w:bCs/>
                <w:i/>
                <w:snapToGrid w:val="0"/>
                <w:sz w:val="20"/>
                <w:lang w:val="pt-PT"/>
              </w:rPr>
              <w:t xml:space="preserve"> </w:t>
            </w:r>
            <w:r w:rsidRPr="00A03389">
              <w:rPr>
                <w:b/>
                <w:bCs/>
                <w:snapToGrid w:val="0"/>
                <w:sz w:val="20"/>
                <w:lang w:val="pt-PT"/>
              </w:rPr>
              <w:t>(taxa de risco) (IC 95%)</w:t>
            </w:r>
          </w:p>
        </w:tc>
        <w:tc>
          <w:tcPr>
            <w:tcW w:w="1796" w:type="pct"/>
          </w:tcPr>
          <w:p w14:paraId="3C2D767D" w14:textId="7206FA06" w:rsidR="00162CE2" w:rsidRPr="00A03389" w:rsidRDefault="00162CE2" w:rsidP="00530675">
            <w:pPr>
              <w:pStyle w:val="TableParagraph"/>
              <w:adjustRightInd w:val="0"/>
              <w:snapToGrid w:val="0"/>
              <w:jc w:val="center"/>
              <w:rPr>
                <w:b/>
                <w:bCs/>
                <w:i/>
                <w:snapToGrid w:val="0"/>
                <w:sz w:val="20"/>
                <w:lang w:val="pt-PT"/>
              </w:rPr>
            </w:pPr>
            <w:r w:rsidRPr="00A03389">
              <w:rPr>
                <w:b/>
                <w:bCs/>
                <w:snapToGrid w:val="0"/>
                <w:sz w:val="20"/>
                <w:lang w:val="pt-PT"/>
              </w:rPr>
              <w:t xml:space="preserve">Sobrevivência </w:t>
            </w:r>
            <w:r w:rsidR="00FA5C21" w:rsidRPr="00A03389">
              <w:rPr>
                <w:b/>
                <w:bCs/>
                <w:snapToGrid w:val="0"/>
                <w:sz w:val="20"/>
                <w:lang w:val="pt-PT"/>
              </w:rPr>
              <w:t>g</w:t>
            </w:r>
            <w:r w:rsidRPr="00A03389">
              <w:rPr>
                <w:b/>
                <w:bCs/>
                <w:snapToGrid w:val="0"/>
                <w:sz w:val="20"/>
                <w:lang w:val="pt-PT"/>
              </w:rPr>
              <w:t xml:space="preserve">lobal – </w:t>
            </w:r>
            <w:r w:rsidR="00FA5C21" w:rsidRPr="00A03389">
              <w:rPr>
                <w:b/>
                <w:bCs/>
                <w:snapToGrid w:val="0"/>
                <w:sz w:val="20"/>
                <w:lang w:val="pt-PT"/>
              </w:rPr>
              <w:t>a</w:t>
            </w:r>
            <w:r w:rsidRPr="00A03389">
              <w:rPr>
                <w:b/>
                <w:bCs/>
                <w:snapToGrid w:val="0"/>
                <w:sz w:val="20"/>
                <w:lang w:val="pt-PT"/>
              </w:rPr>
              <w:t xml:space="preserve">nálise de </w:t>
            </w:r>
            <w:r w:rsidRPr="00A03389">
              <w:rPr>
                <w:b/>
                <w:bCs/>
                <w:i/>
                <w:snapToGrid w:val="0"/>
                <w:sz w:val="20"/>
                <w:lang w:val="pt-PT"/>
              </w:rPr>
              <w:t>follow</w:t>
            </w:r>
            <w:r w:rsidR="00052D84" w:rsidRPr="00A03389">
              <w:rPr>
                <w:b/>
                <w:bCs/>
                <w:i/>
                <w:snapToGrid w:val="0"/>
                <w:sz w:val="20"/>
                <w:lang w:val="pt-PT"/>
              </w:rPr>
              <w:noBreakHyphen/>
            </w:r>
            <w:r w:rsidRPr="00A03389">
              <w:rPr>
                <w:b/>
                <w:bCs/>
                <w:i/>
                <w:snapToGrid w:val="0"/>
                <w:sz w:val="20"/>
                <w:lang w:val="pt-PT"/>
              </w:rPr>
              <w:t>up</w:t>
            </w:r>
            <w:r w:rsidRPr="00A03389">
              <w:rPr>
                <w:b/>
                <w:bCs/>
                <w:i/>
                <w:snapToGrid w:val="0"/>
                <w:sz w:val="20"/>
                <w:vertAlign w:val="superscript"/>
                <w:lang w:val="pt-PT"/>
              </w:rPr>
              <w:t>2</w:t>
            </w:r>
          </w:p>
          <w:p w14:paraId="3727781F" w14:textId="77777777" w:rsidR="00162CE2" w:rsidRPr="00A03389" w:rsidRDefault="00162CE2" w:rsidP="00EF719B">
            <w:pPr>
              <w:pStyle w:val="TableParagraph"/>
              <w:adjustRightInd w:val="0"/>
              <w:snapToGrid w:val="0"/>
              <w:jc w:val="center"/>
              <w:rPr>
                <w:b/>
                <w:bCs/>
                <w:snapToGrid w:val="0"/>
                <w:sz w:val="20"/>
                <w:lang w:val="pt-PT"/>
              </w:rPr>
            </w:pPr>
            <w:r w:rsidRPr="00A03389">
              <w:rPr>
                <w:b/>
                <w:bCs/>
                <w:iCs/>
                <w:snapToGrid w:val="0"/>
                <w:sz w:val="20"/>
                <w:lang w:val="pt-PT"/>
              </w:rPr>
              <w:t>Hazard Ratio</w:t>
            </w:r>
            <w:r w:rsidRPr="00A03389">
              <w:rPr>
                <w:b/>
                <w:bCs/>
                <w:i/>
                <w:snapToGrid w:val="0"/>
                <w:sz w:val="20"/>
                <w:lang w:val="pt-PT"/>
              </w:rPr>
              <w:t xml:space="preserve"> </w:t>
            </w:r>
            <w:r w:rsidRPr="00A03389">
              <w:rPr>
                <w:b/>
                <w:bCs/>
                <w:snapToGrid w:val="0"/>
                <w:sz w:val="20"/>
                <w:lang w:val="pt-PT"/>
              </w:rPr>
              <w:t>(taxa de risco) (IC 95%)</w:t>
            </w:r>
          </w:p>
        </w:tc>
      </w:tr>
      <w:tr w:rsidR="00FE403D" w:rsidRPr="002606DB" w14:paraId="215F491D" w14:textId="77777777" w:rsidTr="00A03389">
        <w:trPr>
          <w:cantSplit/>
        </w:trPr>
        <w:tc>
          <w:tcPr>
            <w:tcW w:w="704" w:type="pct"/>
            <w:vMerge w:val="restart"/>
          </w:tcPr>
          <w:p w14:paraId="00852D05" w14:textId="30309DC4" w:rsidR="00162CE2" w:rsidRPr="002606DB" w:rsidRDefault="00162CE2" w:rsidP="00EF719B">
            <w:pPr>
              <w:pStyle w:val="TableParagraph"/>
              <w:adjustRightInd w:val="0"/>
              <w:snapToGrid w:val="0"/>
              <w:rPr>
                <w:snapToGrid w:val="0"/>
                <w:sz w:val="20"/>
                <w:lang w:val="pt-PT"/>
              </w:rPr>
            </w:pPr>
            <w:r w:rsidRPr="002606DB">
              <w:rPr>
                <w:snapToGrid w:val="0"/>
                <w:sz w:val="20"/>
                <w:lang w:val="pt-PT"/>
              </w:rPr>
              <w:t xml:space="preserve">Bevacizumab vs. Sem </w:t>
            </w:r>
            <w:r w:rsidR="00FA5C21" w:rsidRPr="00361C98">
              <w:rPr>
                <w:color w:val="000000"/>
                <w:sz w:val="20"/>
                <w:lang w:val="en-GB"/>
              </w:rPr>
              <w:t>Bevacizumab</w:t>
            </w:r>
          </w:p>
        </w:tc>
        <w:tc>
          <w:tcPr>
            <w:tcW w:w="704" w:type="pct"/>
          </w:tcPr>
          <w:p w14:paraId="23EBF426" w14:textId="77777777" w:rsidR="00FE403D" w:rsidRDefault="00162CE2" w:rsidP="00EF719B">
            <w:pPr>
              <w:pStyle w:val="TableParagraph"/>
              <w:adjustRightInd w:val="0"/>
              <w:snapToGrid w:val="0"/>
              <w:jc w:val="center"/>
              <w:rPr>
                <w:snapToGrid w:val="0"/>
                <w:sz w:val="20"/>
                <w:lang w:val="pt-PT"/>
              </w:rPr>
            </w:pPr>
            <w:r w:rsidRPr="002606DB">
              <w:rPr>
                <w:snapToGrid w:val="0"/>
                <w:sz w:val="20"/>
                <w:lang w:val="pt-PT"/>
              </w:rPr>
              <w:t xml:space="preserve">Cisplatina+ </w:t>
            </w:r>
          </w:p>
          <w:p w14:paraId="101CD909" w14:textId="6FDD9D64" w:rsidR="00162CE2" w:rsidRPr="002606DB" w:rsidRDefault="00162CE2" w:rsidP="00EF719B">
            <w:pPr>
              <w:pStyle w:val="TableParagraph"/>
              <w:adjustRightInd w:val="0"/>
              <w:snapToGrid w:val="0"/>
              <w:jc w:val="center"/>
              <w:rPr>
                <w:snapToGrid w:val="0"/>
                <w:sz w:val="20"/>
                <w:lang w:val="pt-PT"/>
              </w:rPr>
            </w:pPr>
            <w:r w:rsidRPr="002606DB">
              <w:rPr>
                <w:snapToGrid w:val="0"/>
                <w:sz w:val="20"/>
                <w:lang w:val="pt-PT"/>
              </w:rPr>
              <w:t>Paclitaxel</w:t>
            </w:r>
          </w:p>
        </w:tc>
        <w:tc>
          <w:tcPr>
            <w:tcW w:w="1796" w:type="pct"/>
          </w:tcPr>
          <w:p w14:paraId="3DBEE34E"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0,72 (0,51; 1,02)</w:t>
            </w:r>
          </w:p>
          <w:p w14:paraId="5F230CD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(17,5 vs.14,3 meses; p = 0,0609)</w:t>
            </w:r>
          </w:p>
        </w:tc>
        <w:tc>
          <w:tcPr>
            <w:tcW w:w="1796" w:type="pct"/>
          </w:tcPr>
          <w:p w14:paraId="5EB158D8"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0,75 (0,55, 1,01)</w:t>
            </w:r>
          </w:p>
          <w:p w14:paraId="54AA3926"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(17,5 vs.15,0 meses; p = 0,0584)</w:t>
            </w:r>
          </w:p>
        </w:tc>
      </w:tr>
      <w:tr w:rsidR="00FE403D" w:rsidRPr="002606DB" w14:paraId="606B0A74" w14:textId="77777777" w:rsidTr="00A03389">
        <w:trPr>
          <w:cantSplit/>
        </w:trPr>
        <w:tc>
          <w:tcPr>
            <w:tcW w:w="704" w:type="pct"/>
            <w:vMerge/>
          </w:tcPr>
          <w:p w14:paraId="5F849CFF" w14:textId="77777777" w:rsidR="00162CE2" w:rsidRPr="002606DB" w:rsidRDefault="00162CE2" w:rsidP="00EF719B">
            <w:pPr>
              <w:adjustRightInd w:val="0"/>
              <w:snapToGrid w:val="0"/>
              <w:rPr>
                <w:snapToGrid w:val="0"/>
                <w:sz w:val="20"/>
                <w:szCs w:val="2"/>
                <w:lang w:val="pt-PT"/>
              </w:rPr>
            </w:pPr>
          </w:p>
        </w:tc>
        <w:tc>
          <w:tcPr>
            <w:tcW w:w="704" w:type="pct"/>
          </w:tcPr>
          <w:p w14:paraId="22E535E5" w14:textId="77777777" w:rsidR="00FE403D" w:rsidRDefault="00162CE2" w:rsidP="00EF719B">
            <w:pPr>
              <w:pStyle w:val="TableParagraph"/>
              <w:adjustRightInd w:val="0"/>
              <w:snapToGrid w:val="0"/>
              <w:jc w:val="center"/>
              <w:rPr>
                <w:snapToGrid w:val="0"/>
                <w:sz w:val="20"/>
                <w:lang w:val="pt-PT"/>
              </w:rPr>
            </w:pPr>
            <w:r w:rsidRPr="002606DB">
              <w:rPr>
                <w:snapToGrid w:val="0"/>
                <w:sz w:val="20"/>
                <w:lang w:val="pt-PT"/>
              </w:rPr>
              <w:t>Topotecano+</w:t>
            </w:r>
          </w:p>
          <w:p w14:paraId="7D87DD11" w14:textId="2E022228" w:rsidR="00162CE2" w:rsidRPr="002606DB" w:rsidRDefault="00162CE2" w:rsidP="00EF719B">
            <w:pPr>
              <w:pStyle w:val="TableParagraph"/>
              <w:adjustRightInd w:val="0"/>
              <w:snapToGrid w:val="0"/>
              <w:jc w:val="center"/>
              <w:rPr>
                <w:snapToGrid w:val="0"/>
                <w:sz w:val="20"/>
                <w:lang w:val="pt-PT"/>
              </w:rPr>
            </w:pPr>
            <w:r w:rsidRPr="002606DB">
              <w:rPr>
                <w:snapToGrid w:val="0"/>
                <w:sz w:val="20"/>
                <w:lang w:val="pt-PT"/>
              </w:rPr>
              <w:t>Paclitaxel</w:t>
            </w:r>
          </w:p>
        </w:tc>
        <w:tc>
          <w:tcPr>
            <w:tcW w:w="1796" w:type="pct"/>
          </w:tcPr>
          <w:p w14:paraId="6038CDB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0,76 (0,55; 1,06)</w:t>
            </w:r>
          </w:p>
          <w:p w14:paraId="7E39892C"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(14,9 vs. 11,9 meses; p = 0,1061)</w:t>
            </w:r>
          </w:p>
        </w:tc>
        <w:tc>
          <w:tcPr>
            <w:tcW w:w="1796" w:type="pct"/>
          </w:tcPr>
          <w:p w14:paraId="0050621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0,79 (0,59, 1,07)</w:t>
            </w:r>
          </w:p>
          <w:p w14:paraId="26CEA3B4"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(16,2 vs. 12,0 meses; p = 0,1342)</w:t>
            </w:r>
          </w:p>
        </w:tc>
      </w:tr>
      <w:tr w:rsidR="00FE403D" w:rsidRPr="002606DB" w14:paraId="417E1A18" w14:textId="77777777" w:rsidTr="00A03389">
        <w:trPr>
          <w:cantSplit/>
        </w:trPr>
        <w:tc>
          <w:tcPr>
            <w:tcW w:w="704" w:type="pct"/>
            <w:vMerge w:val="restart"/>
          </w:tcPr>
          <w:p w14:paraId="057CF91C" w14:textId="77777777" w:rsidR="00162CE2" w:rsidRPr="002606DB" w:rsidRDefault="00162CE2" w:rsidP="00761B7F">
            <w:pPr>
              <w:pStyle w:val="TableParagraph"/>
              <w:keepNext/>
              <w:keepLines/>
              <w:widowControl/>
              <w:adjustRightInd w:val="0"/>
              <w:snapToGrid w:val="0"/>
              <w:rPr>
                <w:snapToGrid w:val="0"/>
                <w:sz w:val="20"/>
                <w:lang w:val="pt-PT"/>
              </w:rPr>
            </w:pPr>
            <w:r w:rsidRPr="002606DB">
              <w:rPr>
                <w:snapToGrid w:val="0"/>
                <w:sz w:val="20"/>
                <w:lang w:val="pt-PT"/>
              </w:rPr>
              <w:t>Topotecano</w:t>
            </w:r>
          </w:p>
          <w:p w14:paraId="266D490B" w14:textId="77777777" w:rsidR="00162CE2" w:rsidRPr="002606DB" w:rsidRDefault="00162CE2" w:rsidP="00EF719B">
            <w:pPr>
              <w:pStyle w:val="TableParagraph"/>
              <w:adjustRightInd w:val="0"/>
              <w:snapToGrid w:val="0"/>
              <w:rPr>
                <w:snapToGrid w:val="0"/>
                <w:sz w:val="20"/>
                <w:lang w:val="pt-PT"/>
              </w:rPr>
            </w:pPr>
            <w:r w:rsidRPr="002606DB">
              <w:rPr>
                <w:snapToGrid w:val="0"/>
                <w:sz w:val="20"/>
                <w:lang w:val="pt-PT"/>
              </w:rPr>
              <w:t>+ Paclitaxel vs.</w:t>
            </w:r>
          </w:p>
          <w:p w14:paraId="4997E25E" w14:textId="77777777" w:rsidR="00162CE2" w:rsidRPr="002606DB" w:rsidRDefault="00162CE2" w:rsidP="00EF719B">
            <w:pPr>
              <w:pStyle w:val="TableParagraph"/>
              <w:adjustRightInd w:val="0"/>
              <w:snapToGrid w:val="0"/>
              <w:rPr>
                <w:snapToGrid w:val="0"/>
                <w:sz w:val="20"/>
                <w:lang w:val="pt-PT"/>
              </w:rPr>
            </w:pPr>
            <w:r w:rsidRPr="002606DB">
              <w:rPr>
                <w:snapToGrid w:val="0"/>
                <w:sz w:val="20"/>
                <w:lang w:val="pt-PT"/>
              </w:rPr>
              <w:t>Cisplatina + Paclitaxel</w:t>
            </w:r>
          </w:p>
        </w:tc>
        <w:tc>
          <w:tcPr>
            <w:tcW w:w="704" w:type="pct"/>
          </w:tcPr>
          <w:p w14:paraId="62D412E7" w14:textId="18463052" w:rsidR="00162CE2" w:rsidRPr="002606DB" w:rsidRDefault="00FA5C21" w:rsidP="00EF719B">
            <w:pPr>
              <w:pStyle w:val="TableParagraph"/>
              <w:adjustRightInd w:val="0"/>
              <w:snapToGrid w:val="0"/>
              <w:jc w:val="center"/>
              <w:rPr>
                <w:snapToGrid w:val="0"/>
                <w:sz w:val="20"/>
                <w:lang w:val="pt-PT"/>
              </w:rPr>
            </w:pPr>
            <w:r w:rsidRPr="00361C98">
              <w:rPr>
                <w:color w:val="000000"/>
                <w:sz w:val="20"/>
                <w:lang w:val="en-GB"/>
              </w:rPr>
              <w:t>Bevacizumab</w:t>
            </w:r>
          </w:p>
        </w:tc>
        <w:tc>
          <w:tcPr>
            <w:tcW w:w="1796" w:type="pct"/>
          </w:tcPr>
          <w:p w14:paraId="7CE61130"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1,15 (0,82; 1,61)</w:t>
            </w:r>
          </w:p>
          <w:p w14:paraId="212E6682"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(14,9 vs. 17,5 meses; p = 0,4146)</w:t>
            </w:r>
          </w:p>
        </w:tc>
        <w:tc>
          <w:tcPr>
            <w:tcW w:w="1796" w:type="pct"/>
          </w:tcPr>
          <w:p w14:paraId="0C1F5DAD"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1,15 (0,85, 1,56)</w:t>
            </w:r>
          </w:p>
          <w:p w14:paraId="2A595E2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(16,2 vs. 17,5 meses; p = 0,3769)</w:t>
            </w:r>
          </w:p>
        </w:tc>
      </w:tr>
      <w:tr w:rsidR="00FE403D" w:rsidRPr="002606DB" w14:paraId="6C33B3A3" w14:textId="77777777" w:rsidTr="00A03389">
        <w:trPr>
          <w:cantSplit/>
        </w:trPr>
        <w:tc>
          <w:tcPr>
            <w:tcW w:w="704" w:type="pct"/>
            <w:vMerge/>
          </w:tcPr>
          <w:p w14:paraId="1DBBE456" w14:textId="77777777" w:rsidR="00162CE2" w:rsidRPr="002606DB" w:rsidRDefault="00162CE2" w:rsidP="00056F35">
            <w:pPr>
              <w:adjustRightInd w:val="0"/>
              <w:snapToGrid w:val="0"/>
              <w:rPr>
                <w:snapToGrid w:val="0"/>
                <w:sz w:val="20"/>
                <w:szCs w:val="2"/>
                <w:lang w:val="pt-PT"/>
              </w:rPr>
            </w:pPr>
          </w:p>
        </w:tc>
        <w:tc>
          <w:tcPr>
            <w:tcW w:w="704" w:type="pct"/>
          </w:tcPr>
          <w:p w14:paraId="4C337402" w14:textId="5BD6DDC2" w:rsidR="00162CE2" w:rsidRPr="002606DB" w:rsidRDefault="00162CE2" w:rsidP="00EF719B">
            <w:pPr>
              <w:pStyle w:val="TableParagraph"/>
              <w:adjustRightInd w:val="0"/>
              <w:snapToGrid w:val="0"/>
              <w:jc w:val="center"/>
              <w:rPr>
                <w:snapToGrid w:val="0"/>
                <w:sz w:val="20"/>
                <w:lang w:val="pt-PT"/>
              </w:rPr>
            </w:pPr>
            <w:r w:rsidRPr="002606DB">
              <w:rPr>
                <w:snapToGrid w:val="0"/>
                <w:sz w:val="20"/>
                <w:lang w:val="pt-PT"/>
              </w:rPr>
              <w:t xml:space="preserve">Sem </w:t>
            </w:r>
            <w:r w:rsidR="00FA5C21" w:rsidRPr="00361C98">
              <w:rPr>
                <w:color w:val="000000"/>
                <w:sz w:val="20"/>
                <w:lang w:val="en-GB"/>
              </w:rPr>
              <w:t>Bevacizumab</w:t>
            </w:r>
          </w:p>
        </w:tc>
        <w:tc>
          <w:tcPr>
            <w:tcW w:w="1796" w:type="pct"/>
          </w:tcPr>
          <w:p w14:paraId="6CF6567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1,13 (0,81; 1,57)</w:t>
            </w:r>
          </w:p>
          <w:p w14:paraId="416079C9"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(11,9 vs.14,3 meses; p = 0,4825)</w:t>
            </w:r>
          </w:p>
        </w:tc>
        <w:tc>
          <w:tcPr>
            <w:tcW w:w="1796" w:type="pct"/>
          </w:tcPr>
          <w:p w14:paraId="2D2CEA6A"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1,08 (0,80, 1,45)</w:t>
            </w:r>
          </w:p>
          <w:p w14:paraId="2F29A88B" w14:textId="77777777" w:rsidR="00162CE2" w:rsidRPr="002606DB" w:rsidRDefault="00162CE2" w:rsidP="00056F35">
            <w:pPr>
              <w:pStyle w:val="TableParagraph"/>
              <w:adjustRightInd w:val="0"/>
              <w:snapToGrid w:val="0"/>
              <w:jc w:val="center"/>
              <w:rPr>
                <w:snapToGrid w:val="0"/>
                <w:sz w:val="20"/>
                <w:lang w:val="pt-PT"/>
              </w:rPr>
            </w:pPr>
            <w:r w:rsidRPr="002606DB">
              <w:rPr>
                <w:snapToGrid w:val="0"/>
                <w:sz w:val="20"/>
                <w:lang w:val="pt-PT"/>
              </w:rPr>
              <w:t>(12,0 vs. 15,0 meses; p = 0,6267)</w:t>
            </w:r>
          </w:p>
        </w:tc>
      </w:tr>
    </w:tbl>
    <w:p w14:paraId="167F5793" w14:textId="4A81F0DD"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1</w:t>
      </w:r>
      <w:r w:rsidRPr="002606DB">
        <w:rPr>
          <w:snapToGrid w:val="0"/>
          <w:sz w:val="18"/>
          <w:szCs w:val="18"/>
          <w:lang w:val="pt-PT"/>
        </w:rPr>
        <w:t xml:space="preserve"> A análise primária foi efetuada com uma data de </w:t>
      </w:r>
      <w:r w:rsidRPr="002606DB">
        <w:rPr>
          <w:i/>
          <w:snapToGrid w:val="0"/>
          <w:sz w:val="18"/>
          <w:szCs w:val="18"/>
          <w:lang w:val="pt-PT"/>
        </w:rPr>
        <w:t>cut</w:t>
      </w:r>
      <w:r w:rsidR="00052D84"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12 de dezembro de 2012 e é considerada a análise final</w:t>
      </w:r>
    </w:p>
    <w:p w14:paraId="2E4F507C" w14:textId="49B93D18" w:rsidR="00162CE2" w:rsidRPr="002606DB" w:rsidRDefault="00162CE2" w:rsidP="00056F35">
      <w:pPr>
        <w:adjustRightInd w:val="0"/>
        <w:snapToGrid w:val="0"/>
        <w:rPr>
          <w:snapToGrid w:val="0"/>
          <w:sz w:val="18"/>
          <w:szCs w:val="18"/>
          <w:lang w:val="pt-PT"/>
        </w:rPr>
      </w:pPr>
      <w:r w:rsidRPr="002606DB">
        <w:rPr>
          <w:snapToGrid w:val="0"/>
          <w:sz w:val="18"/>
          <w:szCs w:val="18"/>
          <w:vertAlign w:val="superscript"/>
          <w:lang w:val="pt-PT"/>
        </w:rPr>
        <w:t>2</w:t>
      </w:r>
      <w:r w:rsidRPr="002606DB">
        <w:rPr>
          <w:snapToGrid w:val="0"/>
          <w:sz w:val="18"/>
          <w:szCs w:val="18"/>
          <w:lang w:val="pt-PT"/>
        </w:rPr>
        <w:t xml:space="preserve"> A análise de </w:t>
      </w:r>
      <w:r w:rsidRPr="002606DB">
        <w:rPr>
          <w:i/>
          <w:snapToGrid w:val="0"/>
          <w:sz w:val="18"/>
          <w:szCs w:val="18"/>
          <w:lang w:val="pt-PT"/>
        </w:rPr>
        <w:t>follow</w:t>
      </w:r>
      <w:r w:rsidR="00052D84" w:rsidRPr="002606DB">
        <w:rPr>
          <w:i/>
          <w:snapToGrid w:val="0"/>
          <w:sz w:val="18"/>
          <w:szCs w:val="18"/>
          <w:lang w:val="pt-PT"/>
        </w:rPr>
        <w:noBreakHyphen/>
      </w:r>
      <w:r w:rsidRPr="002606DB">
        <w:rPr>
          <w:i/>
          <w:snapToGrid w:val="0"/>
          <w:sz w:val="18"/>
          <w:szCs w:val="18"/>
          <w:lang w:val="pt-PT"/>
        </w:rPr>
        <w:t xml:space="preserve">up </w:t>
      </w:r>
      <w:r w:rsidRPr="002606DB">
        <w:rPr>
          <w:snapToGrid w:val="0"/>
          <w:sz w:val="18"/>
          <w:szCs w:val="18"/>
          <w:lang w:val="pt-PT"/>
        </w:rPr>
        <w:t xml:space="preserve">foi efetuada com uma data de </w:t>
      </w:r>
      <w:r w:rsidRPr="002606DB">
        <w:rPr>
          <w:i/>
          <w:snapToGrid w:val="0"/>
          <w:sz w:val="18"/>
          <w:szCs w:val="18"/>
          <w:lang w:val="pt-PT"/>
        </w:rPr>
        <w:t>cut</w:t>
      </w:r>
      <w:r w:rsidR="00052D84" w:rsidRPr="002606DB">
        <w:rPr>
          <w:i/>
          <w:snapToGrid w:val="0"/>
          <w:sz w:val="18"/>
          <w:szCs w:val="18"/>
          <w:lang w:val="pt-PT"/>
        </w:rPr>
        <w:noBreakHyphen/>
      </w:r>
      <w:r w:rsidRPr="002606DB">
        <w:rPr>
          <w:i/>
          <w:snapToGrid w:val="0"/>
          <w:sz w:val="18"/>
          <w:szCs w:val="18"/>
          <w:lang w:val="pt-PT"/>
        </w:rPr>
        <w:t xml:space="preserve">off </w:t>
      </w:r>
      <w:r w:rsidRPr="002606DB">
        <w:rPr>
          <w:snapToGrid w:val="0"/>
          <w:sz w:val="18"/>
          <w:szCs w:val="18"/>
          <w:lang w:val="pt-PT"/>
        </w:rPr>
        <w:t>de 07 de março de 2014; todos os valores de p são exibidos apenas para fins descritivos</w:t>
      </w:r>
    </w:p>
    <w:p w14:paraId="33CF73B9" w14:textId="77777777" w:rsidR="00162CE2" w:rsidRPr="002606DB" w:rsidRDefault="00162CE2" w:rsidP="00056F35">
      <w:pPr>
        <w:pStyle w:val="a3"/>
        <w:adjustRightInd w:val="0"/>
        <w:snapToGrid w:val="0"/>
        <w:rPr>
          <w:snapToGrid w:val="0"/>
          <w:lang w:val="pt-PT"/>
        </w:rPr>
      </w:pPr>
    </w:p>
    <w:p w14:paraId="38974F68" w14:textId="77777777" w:rsidR="00162CE2" w:rsidRPr="001C687C" w:rsidRDefault="00162CE2" w:rsidP="00056F35">
      <w:pPr>
        <w:adjustRightInd w:val="0"/>
        <w:snapToGrid w:val="0"/>
        <w:rPr>
          <w:iCs/>
          <w:snapToGrid w:val="0"/>
          <w:lang w:val="pt-PT"/>
        </w:rPr>
      </w:pPr>
      <w:r w:rsidRPr="001C687C">
        <w:rPr>
          <w:iCs/>
          <w:snapToGrid w:val="0"/>
          <w:u w:val="single"/>
          <w:lang w:val="pt-PT"/>
        </w:rPr>
        <w:t>População pediátrica</w:t>
      </w:r>
    </w:p>
    <w:p w14:paraId="1FCE2266" w14:textId="5E5E17A7" w:rsidR="00162CE2" w:rsidRPr="002606DB" w:rsidRDefault="00162CE2" w:rsidP="00761B7F">
      <w:pPr>
        <w:pStyle w:val="a3"/>
        <w:adjustRightInd w:val="0"/>
        <w:snapToGrid w:val="0"/>
        <w:ind w:right="-138"/>
        <w:rPr>
          <w:snapToGrid w:val="0"/>
          <w:lang w:val="pt-PT"/>
        </w:rPr>
      </w:pPr>
      <w:r w:rsidRPr="002606DB">
        <w:rPr>
          <w:snapToGrid w:val="0"/>
          <w:lang w:val="pt-PT"/>
        </w:rPr>
        <w:t xml:space="preserve">A Agência Europeia de Medicamentos dispensou a obrigação de submissão dos resultados dos estudos  em todos os sub-grupos da população pediátrica, em carcinoma da mama, adenocarcinoma do cólon e do reto, carcinoma do pulmão (carcinoma de pequenas células e carcinoma de </w:t>
      </w:r>
      <w:r w:rsidR="009A7156">
        <w:rPr>
          <w:snapToGrid w:val="0"/>
          <w:lang w:val="pt-PT"/>
        </w:rPr>
        <w:t>não pequenas células</w:t>
      </w:r>
      <w:r w:rsidRPr="002606DB">
        <w:rPr>
          <w:snapToGrid w:val="0"/>
          <w:lang w:val="pt-PT"/>
        </w:rPr>
        <w:t>), carcinoma do rim e do bacinete renal (excluindo nefroblastoma, nefroblastomatose, sarcoma de células claras, nefroma mesoblástico, carcinoma medular do rim e tumor rabdóide do rim), carcinoma do ovário (excluindo rabdomiossarcoma e tumor das células germinativas), carcinoma da trompa de Falópio (excluindo rabdomiossarcoma e tumor das células germinativas), carcinoma peritoneal (excluindo blastomas e sarcomas) e carcinoma do colo e do corpo do útero.</w:t>
      </w:r>
    </w:p>
    <w:p w14:paraId="420A5FD2" w14:textId="77777777" w:rsidR="00162CE2" w:rsidRPr="002606DB" w:rsidRDefault="00162CE2" w:rsidP="00056F35">
      <w:pPr>
        <w:pStyle w:val="a3"/>
        <w:adjustRightInd w:val="0"/>
        <w:snapToGrid w:val="0"/>
        <w:rPr>
          <w:snapToGrid w:val="0"/>
          <w:lang w:val="pt-PT"/>
        </w:rPr>
      </w:pPr>
    </w:p>
    <w:p w14:paraId="230AE10B"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Gliomas de alto grau</w:t>
      </w:r>
    </w:p>
    <w:p w14:paraId="73683018" w14:textId="62699244" w:rsidR="00162CE2" w:rsidRPr="002606DB" w:rsidRDefault="00162CE2" w:rsidP="00056F35">
      <w:pPr>
        <w:pStyle w:val="a3"/>
        <w:adjustRightInd w:val="0"/>
        <w:snapToGrid w:val="0"/>
        <w:rPr>
          <w:snapToGrid w:val="0"/>
          <w:lang w:val="pt-PT"/>
        </w:rPr>
      </w:pPr>
      <w:r w:rsidRPr="002606DB">
        <w:rPr>
          <w:snapToGrid w:val="0"/>
          <w:lang w:val="pt-PT"/>
        </w:rPr>
        <w:t>Não foi observada atividade antitumoral em dois estudos anteriores num total de 30 crianças com idade &gt; 3 anos com glioma de alto grau recorrente ou progressivo quando tratados com bevacizumab e irinotecano (CPT</w:t>
      </w:r>
      <w:r w:rsidR="00052D84" w:rsidRPr="002606DB">
        <w:rPr>
          <w:snapToGrid w:val="0"/>
          <w:lang w:val="pt-PT"/>
        </w:rPr>
        <w:noBreakHyphen/>
      </w:r>
      <w:r w:rsidRPr="002606DB">
        <w:rPr>
          <w:snapToGrid w:val="0"/>
          <w:lang w:val="pt-PT"/>
        </w:rPr>
        <w:t>11). A informação existente é insuficiente para determinar a segurança e eficácia de bevacizumab em crianças com glioma de alto grau recém-diagnosticado.</w:t>
      </w:r>
    </w:p>
    <w:p w14:paraId="7F0A0565" w14:textId="77777777" w:rsidR="00162CE2" w:rsidRPr="002606DB" w:rsidRDefault="00162CE2" w:rsidP="00056F35">
      <w:pPr>
        <w:pStyle w:val="a3"/>
        <w:adjustRightInd w:val="0"/>
        <w:snapToGrid w:val="0"/>
        <w:rPr>
          <w:snapToGrid w:val="0"/>
          <w:lang w:val="pt-PT"/>
        </w:rPr>
      </w:pPr>
    </w:p>
    <w:p w14:paraId="3E7DFD7C" w14:textId="5ABE4F49" w:rsidR="00162CE2" w:rsidRPr="002606DB" w:rsidRDefault="00162CE2" w:rsidP="00761B7F">
      <w:pPr>
        <w:pStyle w:val="a4"/>
        <w:numPr>
          <w:ilvl w:val="0"/>
          <w:numId w:val="13"/>
        </w:numPr>
        <w:adjustRightInd w:val="0"/>
        <w:snapToGrid w:val="0"/>
        <w:ind w:left="567" w:hanging="567"/>
        <w:rPr>
          <w:snapToGrid w:val="0"/>
          <w:lang w:val="pt-PT"/>
        </w:rPr>
      </w:pPr>
      <w:r w:rsidRPr="002606DB">
        <w:rPr>
          <w:snapToGrid w:val="0"/>
          <w:lang w:val="pt-PT"/>
        </w:rPr>
        <w:t xml:space="preserve">Num estudo de </w:t>
      </w:r>
      <w:r w:rsidR="00B72472">
        <w:rPr>
          <w:snapToGrid w:val="0"/>
          <w:lang w:val="pt-PT"/>
        </w:rPr>
        <w:t>grupo</w:t>
      </w:r>
      <w:r w:rsidRPr="002606DB">
        <w:rPr>
          <w:snapToGrid w:val="0"/>
          <w:lang w:val="pt-PT"/>
        </w:rPr>
        <w:t xml:space="preserve"> único (PBTC</w:t>
      </w:r>
      <w:r w:rsidR="00052D84" w:rsidRPr="002606DB">
        <w:rPr>
          <w:snapToGrid w:val="0"/>
          <w:lang w:val="pt-PT"/>
        </w:rPr>
        <w:noBreakHyphen/>
      </w:r>
      <w:r w:rsidRPr="002606DB">
        <w:rPr>
          <w:snapToGrid w:val="0"/>
          <w:lang w:val="pt-PT"/>
        </w:rPr>
        <w:t>022), 18 crianças com glioma de alto grau não pôntico recorrente ou progressivo (incluindo 8 com glioblastoma [grau IV OMS], 9 com astrocitoma anaplásico [grau III] e 1 com oligodendroglioma anaplásico [grau III]) foram tratados com bevacizumab (10 mg/kg) com duas semanas de intervalo e depois com bevacizumab em associação com CPT</w:t>
      </w:r>
      <w:r w:rsidR="00052D84" w:rsidRPr="002606DB">
        <w:rPr>
          <w:snapToGrid w:val="0"/>
          <w:lang w:val="pt-PT"/>
        </w:rPr>
        <w:noBreakHyphen/>
      </w:r>
      <w:r w:rsidRPr="002606DB">
        <w:rPr>
          <w:snapToGrid w:val="0"/>
          <w:lang w:val="pt-PT"/>
        </w:rPr>
        <w:t>11 (125-350 mg/m²) uma vez a cada duas semanas até à progressão. Não houve respostas radiológicas (critério MacDonald) objetivas (parciais ou completas). A toxicidade e reações adversas incluíram hipertensão arterial e fadiga, bem como isquémia do SNS com défice neurológico agudo.</w:t>
      </w:r>
    </w:p>
    <w:p w14:paraId="02725963" w14:textId="77777777" w:rsidR="00162CE2" w:rsidRPr="002606DB" w:rsidRDefault="00162CE2" w:rsidP="00552771">
      <w:pPr>
        <w:pStyle w:val="a3"/>
        <w:adjustRightInd w:val="0"/>
        <w:snapToGrid w:val="0"/>
        <w:ind w:left="567" w:hanging="567"/>
        <w:rPr>
          <w:snapToGrid w:val="0"/>
          <w:lang w:val="pt-PT"/>
        </w:rPr>
      </w:pPr>
    </w:p>
    <w:p w14:paraId="77DBEE8C" w14:textId="4137CE5B" w:rsidR="00162CE2" w:rsidRPr="002606DB" w:rsidRDefault="00162CE2" w:rsidP="00761B7F">
      <w:pPr>
        <w:pStyle w:val="a4"/>
        <w:numPr>
          <w:ilvl w:val="0"/>
          <w:numId w:val="13"/>
        </w:numPr>
        <w:adjustRightInd w:val="0"/>
        <w:snapToGrid w:val="0"/>
        <w:ind w:left="567" w:hanging="567"/>
        <w:rPr>
          <w:snapToGrid w:val="0"/>
          <w:lang w:val="pt-PT"/>
        </w:rPr>
      </w:pPr>
      <w:r w:rsidRPr="002606DB">
        <w:rPr>
          <w:snapToGrid w:val="0"/>
          <w:lang w:val="pt-PT"/>
        </w:rPr>
        <w:t>Numa série retrospetiva de uma única instituição 12 crianças consecutivas (2005 a 2008) com glioma de alto grau recorrente ou progressivo (3 com grau IV OMS, 9 com grau III) foram tratados com bevacizumab (10 mg/kg) e irinotecano (125 mg/m²) a cada 2 semanas. Houve 2 respostas parciais e não houve respostas completas (critério MacDonald).</w:t>
      </w:r>
    </w:p>
    <w:p w14:paraId="4B5B6AEB" w14:textId="77777777" w:rsidR="00162CE2" w:rsidRPr="002606DB" w:rsidRDefault="00162CE2" w:rsidP="00056F35">
      <w:pPr>
        <w:pStyle w:val="a3"/>
        <w:adjustRightInd w:val="0"/>
        <w:snapToGrid w:val="0"/>
        <w:rPr>
          <w:snapToGrid w:val="0"/>
          <w:lang w:val="pt-PT"/>
        </w:rPr>
      </w:pPr>
    </w:p>
    <w:p w14:paraId="6F783EC0" w14:textId="14F44B1C" w:rsidR="00162CE2" w:rsidRPr="002606DB" w:rsidRDefault="00162CE2" w:rsidP="00761B7F">
      <w:pPr>
        <w:pStyle w:val="a3"/>
        <w:adjustRightInd w:val="0"/>
        <w:snapToGrid w:val="0"/>
        <w:rPr>
          <w:snapToGrid w:val="0"/>
          <w:lang w:val="pt-PT"/>
        </w:rPr>
      </w:pPr>
      <w:r w:rsidRPr="002606DB">
        <w:rPr>
          <w:snapToGrid w:val="0"/>
          <w:lang w:val="pt-PT"/>
        </w:rPr>
        <w:t>Num estudo de fase II aleatorizado (BO25041), um total de 121 doentes com idades ≥ 3 anos até &lt;18</w:t>
      </w:r>
      <w:r w:rsidR="00761B7F" w:rsidRPr="002606DB">
        <w:rPr>
          <w:snapToGrid w:val="0"/>
          <w:lang w:val="pt-PT"/>
        </w:rPr>
        <w:t xml:space="preserve"> </w:t>
      </w:r>
      <w:r w:rsidRPr="002606DB">
        <w:rPr>
          <w:snapToGrid w:val="0"/>
          <w:lang w:val="pt-PT"/>
        </w:rPr>
        <w:t xml:space="preserve">anos com gliomas de alto grau (GAG) </w:t>
      </w:r>
      <w:r w:rsidRPr="002606DB">
        <w:rPr>
          <w:snapToGrid w:val="0"/>
          <w:color w:val="1C1C1C"/>
          <w:lang w:val="pt-PT"/>
        </w:rPr>
        <w:t>supratentoriais, infratentoriais, cerebelosos ou pedunculares</w:t>
      </w:r>
      <w:r w:rsidRPr="002606DB">
        <w:rPr>
          <w:snapToGrid w:val="0"/>
          <w:lang w:val="pt-PT"/>
        </w:rPr>
        <w:t>,</w:t>
      </w:r>
      <w:r w:rsidR="00761B7F" w:rsidRPr="002606DB">
        <w:rPr>
          <w:snapToGrid w:val="0"/>
          <w:lang w:val="pt-PT"/>
        </w:rPr>
        <w:t xml:space="preserve"> </w:t>
      </w:r>
      <w:r w:rsidRPr="002606DB">
        <w:rPr>
          <w:snapToGrid w:val="0"/>
          <w:lang w:val="pt-PT"/>
        </w:rPr>
        <w:t>recentemente diagnosticados, foram tratados com radioterapia (RT) pós-operatória e temozolomida</w:t>
      </w:r>
      <w:r w:rsidR="00761B7F" w:rsidRPr="002606DB">
        <w:rPr>
          <w:snapToGrid w:val="0"/>
          <w:lang w:val="pt-PT"/>
        </w:rPr>
        <w:t xml:space="preserve"> </w:t>
      </w:r>
      <w:r w:rsidRPr="002606DB">
        <w:rPr>
          <w:snapToGrid w:val="0"/>
          <w:lang w:val="pt-PT"/>
        </w:rPr>
        <w:t>(T) adjuvante, com e sem bevacizumab: 10 mg/kg IV de duas em duas semanas.</w:t>
      </w:r>
    </w:p>
    <w:p w14:paraId="730C38C5" w14:textId="77777777" w:rsidR="00162CE2" w:rsidRPr="002606DB" w:rsidRDefault="00162CE2" w:rsidP="00056F35">
      <w:pPr>
        <w:pStyle w:val="a3"/>
        <w:adjustRightInd w:val="0"/>
        <w:snapToGrid w:val="0"/>
        <w:rPr>
          <w:snapToGrid w:val="0"/>
          <w:lang w:val="pt-PT"/>
        </w:rPr>
      </w:pPr>
    </w:p>
    <w:p w14:paraId="36EAC27F" w14:textId="453AAAAB" w:rsidR="00162CE2" w:rsidRPr="002606DB" w:rsidRDefault="00162CE2" w:rsidP="00056F35">
      <w:pPr>
        <w:pStyle w:val="a3"/>
        <w:adjustRightInd w:val="0"/>
        <w:snapToGrid w:val="0"/>
        <w:rPr>
          <w:snapToGrid w:val="0"/>
          <w:lang w:val="pt-PT"/>
        </w:rPr>
      </w:pPr>
      <w:r w:rsidRPr="002606DB">
        <w:rPr>
          <w:snapToGrid w:val="0"/>
          <w:lang w:val="pt-PT"/>
        </w:rPr>
        <w:t xml:space="preserve">O estudo não atingiu o seu </w:t>
      </w:r>
      <w:r w:rsidRPr="002606DB">
        <w:rPr>
          <w:i/>
          <w:snapToGrid w:val="0"/>
          <w:lang w:val="pt-PT"/>
        </w:rPr>
        <w:t xml:space="preserve">endpoint </w:t>
      </w:r>
      <w:r w:rsidRPr="002606DB">
        <w:rPr>
          <w:snapToGrid w:val="0"/>
          <w:lang w:val="pt-PT"/>
        </w:rPr>
        <w:t xml:space="preserve">primário em demonstrar uma melhoria significativa da EFS (avaliado pela Comissão Central de Radiologia de Revisão (CCRR)) quando bevacizumab foi associado ao </w:t>
      </w:r>
      <w:r w:rsidR="00B72472">
        <w:rPr>
          <w:snapToGrid w:val="0"/>
          <w:lang w:val="pt-PT"/>
        </w:rPr>
        <w:t>grupo</w:t>
      </w:r>
      <w:r w:rsidRPr="002606DB">
        <w:rPr>
          <w:snapToGrid w:val="0"/>
          <w:lang w:val="pt-PT"/>
        </w:rPr>
        <w:t xml:space="preserve"> RT/T em comparação com RT/T (HR=1,44; 95% IC: 0.90, 2.30). Estes resultados foram consistentes com os resultados de várias análises de sensibilidade e em subgrupos clinicamente relevantes. Os resultados para todos os </w:t>
      </w:r>
      <w:r w:rsidRPr="002606DB">
        <w:rPr>
          <w:i/>
          <w:snapToGrid w:val="0"/>
          <w:lang w:val="pt-PT"/>
        </w:rPr>
        <w:t xml:space="preserve">endpoints </w:t>
      </w:r>
      <w:r w:rsidRPr="002606DB">
        <w:rPr>
          <w:snapToGrid w:val="0"/>
          <w:lang w:val="pt-PT"/>
        </w:rPr>
        <w:t>secundários (EFS avaliada pelo investigador, ORR e OS) foram coerentes ao demonst</w:t>
      </w:r>
      <w:r w:rsidR="00820035">
        <w:rPr>
          <w:snapToGrid w:val="0"/>
          <w:lang w:val="pt-PT"/>
        </w:rPr>
        <w:t>r</w:t>
      </w:r>
      <w:r w:rsidRPr="002606DB">
        <w:rPr>
          <w:snapToGrid w:val="0"/>
          <w:lang w:val="pt-PT"/>
        </w:rPr>
        <w:t xml:space="preserve">ar que não houve melhoria associada à associação de bevacizumab ao </w:t>
      </w:r>
      <w:r w:rsidR="00B72472">
        <w:rPr>
          <w:snapToGrid w:val="0"/>
          <w:lang w:val="pt-PT"/>
        </w:rPr>
        <w:t>grupo</w:t>
      </w:r>
      <w:r w:rsidRPr="002606DB">
        <w:rPr>
          <w:snapToGrid w:val="0"/>
          <w:lang w:val="pt-PT"/>
        </w:rPr>
        <w:t xml:space="preserve"> RT/T em comparação com o </w:t>
      </w:r>
      <w:r w:rsidR="00B72472">
        <w:rPr>
          <w:snapToGrid w:val="0"/>
          <w:lang w:val="pt-PT"/>
        </w:rPr>
        <w:t>grupo</w:t>
      </w:r>
      <w:r w:rsidRPr="002606DB">
        <w:rPr>
          <w:snapToGrid w:val="0"/>
          <w:lang w:val="pt-PT"/>
        </w:rPr>
        <w:t xml:space="preserve"> de RT/T.</w:t>
      </w:r>
    </w:p>
    <w:p w14:paraId="67344F63" w14:textId="77777777" w:rsidR="00162CE2" w:rsidRPr="002606DB" w:rsidRDefault="00162CE2" w:rsidP="00056F35">
      <w:pPr>
        <w:pStyle w:val="a3"/>
        <w:adjustRightInd w:val="0"/>
        <w:snapToGrid w:val="0"/>
        <w:rPr>
          <w:snapToGrid w:val="0"/>
          <w:lang w:val="pt-PT"/>
        </w:rPr>
      </w:pPr>
    </w:p>
    <w:p w14:paraId="5CD66D38" w14:textId="37E7954B" w:rsidR="00162CE2" w:rsidRPr="002606DB" w:rsidRDefault="00162CE2" w:rsidP="00056F35">
      <w:pPr>
        <w:pStyle w:val="a3"/>
        <w:adjustRightInd w:val="0"/>
        <w:snapToGrid w:val="0"/>
        <w:rPr>
          <w:snapToGrid w:val="0"/>
          <w:lang w:val="pt-PT"/>
        </w:rPr>
      </w:pPr>
      <w:r w:rsidRPr="002606DB">
        <w:rPr>
          <w:snapToGrid w:val="0"/>
          <w:lang w:val="pt-PT"/>
        </w:rPr>
        <w:t xml:space="preserve">A associação de </w:t>
      </w:r>
      <w:r w:rsidRPr="007155C0">
        <w:rPr>
          <w:color w:val="000000"/>
          <w:lang w:val="pt-PT"/>
        </w:rPr>
        <w:t xml:space="preserve">bevacizumab </w:t>
      </w:r>
      <w:r w:rsidRPr="002606DB">
        <w:rPr>
          <w:snapToGrid w:val="0"/>
          <w:lang w:val="pt-PT"/>
        </w:rPr>
        <w:t xml:space="preserve">à RT/T não demonstrou benefício clínico no estudo BO25041, em 60 doentes pediátricos avaliáveis com gliomas de alto grau (GAG), </w:t>
      </w:r>
      <w:r w:rsidRPr="002606DB">
        <w:rPr>
          <w:snapToGrid w:val="0"/>
          <w:color w:val="1C1C1C"/>
          <w:lang w:val="pt-PT"/>
        </w:rPr>
        <w:t>supratentoriais, infratentoriais, cerebelosos ou pedunculares</w:t>
      </w:r>
      <w:r w:rsidRPr="002606DB">
        <w:rPr>
          <w:snapToGrid w:val="0"/>
          <w:lang w:val="pt-PT"/>
        </w:rPr>
        <w:t>, recentemente diagnosticados (ver secção 4.2 para informação sobre utilização pediátrica).</w:t>
      </w:r>
    </w:p>
    <w:p w14:paraId="2928D888" w14:textId="77777777" w:rsidR="00162CE2" w:rsidRPr="002606DB" w:rsidRDefault="00162CE2" w:rsidP="00056F35">
      <w:pPr>
        <w:pStyle w:val="a3"/>
        <w:adjustRightInd w:val="0"/>
        <w:snapToGrid w:val="0"/>
        <w:rPr>
          <w:snapToGrid w:val="0"/>
          <w:lang w:val="pt-PT"/>
        </w:rPr>
      </w:pPr>
    </w:p>
    <w:p w14:paraId="1F07B56C"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Sarcoma dos tecidos moles</w:t>
      </w:r>
    </w:p>
    <w:p w14:paraId="05C7A5D0" w14:textId="7B184082" w:rsidR="00162CE2" w:rsidRPr="002606DB" w:rsidRDefault="00162CE2" w:rsidP="00417EC0">
      <w:pPr>
        <w:pStyle w:val="a3"/>
        <w:adjustRightInd w:val="0"/>
        <w:snapToGrid w:val="0"/>
        <w:rPr>
          <w:snapToGrid w:val="0"/>
          <w:lang w:val="pt-PT"/>
        </w:rPr>
      </w:pPr>
      <w:r w:rsidRPr="002606DB">
        <w:rPr>
          <w:snapToGrid w:val="0"/>
          <w:lang w:val="pt-PT"/>
        </w:rPr>
        <w:t>Num estudo de fase II aleatorizado (BO20924), um total de 154 doentes com idades ≥ 6 meses até &lt;18 anos, com rabdomiossarcoma e sarcoma dos tecidos moles não-rabdomiossarcoma metastizados, recentemente diagnosticado, foram tratados com o tratamento padrão (terapêutica de indução IVADO/IVA</w:t>
      </w:r>
      <w:r w:rsidR="002D723F" w:rsidRPr="007155C0">
        <w:rPr>
          <w:spacing w:val="-1"/>
          <w:lang w:val="pt-PT"/>
        </w:rPr>
        <w:t>±</w:t>
      </w:r>
      <w:r w:rsidRPr="002606DB">
        <w:rPr>
          <w:snapToGrid w:val="0"/>
          <w:lang w:val="pt-PT"/>
        </w:rPr>
        <w:t xml:space="preserve"> terapêutica local, seguida de manutenção com vinorelbina e ciclofosfamida) com ou sem bevacizumab (2,5 mg/kg/semana) durante um período total de tratamento de aproximadamente 18 meses. À data da análise primária final, o </w:t>
      </w:r>
      <w:r w:rsidRPr="002606DB">
        <w:rPr>
          <w:i/>
          <w:snapToGrid w:val="0"/>
          <w:lang w:val="pt-PT"/>
        </w:rPr>
        <w:t xml:space="preserve">endpoint </w:t>
      </w:r>
      <w:r w:rsidRPr="002606DB">
        <w:rPr>
          <w:snapToGrid w:val="0"/>
          <w:lang w:val="pt-PT"/>
        </w:rPr>
        <w:t xml:space="preserve">primário de EFS (sobrevivência livre de eventos) por revisão central independente não mostrou uma diferença estatisticamente significativa entre os dois </w:t>
      </w:r>
      <w:r w:rsidR="00B72472">
        <w:rPr>
          <w:snapToGrid w:val="0"/>
          <w:lang w:val="pt-PT"/>
        </w:rPr>
        <w:t>grupo</w:t>
      </w:r>
      <w:r w:rsidRPr="002606DB">
        <w:rPr>
          <w:snapToGrid w:val="0"/>
          <w:lang w:val="pt-PT"/>
        </w:rPr>
        <w:t xml:space="preserve">s de tratamento, com HR de 0,93% (95% IC: 0.61, 1.41; valor de p = 0,72). A diferença na taxa de resposta global por revisão central independente entre os dois </w:t>
      </w:r>
      <w:r w:rsidR="00B72472">
        <w:rPr>
          <w:snapToGrid w:val="0"/>
          <w:lang w:val="pt-PT"/>
        </w:rPr>
        <w:t>grupo</w:t>
      </w:r>
      <w:r w:rsidRPr="002606DB">
        <w:rPr>
          <w:snapToGrid w:val="0"/>
          <w:lang w:val="pt-PT"/>
        </w:rPr>
        <w:t xml:space="preserve">s de tratamento nos poucos doentes que tinham tumores avaliáveis na linha de base e que tinham uma resposta confirmada antes de receberem qualquer terapêutica local foi de 18% (IC: 0.6%, 35.3%): 27/75 doentes (36.0%, 95% IC: 25.2%, 47.9%) no </w:t>
      </w:r>
      <w:r w:rsidR="00B72472">
        <w:rPr>
          <w:snapToGrid w:val="0"/>
          <w:lang w:val="pt-PT"/>
        </w:rPr>
        <w:t>grupo</w:t>
      </w:r>
      <w:r w:rsidRPr="002606DB">
        <w:rPr>
          <w:snapToGrid w:val="0"/>
          <w:lang w:val="pt-PT"/>
        </w:rPr>
        <w:t xml:space="preserve"> de quimioterapia e 34/63 doentes (54.0%, 95% IC: 40.9%, 66.6%) no </w:t>
      </w:r>
      <w:r w:rsidR="00B72472">
        <w:rPr>
          <w:snapToGrid w:val="0"/>
          <w:lang w:val="pt-PT"/>
        </w:rPr>
        <w:t>grupo</w:t>
      </w:r>
      <w:r w:rsidRPr="002606DB">
        <w:rPr>
          <w:snapToGrid w:val="0"/>
          <w:lang w:val="pt-PT"/>
        </w:rPr>
        <w:t xml:space="preserve"> de quimioterapia + bevacizumab. As análises finais de OS não mostraram benefício clínico significativo na adição de bevacizumab a quimioterapia nesta população de doentes.</w:t>
      </w:r>
    </w:p>
    <w:p w14:paraId="5730CB2B" w14:textId="77777777" w:rsidR="00162CE2" w:rsidRPr="002606DB" w:rsidRDefault="00162CE2" w:rsidP="00056F35">
      <w:pPr>
        <w:pStyle w:val="a3"/>
        <w:adjustRightInd w:val="0"/>
        <w:snapToGrid w:val="0"/>
        <w:rPr>
          <w:snapToGrid w:val="0"/>
          <w:lang w:val="pt-PT"/>
        </w:rPr>
      </w:pPr>
    </w:p>
    <w:p w14:paraId="05EF09B7" w14:textId="499327C0" w:rsidR="00162CE2" w:rsidRPr="002606DB" w:rsidRDefault="00162CE2" w:rsidP="00056F35">
      <w:pPr>
        <w:pStyle w:val="a3"/>
        <w:adjustRightInd w:val="0"/>
        <w:snapToGrid w:val="0"/>
        <w:rPr>
          <w:snapToGrid w:val="0"/>
          <w:lang w:val="pt-PT"/>
        </w:rPr>
      </w:pPr>
      <w:r w:rsidRPr="002606DB">
        <w:rPr>
          <w:snapToGrid w:val="0"/>
          <w:lang w:val="pt-PT"/>
        </w:rPr>
        <w:t xml:space="preserve">A associação de </w:t>
      </w:r>
      <w:r w:rsidRPr="007155C0">
        <w:rPr>
          <w:color w:val="000000"/>
          <w:lang w:val="pt-PT"/>
        </w:rPr>
        <w:t xml:space="preserve">bevacizumab </w:t>
      </w:r>
      <w:r w:rsidRPr="002606DB">
        <w:rPr>
          <w:snapToGrid w:val="0"/>
          <w:lang w:val="pt-PT"/>
        </w:rPr>
        <w:t xml:space="preserve">ao tratamento padrão não demonstrou benefício clínico no ensaio BO20924, em 71 doentes pediátricos avaliáveis (com idades entre os 6 meses e inferior a 18 anos) </w:t>
      </w:r>
      <w:r w:rsidRPr="002606DB">
        <w:rPr>
          <w:snapToGrid w:val="0"/>
          <w:lang w:val="pt-PT"/>
        </w:rPr>
        <w:lastRenderedPageBreak/>
        <w:t>com rabdomiossarcoma e sarcoma dos tecidos moles não-rabdomiossarcoma metastizados (ver secção 4.2 para informações na utilização pediátrica).</w:t>
      </w:r>
    </w:p>
    <w:p w14:paraId="3E5463D5" w14:textId="77777777" w:rsidR="00162CE2" w:rsidRPr="002606DB" w:rsidRDefault="00162CE2" w:rsidP="00056F35">
      <w:pPr>
        <w:pStyle w:val="a3"/>
        <w:adjustRightInd w:val="0"/>
        <w:snapToGrid w:val="0"/>
        <w:rPr>
          <w:snapToGrid w:val="0"/>
          <w:lang w:val="pt-PT"/>
        </w:rPr>
      </w:pPr>
    </w:p>
    <w:p w14:paraId="4686BE9E" w14:textId="13B01125" w:rsidR="00162CE2" w:rsidRPr="002606DB" w:rsidRDefault="00162CE2" w:rsidP="00056F35">
      <w:pPr>
        <w:pStyle w:val="a3"/>
        <w:adjustRightInd w:val="0"/>
        <w:snapToGrid w:val="0"/>
        <w:rPr>
          <w:snapToGrid w:val="0"/>
          <w:lang w:val="pt-PT"/>
        </w:rPr>
      </w:pPr>
      <w:r w:rsidRPr="002606DB">
        <w:rPr>
          <w:snapToGrid w:val="0"/>
          <w:lang w:val="pt-PT"/>
        </w:rPr>
        <w:t xml:space="preserve">A incidência de acontecimentos adversos, incluindo acontecimentos adversos de grau </w:t>
      </w:r>
      <w:r w:rsidRPr="002606DB">
        <w:rPr>
          <w:rFonts w:ascii="Symbol" w:hAnsi="Symbol"/>
          <w:snapToGrid w:val="0"/>
          <w:lang w:val="pt-PT"/>
        </w:rPr>
        <w:t></w:t>
      </w:r>
      <w:r w:rsidRPr="002606DB">
        <w:rPr>
          <w:snapToGrid w:val="0"/>
          <w:lang w:val="pt-PT"/>
        </w:rPr>
        <w:t xml:space="preserve"> 3 e acontecimentos adversos graves, foi semelhante entre os dois </w:t>
      </w:r>
      <w:r w:rsidR="00B72472">
        <w:rPr>
          <w:snapToGrid w:val="0"/>
          <w:lang w:val="pt-PT"/>
        </w:rPr>
        <w:t>grupo</w:t>
      </w:r>
      <w:r w:rsidRPr="002606DB">
        <w:rPr>
          <w:snapToGrid w:val="0"/>
          <w:lang w:val="pt-PT"/>
        </w:rPr>
        <w:t xml:space="preserve">s de tratamento. Não ocorreram acontecimentos adversos que levassem à morte em nenhum dos </w:t>
      </w:r>
      <w:r w:rsidR="00B72472">
        <w:rPr>
          <w:snapToGrid w:val="0"/>
          <w:lang w:val="pt-PT"/>
        </w:rPr>
        <w:t>grupo</w:t>
      </w:r>
      <w:r w:rsidRPr="002606DB">
        <w:rPr>
          <w:snapToGrid w:val="0"/>
          <w:lang w:val="pt-PT"/>
        </w:rPr>
        <w:t xml:space="preserve">s de tratamento; todas as mortes foram associadas à progressão da doença. A adição de </w:t>
      </w:r>
      <w:r w:rsidRPr="007155C0">
        <w:rPr>
          <w:color w:val="000000"/>
          <w:lang w:val="pt-PT"/>
        </w:rPr>
        <w:t xml:space="preserve">bevacizumab </w:t>
      </w:r>
      <w:r w:rsidRPr="002606DB">
        <w:rPr>
          <w:snapToGrid w:val="0"/>
          <w:lang w:val="pt-PT"/>
        </w:rPr>
        <w:t>ao tratamento padrão multimodal pareceu ser tolerada nesta população pediátrica.</w:t>
      </w:r>
    </w:p>
    <w:p w14:paraId="3A4B7DE1" w14:textId="77777777" w:rsidR="00162CE2" w:rsidRPr="002606DB" w:rsidRDefault="00162CE2" w:rsidP="00056F35">
      <w:pPr>
        <w:pStyle w:val="a3"/>
        <w:adjustRightInd w:val="0"/>
        <w:snapToGrid w:val="0"/>
        <w:rPr>
          <w:snapToGrid w:val="0"/>
          <w:lang w:val="pt-PT"/>
        </w:rPr>
      </w:pPr>
    </w:p>
    <w:p w14:paraId="7D28E957" w14:textId="77777777" w:rsidR="00162CE2" w:rsidRPr="002606DB" w:rsidRDefault="00162CE2" w:rsidP="00552771">
      <w:pPr>
        <w:pStyle w:val="2"/>
        <w:keepNext/>
        <w:keepLines/>
        <w:adjustRightInd w:val="0"/>
        <w:snapToGrid w:val="0"/>
        <w:ind w:left="0"/>
        <w:rPr>
          <w:snapToGrid w:val="0"/>
          <w:lang w:val="pt-PT"/>
        </w:rPr>
      </w:pPr>
      <w:r w:rsidRPr="007155C0">
        <w:rPr>
          <w:snapToGrid w:val="0"/>
          <w:spacing w:val="-6"/>
          <w:w w:val="101"/>
          <w:lang w:val="pt-PT"/>
        </w:rPr>
        <w:t>5.2</w:t>
      </w:r>
      <w:r w:rsidRPr="007155C0">
        <w:rPr>
          <w:snapToGrid w:val="0"/>
          <w:spacing w:val="-6"/>
          <w:w w:val="101"/>
          <w:lang w:val="pt-PT"/>
        </w:rPr>
        <w:tab/>
      </w:r>
      <w:r w:rsidRPr="002606DB">
        <w:rPr>
          <w:snapToGrid w:val="0"/>
          <w:lang w:val="pt-PT"/>
        </w:rPr>
        <w:t>Propriedades farmacocinéticas</w:t>
      </w:r>
    </w:p>
    <w:p w14:paraId="258CAF2F" w14:textId="77777777" w:rsidR="00162CE2" w:rsidRPr="002606DB" w:rsidRDefault="00162CE2" w:rsidP="00552771">
      <w:pPr>
        <w:pStyle w:val="a3"/>
        <w:keepNext/>
        <w:keepLines/>
        <w:adjustRightInd w:val="0"/>
        <w:snapToGrid w:val="0"/>
        <w:rPr>
          <w:b/>
          <w:snapToGrid w:val="0"/>
          <w:lang w:val="pt-PT"/>
        </w:rPr>
      </w:pPr>
    </w:p>
    <w:p w14:paraId="21296C3A" w14:textId="28DA6CE6" w:rsidR="00162CE2" w:rsidRPr="002606DB" w:rsidRDefault="00162CE2" w:rsidP="00552771">
      <w:pPr>
        <w:pStyle w:val="a3"/>
        <w:keepNext/>
        <w:keepLines/>
        <w:adjustRightInd w:val="0"/>
        <w:snapToGrid w:val="0"/>
        <w:rPr>
          <w:snapToGrid w:val="0"/>
          <w:lang w:val="pt-PT"/>
        </w:rPr>
      </w:pPr>
      <w:r w:rsidRPr="002606DB">
        <w:rPr>
          <w:snapToGrid w:val="0"/>
          <w:lang w:val="pt-PT"/>
        </w:rPr>
        <w:t>Os dados farmacocinéticos do bevacizumab foram obtidos em dez ensaios clínicos realizados em doentes com tumores sólidos. Em todos os ensaios clínicos, o bevacizumab foi administrado sob a forma de perfusão intravenosa. A velocidade de perfusão foi determinada pela tolerabilidade tendo a perfusão inicial durado 90 minutos. A farmacocinética do bevacizumab revelou ser linear para doses entre 1 e 10 mg/kg.</w:t>
      </w:r>
    </w:p>
    <w:p w14:paraId="4D29B1DB" w14:textId="77777777" w:rsidR="00162CE2" w:rsidRPr="002606DB" w:rsidRDefault="00162CE2" w:rsidP="00056F35">
      <w:pPr>
        <w:pStyle w:val="a3"/>
        <w:adjustRightInd w:val="0"/>
        <w:snapToGrid w:val="0"/>
        <w:rPr>
          <w:snapToGrid w:val="0"/>
          <w:lang w:val="pt-PT"/>
        </w:rPr>
      </w:pPr>
    </w:p>
    <w:p w14:paraId="5398EEA8" w14:textId="77777777" w:rsidR="00162CE2" w:rsidRPr="002606DB" w:rsidRDefault="00162CE2" w:rsidP="00056F35">
      <w:pPr>
        <w:pStyle w:val="a3"/>
        <w:adjustRightInd w:val="0"/>
        <w:snapToGrid w:val="0"/>
        <w:rPr>
          <w:snapToGrid w:val="0"/>
          <w:lang w:val="pt-PT"/>
        </w:rPr>
      </w:pPr>
      <w:r w:rsidRPr="002606DB">
        <w:rPr>
          <w:snapToGrid w:val="0"/>
          <w:u w:val="single"/>
          <w:lang w:val="pt-PT"/>
        </w:rPr>
        <w:t>Distribuição</w:t>
      </w:r>
    </w:p>
    <w:p w14:paraId="2D08838A" w14:textId="54743C5C" w:rsidR="00162CE2" w:rsidRPr="002606DB" w:rsidRDefault="00162CE2" w:rsidP="00056F35">
      <w:pPr>
        <w:pStyle w:val="a3"/>
        <w:adjustRightInd w:val="0"/>
        <w:snapToGrid w:val="0"/>
        <w:rPr>
          <w:snapToGrid w:val="0"/>
          <w:lang w:val="pt-PT"/>
        </w:rPr>
      </w:pPr>
      <w:r w:rsidRPr="002606DB">
        <w:rPr>
          <w:snapToGrid w:val="0"/>
          <w:lang w:val="pt-PT"/>
        </w:rPr>
        <w:t>O valor usual de volume central (Vc) foi de 2,73 L e 3,28 L para doentes do sexo feminino e masculino respetivamente, o qual se situa dentro do intervalo descrito para IgG e outros anticorpos monoclonais. O valor usual de volume periférico (Vp) foi de 1,69 L e 2,35 L para doentes do sexo feminino e masculino respetivamente, quando bevacizumab é coadministrado com agentes anti-neoplásicos. Após correção para o peso corporal, os doentes do sexo masculino apresentaram um maior Vc (+ 20%) que os doentes do sexo feminino.</w:t>
      </w:r>
    </w:p>
    <w:p w14:paraId="3AAB1D2D" w14:textId="77777777" w:rsidR="00162CE2" w:rsidRPr="002606DB" w:rsidRDefault="00162CE2" w:rsidP="00056F35">
      <w:pPr>
        <w:adjustRightInd w:val="0"/>
        <w:snapToGrid w:val="0"/>
        <w:rPr>
          <w:snapToGrid w:val="0"/>
          <w:lang w:val="pt-PT"/>
        </w:rPr>
      </w:pPr>
    </w:p>
    <w:p w14:paraId="518B0B3B" w14:textId="77777777" w:rsidR="00162CE2" w:rsidRPr="002606DB" w:rsidRDefault="00162CE2" w:rsidP="00056F35">
      <w:pPr>
        <w:pStyle w:val="a3"/>
        <w:adjustRightInd w:val="0"/>
        <w:snapToGrid w:val="0"/>
        <w:rPr>
          <w:snapToGrid w:val="0"/>
          <w:lang w:val="pt-PT"/>
        </w:rPr>
      </w:pPr>
      <w:r w:rsidRPr="002606DB">
        <w:rPr>
          <w:snapToGrid w:val="0"/>
          <w:u w:val="single"/>
          <w:lang w:val="pt-PT"/>
        </w:rPr>
        <w:t>Biotransformação</w:t>
      </w:r>
    </w:p>
    <w:p w14:paraId="5E3AC600" w14:textId="5E907FFB" w:rsidR="00162CE2" w:rsidRPr="002606DB" w:rsidRDefault="00162CE2" w:rsidP="00056F35">
      <w:pPr>
        <w:pStyle w:val="a3"/>
        <w:adjustRightInd w:val="0"/>
        <w:snapToGrid w:val="0"/>
        <w:rPr>
          <w:snapToGrid w:val="0"/>
          <w:lang w:val="pt-PT"/>
        </w:rPr>
      </w:pPr>
      <w:r w:rsidRPr="002606DB">
        <w:rPr>
          <w:snapToGrid w:val="0"/>
          <w:lang w:val="pt-PT"/>
        </w:rPr>
        <w:t xml:space="preserve">A avaliação do metabolismo do bevacizumab em coelhos, após administração de uma dose única intravenosa de </w:t>
      </w:r>
      <w:r w:rsidRPr="002606DB">
        <w:rPr>
          <w:snapToGrid w:val="0"/>
          <w:vertAlign w:val="superscript"/>
          <w:lang w:val="pt-PT"/>
        </w:rPr>
        <w:t>125</w:t>
      </w:r>
      <w:r w:rsidRPr="002606DB">
        <w:rPr>
          <w:snapToGrid w:val="0"/>
          <w:lang w:val="pt-PT"/>
        </w:rPr>
        <w:t>I</w:t>
      </w:r>
      <w:r w:rsidR="009D55D0" w:rsidRPr="002606DB">
        <w:rPr>
          <w:snapToGrid w:val="0"/>
          <w:lang w:val="pt-PT"/>
        </w:rPr>
        <w:noBreakHyphen/>
      </w:r>
      <w:r w:rsidRPr="002606DB">
        <w:rPr>
          <w:snapToGrid w:val="0"/>
          <w:lang w:val="pt-PT"/>
        </w:rPr>
        <w:t>bevacizumab, indicou que o perfil metabólico era similar ao esperado para uma molécula de IgG nativa que não se ligue ao VEGF. O metabolismo e a eliminação do bevacizumab é semelhante ao da IgG endógena, isto é, primariamente catabolismo via proteolítica em todo o organismo, incluindo células endoteliais, e não assenta primariamente na eliminação através dos rins ou do fígado. A ligação da IgG ao recetor FcRN resulta na proteção do metabolismo celular e na semi-vida terminal longa.</w:t>
      </w:r>
    </w:p>
    <w:p w14:paraId="0FCAD99A" w14:textId="77777777" w:rsidR="00162CE2" w:rsidRPr="002606DB" w:rsidRDefault="00162CE2" w:rsidP="00056F35">
      <w:pPr>
        <w:pStyle w:val="a3"/>
        <w:adjustRightInd w:val="0"/>
        <w:snapToGrid w:val="0"/>
        <w:rPr>
          <w:snapToGrid w:val="0"/>
          <w:lang w:val="pt-PT"/>
        </w:rPr>
      </w:pPr>
    </w:p>
    <w:p w14:paraId="740A9620" w14:textId="77777777" w:rsidR="00162CE2" w:rsidRPr="002606DB" w:rsidRDefault="00162CE2" w:rsidP="00056F35">
      <w:pPr>
        <w:pStyle w:val="a3"/>
        <w:adjustRightInd w:val="0"/>
        <w:snapToGrid w:val="0"/>
        <w:rPr>
          <w:snapToGrid w:val="0"/>
          <w:lang w:val="pt-PT"/>
        </w:rPr>
      </w:pPr>
      <w:r w:rsidRPr="002606DB">
        <w:rPr>
          <w:snapToGrid w:val="0"/>
          <w:u w:val="single"/>
          <w:lang w:val="pt-PT"/>
        </w:rPr>
        <w:t>Eliminação</w:t>
      </w:r>
    </w:p>
    <w:p w14:paraId="552E37C5" w14:textId="77777777" w:rsidR="00162CE2" w:rsidRPr="002606DB" w:rsidRDefault="00162CE2" w:rsidP="00056F35">
      <w:pPr>
        <w:pStyle w:val="a3"/>
        <w:adjustRightInd w:val="0"/>
        <w:snapToGrid w:val="0"/>
        <w:rPr>
          <w:snapToGrid w:val="0"/>
          <w:lang w:val="pt-PT"/>
        </w:rPr>
      </w:pPr>
      <w:r w:rsidRPr="002606DB">
        <w:rPr>
          <w:snapToGrid w:val="0"/>
          <w:lang w:val="pt-PT"/>
        </w:rPr>
        <w:t>O valor de depuração é, em média, igual a 0,188 e 0,220 L/dia para doentes do sexo feminino e masculino respetivamente. Após correção para o peso corporal, os doentes do sexo masculino apresentaram uma maior depuração (+ 17%) que os doentes do sexo feminino. De acordo com o modelo bi-compartimental, a semi-vida de eliminação é de 18 dias para um doente típico do sexo feminino e de 20 dias para um doente típico do sexo masculino.</w:t>
      </w:r>
    </w:p>
    <w:p w14:paraId="691E5B01" w14:textId="77777777" w:rsidR="00162CE2" w:rsidRPr="002606DB" w:rsidRDefault="00162CE2" w:rsidP="00056F35">
      <w:pPr>
        <w:pStyle w:val="a3"/>
        <w:adjustRightInd w:val="0"/>
        <w:snapToGrid w:val="0"/>
        <w:rPr>
          <w:snapToGrid w:val="0"/>
          <w:lang w:val="pt-PT"/>
        </w:rPr>
      </w:pPr>
    </w:p>
    <w:p w14:paraId="4C96186B" w14:textId="77777777" w:rsidR="00162CE2" w:rsidRPr="002606DB" w:rsidRDefault="00162CE2" w:rsidP="00056F35">
      <w:pPr>
        <w:pStyle w:val="a3"/>
        <w:adjustRightInd w:val="0"/>
        <w:snapToGrid w:val="0"/>
        <w:rPr>
          <w:snapToGrid w:val="0"/>
          <w:lang w:val="pt-PT"/>
        </w:rPr>
      </w:pPr>
      <w:r w:rsidRPr="002606DB">
        <w:rPr>
          <w:snapToGrid w:val="0"/>
          <w:lang w:val="pt-PT"/>
        </w:rPr>
        <w:t>A baixa albumina e a elevada carga tumoral são geralmente indicativas da gravidade da doença. A depuração do bevacizumab foi aproximadamente 30% maior em doentes com baixos níveis de albumina sérica e 7% maior em indivíduos com maior carga tumoral, quando comparado com um doente típico com valores medianos de albumina e carga tumoral.</w:t>
      </w:r>
    </w:p>
    <w:p w14:paraId="35339FA8" w14:textId="77777777" w:rsidR="00162CE2" w:rsidRPr="002606DB" w:rsidRDefault="00162CE2" w:rsidP="00056F35">
      <w:pPr>
        <w:pStyle w:val="a3"/>
        <w:adjustRightInd w:val="0"/>
        <w:snapToGrid w:val="0"/>
        <w:rPr>
          <w:snapToGrid w:val="0"/>
          <w:lang w:val="pt-PT"/>
        </w:rPr>
      </w:pPr>
    </w:p>
    <w:p w14:paraId="1880C142" w14:textId="77777777" w:rsidR="00162CE2" w:rsidRPr="002606DB" w:rsidRDefault="00162CE2" w:rsidP="00056F35">
      <w:pPr>
        <w:pStyle w:val="a3"/>
        <w:adjustRightInd w:val="0"/>
        <w:snapToGrid w:val="0"/>
        <w:jc w:val="both"/>
        <w:rPr>
          <w:snapToGrid w:val="0"/>
          <w:lang w:val="pt-PT"/>
        </w:rPr>
      </w:pPr>
      <w:r w:rsidRPr="002606DB">
        <w:rPr>
          <w:snapToGrid w:val="0"/>
          <w:u w:val="single"/>
          <w:lang w:val="pt-PT"/>
        </w:rPr>
        <w:t>Farmacocinética em populações especiais</w:t>
      </w:r>
    </w:p>
    <w:p w14:paraId="1E82B08F" w14:textId="77777777" w:rsidR="00162CE2" w:rsidRPr="002606DB" w:rsidRDefault="00162CE2" w:rsidP="00056F35">
      <w:pPr>
        <w:pStyle w:val="a3"/>
        <w:adjustRightInd w:val="0"/>
        <w:snapToGrid w:val="0"/>
        <w:jc w:val="both"/>
        <w:rPr>
          <w:snapToGrid w:val="0"/>
          <w:lang w:val="pt-PT"/>
        </w:rPr>
      </w:pPr>
      <w:r w:rsidRPr="002606DB">
        <w:rPr>
          <w:snapToGrid w:val="0"/>
          <w:lang w:val="pt-PT"/>
        </w:rPr>
        <w:t>Os parâmetros farmacocinéticos populacionais foram analisados em adultos e doentes pediátricos de forma a avaliar os efeitos das características demográficas. Nos adultos, os resultados mostraram não haver diferenças significativas na farmacocinética do bevacizumab relativamente à idade.</w:t>
      </w:r>
    </w:p>
    <w:p w14:paraId="16BC1E8A" w14:textId="77777777" w:rsidR="00162CE2" w:rsidRPr="002606DB" w:rsidRDefault="00162CE2" w:rsidP="00056F35">
      <w:pPr>
        <w:pStyle w:val="a3"/>
        <w:adjustRightInd w:val="0"/>
        <w:snapToGrid w:val="0"/>
        <w:rPr>
          <w:snapToGrid w:val="0"/>
          <w:lang w:val="pt-PT"/>
        </w:rPr>
      </w:pPr>
    </w:p>
    <w:p w14:paraId="49EC5DA3"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Compromisso renal</w:t>
      </w:r>
    </w:p>
    <w:p w14:paraId="0BD11753" w14:textId="77777777" w:rsidR="00162CE2" w:rsidRPr="002606DB" w:rsidRDefault="00162CE2" w:rsidP="00761B7F">
      <w:pPr>
        <w:pStyle w:val="a3"/>
        <w:adjustRightInd w:val="0"/>
        <w:snapToGrid w:val="0"/>
        <w:ind w:right="-563"/>
        <w:rPr>
          <w:snapToGrid w:val="0"/>
          <w:lang w:val="pt-PT"/>
        </w:rPr>
      </w:pPr>
      <w:r w:rsidRPr="002606DB">
        <w:rPr>
          <w:snapToGrid w:val="0"/>
          <w:lang w:val="pt-PT"/>
        </w:rPr>
        <w:t>Não se realizaram ensaios para determinar a farmacocinética do bevacizumab em doentes com compromisso renal, uma vez que os rins não são um órgão principal para metabolização ou eliminação do bevacizumab.</w:t>
      </w:r>
    </w:p>
    <w:p w14:paraId="6F788E36" w14:textId="77777777" w:rsidR="00162CE2" w:rsidRPr="002606DB" w:rsidRDefault="00162CE2" w:rsidP="00056F35">
      <w:pPr>
        <w:pStyle w:val="a3"/>
        <w:adjustRightInd w:val="0"/>
        <w:snapToGrid w:val="0"/>
        <w:rPr>
          <w:snapToGrid w:val="0"/>
          <w:lang w:val="pt-PT"/>
        </w:rPr>
      </w:pPr>
    </w:p>
    <w:p w14:paraId="7EF49D42" w14:textId="77777777" w:rsidR="00162CE2" w:rsidRPr="001C687C" w:rsidRDefault="00162CE2" w:rsidP="00056F35">
      <w:pPr>
        <w:adjustRightInd w:val="0"/>
        <w:snapToGrid w:val="0"/>
        <w:jc w:val="both"/>
        <w:rPr>
          <w:i/>
          <w:snapToGrid w:val="0"/>
          <w:u w:val="single"/>
          <w:lang w:val="pt-PT"/>
        </w:rPr>
      </w:pPr>
      <w:r w:rsidRPr="001C687C">
        <w:rPr>
          <w:i/>
          <w:snapToGrid w:val="0"/>
          <w:u w:val="single"/>
          <w:lang w:val="pt-PT"/>
        </w:rPr>
        <w:t>Compromisso hepático</w:t>
      </w:r>
    </w:p>
    <w:p w14:paraId="0941DFB2" w14:textId="77777777" w:rsidR="00162CE2" w:rsidRPr="002606DB" w:rsidRDefault="00162CE2" w:rsidP="00761B7F">
      <w:pPr>
        <w:pStyle w:val="a3"/>
        <w:adjustRightInd w:val="0"/>
        <w:snapToGrid w:val="0"/>
        <w:rPr>
          <w:snapToGrid w:val="0"/>
          <w:lang w:val="pt-PT"/>
        </w:rPr>
      </w:pPr>
      <w:r w:rsidRPr="002606DB">
        <w:rPr>
          <w:snapToGrid w:val="0"/>
          <w:lang w:val="pt-PT"/>
        </w:rPr>
        <w:t xml:space="preserve">Não se realizaram ensaios para determinar a farmacocinética do bevacizumab em doentes com </w:t>
      </w:r>
      <w:r w:rsidRPr="002606DB">
        <w:rPr>
          <w:snapToGrid w:val="0"/>
          <w:lang w:val="pt-PT"/>
        </w:rPr>
        <w:lastRenderedPageBreak/>
        <w:t>compromisso hepático, uma vez que o fígado não é um órgão principal para metabolização ou eliminação do bevacizumab.</w:t>
      </w:r>
    </w:p>
    <w:p w14:paraId="3F2F66BD" w14:textId="77777777" w:rsidR="00162CE2" w:rsidRPr="002606DB" w:rsidRDefault="00162CE2" w:rsidP="00056F35">
      <w:pPr>
        <w:pStyle w:val="a3"/>
        <w:adjustRightInd w:val="0"/>
        <w:snapToGrid w:val="0"/>
        <w:rPr>
          <w:snapToGrid w:val="0"/>
          <w:lang w:val="pt-PT"/>
        </w:rPr>
      </w:pPr>
    </w:p>
    <w:p w14:paraId="1885278C" w14:textId="77777777" w:rsidR="00162CE2" w:rsidRPr="001C687C" w:rsidRDefault="00162CE2" w:rsidP="00056F35">
      <w:pPr>
        <w:adjustRightInd w:val="0"/>
        <w:snapToGrid w:val="0"/>
        <w:rPr>
          <w:i/>
          <w:snapToGrid w:val="0"/>
          <w:u w:val="single"/>
          <w:lang w:val="pt-PT"/>
        </w:rPr>
      </w:pPr>
      <w:r w:rsidRPr="001C687C">
        <w:rPr>
          <w:i/>
          <w:snapToGrid w:val="0"/>
          <w:u w:val="single"/>
          <w:lang w:val="pt-PT"/>
        </w:rPr>
        <w:t>População pediátrica</w:t>
      </w:r>
    </w:p>
    <w:p w14:paraId="474AD2E4" w14:textId="77777777" w:rsidR="00162CE2" w:rsidRPr="002606DB" w:rsidRDefault="00162CE2" w:rsidP="00056F35">
      <w:pPr>
        <w:pStyle w:val="a3"/>
        <w:adjustRightInd w:val="0"/>
        <w:snapToGrid w:val="0"/>
        <w:rPr>
          <w:snapToGrid w:val="0"/>
          <w:lang w:val="pt-PT"/>
        </w:rPr>
      </w:pPr>
      <w:r w:rsidRPr="002606DB">
        <w:rPr>
          <w:snapToGrid w:val="0"/>
          <w:lang w:val="pt-PT"/>
        </w:rPr>
        <w:t>A farmacocinética do bevacizumab foi avaliada em 152 crianças, adolescentes e adultos jovens (dos 7 meses aos 21 anos; de 5,9 a 125kg) através de 4 estudos clínicos utilizando um modelo farmacocinético populacional. Os resultados farmacocinéticos mostram que a depuração e o volume de distribuição de bevacizumab foram comparáveis entre os doentes pediátricos e os doentes adultos jovens quando normalizados pelo peso corporal, com exposição tendencialmente menor à medida que o peso corporal diminuiu. A idade não foi associada à farmacocinética de bevacizumab quando o peso corporal foi tido em consideração.</w:t>
      </w:r>
    </w:p>
    <w:p w14:paraId="1C89550A" w14:textId="77777777" w:rsidR="00162CE2" w:rsidRPr="002606DB" w:rsidRDefault="00162CE2" w:rsidP="00056F35">
      <w:pPr>
        <w:pStyle w:val="a3"/>
        <w:adjustRightInd w:val="0"/>
        <w:snapToGrid w:val="0"/>
        <w:rPr>
          <w:snapToGrid w:val="0"/>
          <w:lang w:val="pt-PT"/>
        </w:rPr>
      </w:pPr>
    </w:p>
    <w:p w14:paraId="5B901CCD" w14:textId="77777777" w:rsidR="00162CE2" w:rsidRPr="002606DB" w:rsidRDefault="00162CE2" w:rsidP="00056F35">
      <w:pPr>
        <w:pStyle w:val="a3"/>
        <w:adjustRightInd w:val="0"/>
        <w:snapToGrid w:val="0"/>
        <w:rPr>
          <w:snapToGrid w:val="0"/>
          <w:lang w:val="pt-PT"/>
        </w:rPr>
      </w:pPr>
      <w:r w:rsidRPr="002606DB">
        <w:rPr>
          <w:snapToGrid w:val="0"/>
          <w:lang w:val="pt-PT"/>
        </w:rPr>
        <w:t>A farmacocinética de bevacizumab foi bem caracterizada pelo modelo farmacocinético para a população pediátrica em 70 doentes no estudo BO20924 (dos 1,4 aos 17,6 anos; de 11,6 a 77,5 kg), e em 59 doentes no estudo BO25041 (dos 1 aos 17 anos; de 11,2 a 82,3 kg). No estudo BO20924, a exposição a bevacizumab foi geralmente inferior em comparação com um doente adulto típico na mesma dose. No estudo BO25041, a exposição a bevacizumab foi semelhante em comparação com um doente adulto típico na mesma dose. Nos dois estudos, a exposição a bevacizumab foi tendencialmente menor à medida que o peso corporal diminuiu.</w:t>
      </w:r>
    </w:p>
    <w:p w14:paraId="42ADB8D8" w14:textId="77777777" w:rsidR="00162CE2" w:rsidRPr="002606DB" w:rsidRDefault="00162CE2" w:rsidP="00056F35">
      <w:pPr>
        <w:adjustRightInd w:val="0"/>
        <w:snapToGrid w:val="0"/>
        <w:rPr>
          <w:snapToGrid w:val="0"/>
          <w:lang w:val="pt-PT"/>
        </w:rPr>
      </w:pPr>
    </w:p>
    <w:p w14:paraId="1D98FE2D" w14:textId="77777777" w:rsidR="00162CE2" w:rsidRPr="002606DB" w:rsidRDefault="00162CE2" w:rsidP="005C4B2D">
      <w:pPr>
        <w:pStyle w:val="2"/>
        <w:keepNext/>
        <w:adjustRightInd w:val="0"/>
        <w:snapToGrid w:val="0"/>
        <w:ind w:left="0"/>
        <w:rPr>
          <w:snapToGrid w:val="0"/>
          <w:lang w:val="pt-PT"/>
        </w:rPr>
      </w:pPr>
      <w:r w:rsidRPr="007155C0">
        <w:rPr>
          <w:snapToGrid w:val="0"/>
          <w:spacing w:val="-6"/>
          <w:w w:val="101"/>
          <w:lang w:val="pt-PT"/>
        </w:rPr>
        <w:t>5.3</w:t>
      </w:r>
      <w:r w:rsidRPr="007155C0">
        <w:rPr>
          <w:snapToGrid w:val="0"/>
          <w:spacing w:val="-6"/>
          <w:w w:val="101"/>
          <w:lang w:val="pt-PT"/>
        </w:rPr>
        <w:tab/>
      </w:r>
      <w:r w:rsidRPr="002606DB">
        <w:rPr>
          <w:snapToGrid w:val="0"/>
          <w:lang w:val="pt-PT"/>
        </w:rPr>
        <w:t>Dados de segurança pré-clínica</w:t>
      </w:r>
    </w:p>
    <w:p w14:paraId="115BD7AC" w14:textId="77777777" w:rsidR="00162CE2" w:rsidRPr="002606DB" w:rsidRDefault="00162CE2" w:rsidP="005C4B2D">
      <w:pPr>
        <w:pStyle w:val="a3"/>
        <w:keepNext/>
        <w:adjustRightInd w:val="0"/>
        <w:snapToGrid w:val="0"/>
        <w:rPr>
          <w:b/>
          <w:snapToGrid w:val="0"/>
          <w:lang w:val="pt-PT"/>
        </w:rPr>
      </w:pPr>
    </w:p>
    <w:p w14:paraId="0B6D945D" w14:textId="6B03634B" w:rsidR="00162CE2" w:rsidRPr="002606DB" w:rsidRDefault="00162CE2" w:rsidP="005C4B2D">
      <w:pPr>
        <w:pStyle w:val="a3"/>
        <w:keepNext/>
        <w:adjustRightInd w:val="0"/>
        <w:snapToGrid w:val="0"/>
        <w:rPr>
          <w:snapToGrid w:val="0"/>
          <w:lang w:val="pt-PT"/>
        </w:rPr>
      </w:pPr>
      <w:r w:rsidRPr="002606DB">
        <w:rPr>
          <w:snapToGrid w:val="0"/>
          <w:lang w:val="pt-PT"/>
        </w:rPr>
        <w:t>Em estudos com duração até 26 semanas, realizados no macaco</w:t>
      </w:r>
      <w:r w:rsidR="00CD11E0">
        <w:rPr>
          <w:snapToGrid w:val="0"/>
          <w:lang w:val="pt-PT"/>
        </w:rPr>
        <w:t>-cinomolgo</w:t>
      </w:r>
      <w:r w:rsidRPr="002606DB">
        <w:rPr>
          <w:snapToGrid w:val="0"/>
          <w:lang w:val="pt-PT"/>
        </w:rPr>
        <w:t xml:space="preserve"> , observou-se displasia fiseal em animais jovens, com cartilagens epifisárias não encerradas, para concentrações séricas médias de bevacizumab inferiores ao valor médio das concentrações séricas terapêuticas no ser humano. No coelho, o bevacizumab revelou inibir a cicatrização de feridas com doses inferiores à dose clínica proposta. Os efeitos na cicatrização das feridas revelaram ser completamente reversíveis.</w:t>
      </w:r>
    </w:p>
    <w:p w14:paraId="05E17414" w14:textId="77777777" w:rsidR="00162CE2" w:rsidRPr="002606DB" w:rsidRDefault="00162CE2" w:rsidP="00056F35">
      <w:pPr>
        <w:pStyle w:val="a3"/>
        <w:adjustRightInd w:val="0"/>
        <w:snapToGrid w:val="0"/>
        <w:rPr>
          <w:snapToGrid w:val="0"/>
          <w:lang w:val="pt-PT"/>
        </w:rPr>
      </w:pPr>
    </w:p>
    <w:p w14:paraId="352ED0E6" w14:textId="77777777" w:rsidR="00162CE2" w:rsidRPr="002606DB" w:rsidRDefault="00162CE2" w:rsidP="00056F35">
      <w:pPr>
        <w:pStyle w:val="a3"/>
        <w:adjustRightInd w:val="0"/>
        <w:snapToGrid w:val="0"/>
        <w:rPr>
          <w:snapToGrid w:val="0"/>
          <w:lang w:val="pt-PT"/>
        </w:rPr>
      </w:pPr>
      <w:r w:rsidRPr="002606DB">
        <w:rPr>
          <w:snapToGrid w:val="0"/>
          <w:lang w:val="pt-PT"/>
        </w:rPr>
        <w:t>Não se realizaram estudos de avaliação do potencial mutagénico e carcinogénico do bevacizumab.</w:t>
      </w:r>
    </w:p>
    <w:p w14:paraId="6010D2C8" w14:textId="77777777" w:rsidR="00162CE2" w:rsidRPr="002606DB" w:rsidRDefault="00162CE2" w:rsidP="00056F35">
      <w:pPr>
        <w:pStyle w:val="a3"/>
        <w:adjustRightInd w:val="0"/>
        <w:snapToGrid w:val="0"/>
        <w:rPr>
          <w:snapToGrid w:val="0"/>
          <w:lang w:val="pt-PT"/>
        </w:rPr>
      </w:pPr>
    </w:p>
    <w:p w14:paraId="00732A96" w14:textId="77777777" w:rsidR="00162CE2" w:rsidRPr="002606DB" w:rsidRDefault="00162CE2" w:rsidP="00056F35">
      <w:pPr>
        <w:pStyle w:val="a3"/>
        <w:adjustRightInd w:val="0"/>
        <w:snapToGrid w:val="0"/>
        <w:rPr>
          <w:snapToGrid w:val="0"/>
          <w:lang w:val="pt-PT"/>
        </w:rPr>
      </w:pPr>
      <w:r w:rsidRPr="002606DB">
        <w:rPr>
          <w:snapToGrid w:val="0"/>
          <w:lang w:val="pt-PT"/>
        </w:rPr>
        <w:t>Não se realizaram estudos específicos em animais para avaliação do efeito na fertilidade. No entanto, podem ser esperados efeitos adversos na fertilidade feminina uma vez que os estudos de toxicidade de dose repetida, realizados em animais, mostraram a inibição da maturação dos folículos do ovário e uma diminuição/ausência de corpos lúteos, com a correspondente diminuição do peso dos ovários e útero, bem como da diminuição no número de ciclos menstruais.</w:t>
      </w:r>
    </w:p>
    <w:p w14:paraId="5D356D7E" w14:textId="77777777" w:rsidR="00162CE2" w:rsidRPr="002606DB" w:rsidRDefault="00162CE2" w:rsidP="00056F35">
      <w:pPr>
        <w:pStyle w:val="a3"/>
        <w:adjustRightInd w:val="0"/>
        <w:snapToGrid w:val="0"/>
        <w:rPr>
          <w:snapToGrid w:val="0"/>
          <w:lang w:val="pt-PT"/>
        </w:rPr>
      </w:pPr>
    </w:p>
    <w:p w14:paraId="65B67308" w14:textId="688AA483" w:rsidR="00162CE2" w:rsidRPr="002606DB" w:rsidRDefault="00162CE2" w:rsidP="00056F35">
      <w:pPr>
        <w:pStyle w:val="a3"/>
        <w:adjustRightInd w:val="0"/>
        <w:snapToGrid w:val="0"/>
        <w:rPr>
          <w:snapToGrid w:val="0"/>
          <w:lang w:val="pt-PT"/>
        </w:rPr>
      </w:pPr>
      <w:r w:rsidRPr="002606DB">
        <w:rPr>
          <w:snapToGrid w:val="0"/>
          <w:lang w:val="pt-PT"/>
        </w:rPr>
        <w:t>O bevacizumab mostrou ser embriotóxico e teratogénico quando administrado em coelhos. Os efeitos observados incluíram diminuição do peso corporal materno e fetal, aumento do número de reabsorções fetais e aumento da incidência de malformações fetais específicas, macroscópicas e a nível do esqueleto. Observaram-se efeitos adversos nos fetos com qualquer uma das doses testadas. A dose mais baixa testada resultou num valor médio das concentrações séricas aproximadamente 3 vezes maior do que o observado em indivíduos tratados com 5 mg/kg de 2 em 2 semanas. Nas secções 4.6 Fertilidade, gravidez e aleitamento e 4.8 Efeitos indesejáveis, é dada informação sobre malformações fetais observadas durante a pós-comercialização.</w:t>
      </w:r>
    </w:p>
    <w:p w14:paraId="2367F3AB" w14:textId="77777777" w:rsidR="00162CE2" w:rsidRPr="002606DB" w:rsidRDefault="00162CE2" w:rsidP="00056F35">
      <w:pPr>
        <w:pStyle w:val="a3"/>
        <w:adjustRightInd w:val="0"/>
        <w:snapToGrid w:val="0"/>
        <w:rPr>
          <w:snapToGrid w:val="0"/>
          <w:lang w:val="pt-PT"/>
        </w:rPr>
      </w:pPr>
    </w:p>
    <w:p w14:paraId="65FBA0F7" w14:textId="77777777" w:rsidR="00162CE2" w:rsidRPr="002606DB" w:rsidRDefault="00162CE2" w:rsidP="00056F35">
      <w:pPr>
        <w:pStyle w:val="a3"/>
        <w:adjustRightInd w:val="0"/>
        <w:snapToGrid w:val="0"/>
        <w:rPr>
          <w:snapToGrid w:val="0"/>
          <w:lang w:val="pt-PT"/>
        </w:rPr>
      </w:pPr>
    </w:p>
    <w:p w14:paraId="015B0644" w14:textId="77777777" w:rsidR="00162CE2" w:rsidRPr="002606DB" w:rsidRDefault="00162CE2" w:rsidP="00552771">
      <w:pPr>
        <w:pStyle w:val="1"/>
        <w:adjustRightInd w:val="0"/>
        <w:snapToGrid w:val="0"/>
        <w:ind w:left="0"/>
        <w:rPr>
          <w:snapToGrid w:val="0"/>
          <w:lang w:val="pt-PT"/>
        </w:rPr>
      </w:pPr>
      <w:r w:rsidRPr="007155C0">
        <w:rPr>
          <w:snapToGrid w:val="0"/>
          <w:w w:val="101"/>
          <w:lang w:val="fr-CA"/>
        </w:rPr>
        <w:t>6.</w:t>
      </w:r>
      <w:r w:rsidRPr="007155C0">
        <w:rPr>
          <w:snapToGrid w:val="0"/>
          <w:w w:val="101"/>
          <w:lang w:val="fr-CA"/>
        </w:rPr>
        <w:tab/>
      </w:r>
      <w:r w:rsidRPr="002606DB">
        <w:rPr>
          <w:snapToGrid w:val="0"/>
          <w:lang w:val="pt-PT"/>
        </w:rPr>
        <w:t>INFORMAÇÕES FARMACÊUTICAS</w:t>
      </w:r>
    </w:p>
    <w:p w14:paraId="1C0C0CB6" w14:textId="77777777" w:rsidR="00162CE2" w:rsidRPr="002606DB" w:rsidRDefault="00162CE2" w:rsidP="00056F35">
      <w:pPr>
        <w:pStyle w:val="a3"/>
        <w:adjustRightInd w:val="0"/>
        <w:snapToGrid w:val="0"/>
        <w:rPr>
          <w:b/>
          <w:snapToGrid w:val="0"/>
          <w:lang w:val="pt-PT"/>
        </w:rPr>
      </w:pPr>
    </w:p>
    <w:p w14:paraId="155069D4" w14:textId="77777777" w:rsidR="00162CE2" w:rsidRPr="002606DB" w:rsidRDefault="00162CE2" w:rsidP="00552771">
      <w:pPr>
        <w:pStyle w:val="2"/>
        <w:adjustRightInd w:val="0"/>
        <w:snapToGrid w:val="0"/>
        <w:ind w:left="0"/>
        <w:rPr>
          <w:snapToGrid w:val="0"/>
          <w:lang w:val="pt-PT"/>
        </w:rPr>
      </w:pPr>
      <w:r w:rsidRPr="007155C0">
        <w:rPr>
          <w:snapToGrid w:val="0"/>
          <w:spacing w:val="-6"/>
          <w:w w:val="101"/>
          <w:lang w:val="fr-CA"/>
        </w:rPr>
        <w:t>6.1</w:t>
      </w:r>
      <w:r w:rsidRPr="007155C0">
        <w:rPr>
          <w:snapToGrid w:val="0"/>
          <w:spacing w:val="-6"/>
          <w:w w:val="101"/>
          <w:lang w:val="fr-CA"/>
        </w:rPr>
        <w:tab/>
      </w:r>
      <w:r w:rsidRPr="002606DB">
        <w:rPr>
          <w:snapToGrid w:val="0"/>
          <w:lang w:val="pt-PT"/>
        </w:rPr>
        <w:t>Lista dos excipientes</w:t>
      </w:r>
    </w:p>
    <w:p w14:paraId="48F8A279" w14:textId="77777777" w:rsidR="00162CE2" w:rsidRPr="002606DB" w:rsidRDefault="00162CE2" w:rsidP="00056F35">
      <w:pPr>
        <w:pStyle w:val="a3"/>
        <w:adjustRightInd w:val="0"/>
        <w:snapToGrid w:val="0"/>
        <w:rPr>
          <w:b/>
          <w:snapToGrid w:val="0"/>
          <w:lang w:val="pt-PT"/>
        </w:rPr>
      </w:pPr>
    </w:p>
    <w:p w14:paraId="3E8A3AB8" w14:textId="77777777" w:rsidR="00397F54" w:rsidRPr="002606DB" w:rsidRDefault="00162CE2" w:rsidP="00056F35">
      <w:pPr>
        <w:pStyle w:val="a3"/>
        <w:adjustRightInd w:val="0"/>
        <w:snapToGrid w:val="0"/>
        <w:rPr>
          <w:snapToGrid w:val="0"/>
          <w:lang w:val="pt-PT"/>
        </w:rPr>
      </w:pPr>
      <w:r w:rsidRPr="002606DB">
        <w:rPr>
          <w:snapToGrid w:val="0"/>
          <w:lang w:val="pt-PT"/>
        </w:rPr>
        <w:t xml:space="preserve">Trealose di-hidratada </w:t>
      </w:r>
    </w:p>
    <w:p w14:paraId="63B6CE15" w14:textId="77777777" w:rsidR="00397F54" w:rsidRPr="002606DB" w:rsidRDefault="00162CE2" w:rsidP="00056F35">
      <w:pPr>
        <w:pStyle w:val="a3"/>
        <w:adjustRightInd w:val="0"/>
        <w:snapToGrid w:val="0"/>
        <w:rPr>
          <w:snapToGrid w:val="0"/>
          <w:lang w:val="pt-PT"/>
        </w:rPr>
      </w:pPr>
      <w:r w:rsidRPr="002606DB">
        <w:rPr>
          <w:snapToGrid w:val="0"/>
          <w:lang w:val="pt-PT"/>
        </w:rPr>
        <w:t xml:space="preserve">Fosfato de sódio </w:t>
      </w:r>
    </w:p>
    <w:p w14:paraId="5041047B" w14:textId="57FB6DF9" w:rsidR="00162CE2" w:rsidRPr="002606DB" w:rsidRDefault="00162CE2" w:rsidP="00056F35">
      <w:pPr>
        <w:pStyle w:val="a3"/>
        <w:adjustRightInd w:val="0"/>
        <w:snapToGrid w:val="0"/>
        <w:rPr>
          <w:snapToGrid w:val="0"/>
          <w:lang w:val="pt-PT"/>
        </w:rPr>
      </w:pPr>
      <w:r w:rsidRPr="002606DB">
        <w:rPr>
          <w:snapToGrid w:val="0"/>
          <w:lang w:val="pt-PT"/>
        </w:rPr>
        <w:t>Polissorbato 20</w:t>
      </w:r>
    </w:p>
    <w:p w14:paraId="6955BB8C" w14:textId="77777777" w:rsidR="00162CE2" w:rsidRPr="002606DB" w:rsidRDefault="00162CE2" w:rsidP="00056F35">
      <w:pPr>
        <w:pStyle w:val="a3"/>
        <w:adjustRightInd w:val="0"/>
        <w:snapToGrid w:val="0"/>
        <w:rPr>
          <w:snapToGrid w:val="0"/>
          <w:lang w:val="pt-PT"/>
        </w:rPr>
      </w:pPr>
      <w:r w:rsidRPr="002606DB">
        <w:rPr>
          <w:snapToGrid w:val="0"/>
          <w:lang w:val="pt-PT"/>
        </w:rPr>
        <w:t>Água para preparações injetáveis</w:t>
      </w:r>
    </w:p>
    <w:p w14:paraId="1908D409" w14:textId="77777777" w:rsidR="00162CE2" w:rsidRPr="002606DB" w:rsidRDefault="00162CE2" w:rsidP="00056F35">
      <w:pPr>
        <w:pStyle w:val="a3"/>
        <w:adjustRightInd w:val="0"/>
        <w:snapToGrid w:val="0"/>
        <w:rPr>
          <w:snapToGrid w:val="0"/>
          <w:lang w:val="pt-PT"/>
        </w:rPr>
      </w:pPr>
    </w:p>
    <w:p w14:paraId="02BB1F83" w14:textId="77777777" w:rsidR="00162CE2" w:rsidRPr="002606DB" w:rsidRDefault="00162CE2" w:rsidP="00552771">
      <w:pPr>
        <w:pStyle w:val="2"/>
        <w:adjustRightInd w:val="0"/>
        <w:snapToGrid w:val="0"/>
        <w:ind w:left="0"/>
        <w:rPr>
          <w:snapToGrid w:val="0"/>
          <w:lang w:val="pt-PT"/>
        </w:rPr>
      </w:pPr>
      <w:r w:rsidRPr="007155C0">
        <w:rPr>
          <w:snapToGrid w:val="0"/>
          <w:spacing w:val="-6"/>
          <w:w w:val="101"/>
          <w:lang w:val="fr-CA"/>
        </w:rPr>
        <w:t>6.2</w:t>
      </w:r>
      <w:r w:rsidRPr="007155C0">
        <w:rPr>
          <w:snapToGrid w:val="0"/>
          <w:spacing w:val="-6"/>
          <w:w w:val="101"/>
          <w:lang w:val="fr-CA"/>
        </w:rPr>
        <w:tab/>
      </w:r>
      <w:r w:rsidRPr="002606DB">
        <w:rPr>
          <w:snapToGrid w:val="0"/>
          <w:lang w:val="pt-PT"/>
        </w:rPr>
        <w:t>Incompatibilidades</w:t>
      </w:r>
    </w:p>
    <w:p w14:paraId="5FB48794" w14:textId="77777777" w:rsidR="00162CE2" w:rsidRPr="002606DB" w:rsidRDefault="00162CE2" w:rsidP="00056F35">
      <w:pPr>
        <w:pStyle w:val="a3"/>
        <w:adjustRightInd w:val="0"/>
        <w:snapToGrid w:val="0"/>
        <w:rPr>
          <w:b/>
          <w:snapToGrid w:val="0"/>
          <w:lang w:val="pt-PT"/>
        </w:rPr>
      </w:pPr>
    </w:p>
    <w:p w14:paraId="2BC2324E" w14:textId="77777777" w:rsidR="00162CE2" w:rsidRPr="002606DB" w:rsidRDefault="00162CE2" w:rsidP="00056F35">
      <w:pPr>
        <w:pStyle w:val="a3"/>
        <w:adjustRightInd w:val="0"/>
        <w:snapToGrid w:val="0"/>
        <w:rPr>
          <w:snapToGrid w:val="0"/>
          <w:lang w:val="pt-PT"/>
        </w:rPr>
      </w:pPr>
      <w:r w:rsidRPr="002606DB">
        <w:rPr>
          <w:snapToGrid w:val="0"/>
          <w:lang w:val="pt-PT"/>
        </w:rPr>
        <w:lastRenderedPageBreak/>
        <w:t>Este medicamento não deve ser misturado com outros medicamentos, exceto os mencionados na secção 6.6.</w:t>
      </w:r>
    </w:p>
    <w:p w14:paraId="54109647" w14:textId="77777777" w:rsidR="00162CE2" w:rsidRPr="002606DB" w:rsidRDefault="00162CE2" w:rsidP="00056F35">
      <w:pPr>
        <w:pStyle w:val="a3"/>
        <w:adjustRightInd w:val="0"/>
        <w:snapToGrid w:val="0"/>
        <w:rPr>
          <w:snapToGrid w:val="0"/>
          <w:lang w:val="pt-PT"/>
        </w:rPr>
      </w:pPr>
    </w:p>
    <w:p w14:paraId="1B6207A0" w14:textId="77777777" w:rsidR="00162CE2" w:rsidRPr="002606DB" w:rsidRDefault="00162CE2" w:rsidP="00056F35">
      <w:pPr>
        <w:pStyle w:val="a3"/>
        <w:adjustRightInd w:val="0"/>
        <w:snapToGrid w:val="0"/>
        <w:rPr>
          <w:snapToGrid w:val="0"/>
          <w:lang w:val="pt-PT"/>
        </w:rPr>
      </w:pPr>
      <w:r w:rsidRPr="002606DB">
        <w:rPr>
          <w:snapToGrid w:val="0"/>
          <w:lang w:val="pt-PT"/>
        </w:rPr>
        <w:t>Observou-se um perfil de degradação do bevacizumab, dependente da concentração, quando este foi diluído com soluções de glucose (5%).</w:t>
      </w:r>
    </w:p>
    <w:p w14:paraId="1ACB32D5" w14:textId="77777777" w:rsidR="00162CE2" w:rsidRPr="002606DB" w:rsidRDefault="00162CE2" w:rsidP="00056F35">
      <w:pPr>
        <w:pStyle w:val="a3"/>
        <w:adjustRightInd w:val="0"/>
        <w:snapToGrid w:val="0"/>
        <w:rPr>
          <w:snapToGrid w:val="0"/>
          <w:lang w:val="pt-PT"/>
        </w:rPr>
      </w:pPr>
    </w:p>
    <w:p w14:paraId="0069E794" w14:textId="77777777" w:rsidR="00162CE2" w:rsidRPr="002606DB" w:rsidRDefault="00162CE2" w:rsidP="00552771">
      <w:pPr>
        <w:pStyle w:val="2"/>
        <w:keepNext/>
        <w:keepLines/>
        <w:adjustRightInd w:val="0"/>
        <w:snapToGrid w:val="0"/>
        <w:ind w:left="0"/>
        <w:rPr>
          <w:snapToGrid w:val="0"/>
          <w:lang w:val="pt-PT"/>
        </w:rPr>
      </w:pPr>
      <w:r w:rsidRPr="007155C0">
        <w:rPr>
          <w:snapToGrid w:val="0"/>
          <w:spacing w:val="-6"/>
          <w:w w:val="101"/>
          <w:lang w:val="fr-CA"/>
        </w:rPr>
        <w:t>6.3</w:t>
      </w:r>
      <w:r w:rsidRPr="007155C0">
        <w:rPr>
          <w:snapToGrid w:val="0"/>
          <w:spacing w:val="-6"/>
          <w:w w:val="101"/>
          <w:lang w:val="fr-CA"/>
        </w:rPr>
        <w:tab/>
      </w:r>
      <w:r w:rsidRPr="002606DB">
        <w:rPr>
          <w:snapToGrid w:val="0"/>
          <w:lang w:val="pt-PT"/>
        </w:rPr>
        <w:t>Prazo de validade</w:t>
      </w:r>
    </w:p>
    <w:p w14:paraId="79E5D634" w14:textId="77777777" w:rsidR="00162CE2" w:rsidRPr="002606DB" w:rsidRDefault="00162CE2" w:rsidP="00552771">
      <w:pPr>
        <w:pStyle w:val="a3"/>
        <w:keepNext/>
        <w:keepLines/>
        <w:adjustRightInd w:val="0"/>
        <w:snapToGrid w:val="0"/>
        <w:rPr>
          <w:b/>
          <w:snapToGrid w:val="0"/>
          <w:lang w:val="pt-PT"/>
        </w:rPr>
      </w:pPr>
    </w:p>
    <w:p w14:paraId="01578700" w14:textId="77777777" w:rsidR="00162CE2" w:rsidRPr="002606DB" w:rsidRDefault="00162CE2" w:rsidP="00552771">
      <w:pPr>
        <w:pStyle w:val="a3"/>
        <w:keepNext/>
        <w:keepLines/>
        <w:adjustRightInd w:val="0"/>
        <w:snapToGrid w:val="0"/>
        <w:rPr>
          <w:snapToGrid w:val="0"/>
          <w:lang w:val="pt-PT"/>
        </w:rPr>
      </w:pPr>
      <w:r w:rsidRPr="002606DB">
        <w:rPr>
          <w:snapToGrid w:val="0"/>
          <w:u w:val="single"/>
          <w:lang w:val="pt-PT"/>
        </w:rPr>
        <w:t>Frasco para injetáveis (fechado)</w:t>
      </w:r>
    </w:p>
    <w:p w14:paraId="15E2C17A" w14:textId="77777777" w:rsidR="00162CE2" w:rsidRPr="002606DB" w:rsidRDefault="00162CE2" w:rsidP="00552771">
      <w:pPr>
        <w:pStyle w:val="a3"/>
        <w:keepNext/>
        <w:keepLines/>
        <w:adjustRightInd w:val="0"/>
        <w:snapToGrid w:val="0"/>
        <w:rPr>
          <w:snapToGrid w:val="0"/>
          <w:lang w:val="pt-PT"/>
        </w:rPr>
      </w:pPr>
    </w:p>
    <w:p w14:paraId="37251AD2" w14:textId="0EC41B8A" w:rsidR="00162CE2" w:rsidRPr="002606DB" w:rsidRDefault="00431779" w:rsidP="00552771">
      <w:pPr>
        <w:pStyle w:val="a3"/>
        <w:keepNext/>
        <w:keepLines/>
        <w:adjustRightInd w:val="0"/>
        <w:snapToGrid w:val="0"/>
        <w:rPr>
          <w:snapToGrid w:val="0"/>
          <w:lang w:val="pt-PT"/>
        </w:rPr>
      </w:pPr>
      <w:r>
        <w:rPr>
          <w:rFonts w:eastAsia="맑은 고딕" w:hint="eastAsia"/>
          <w:snapToGrid w:val="0"/>
          <w:lang w:val="pt-PT" w:eastAsia="ko-KR"/>
        </w:rPr>
        <w:t>4</w:t>
      </w:r>
      <w:r w:rsidR="00ED715D">
        <w:rPr>
          <w:snapToGrid w:val="0"/>
          <w:lang w:val="pt-PT"/>
        </w:rPr>
        <w:t> </w:t>
      </w:r>
      <w:r w:rsidR="00162CE2" w:rsidRPr="002606DB">
        <w:rPr>
          <w:snapToGrid w:val="0"/>
          <w:lang w:val="pt-PT"/>
        </w:rPr>
        <w:t>anos (100</w:t>
      </w:r>
      <w:r w:rsidR="009D55D0" w:rsidRPr="002606DB">
        <w:rPr>
          <w:snapToGrid w:val="0"/>
          <w:lang w:val="pt-PT"/>
        </w:rPr>
        <w:t> </w:t>
      </w:r>
      <w:r w:rsidR="00162CE2" w:rsidRPr="002606DB">
        <w:rPr>
          <w:snapToGrid w:val="0"/>
          <w:lang w:val="pt-PT"/>
        </w:rPr>
        <w:t>mg</w:t>
      </w:r>
      <w:r w:rsidR="007E738D">
        <w:rPr>
          <w:snapToGrid w:val="0"/>
          <w:lang w:val="pt-PT"/>
        </w:rPr>
        <w:t xml:space="preserve"> </w:t>
      </w:r>
      <w:r w:rsidR="00162CE2" w:rsidRPr="002606DB">
        <w:rPr>
          <w:snapToGrid w:val="0"/>
          <w:lang w:val="pt-PT"/>
        </w:rPr>
        <w:t>/</w:t>
      </w:r>
      <w:r w:rsidR="007E738D">
        <w:rPr>
          <w:snapToGrid w:val="0"/>
          <w:lang w:val="pt-PT"/>
        </w:rPr>
        <w:t xml:space="preserve"> </w:t>
      </w:r>
      <w:r w:rsidR="00162CE2" w:rsidRPr="002606DB">
        <w:rPr>
          <w:snapToGrid w:val="0"/>
          <w:lang w:val="pt-PT"/>
        </w:rPr>
        <w:t>4</w:t>
      </w:r>
      <w:r w:rsidR="009D55D0" w:rsidRPr="002606DB">
        <w:rPr>
          <w:snapToGrid w:val="0"/>
          <w:lang w:val="pt-PT"/>
        </w:rPr>
        <w:t> </w:t>
      </w:r>
      <w:r w:rsidR="00162CE2" w:rsidRPr="002606DB">
        <w:rPr>
          <w:snapToGrid w:val="0"/>
          <w:lang w:val="pt-PT"/>
        </w:rPr>
        <w:t>ml).</w:t>
      </w:r>
    </w:p>
    <w:p w14:paraId="2582C3CB" w14:textId="4F08E688" w:rsidR="00162CE2" w:rsidRPr="002606DB" w:rsidRDefault="00614132" w:rsidP="00552771">
      <w:pPr>
        <w:pStyle w:val="a3"/>
        <w:keepNext/>
        <w:keepLines/>
        <w:adjustRightInd w:val="0"/>
        <w:snapToGrid w:val="0"/>
        <w:rPr>
          <w:snapToGrid w:val="0"/>
          <w:lang w:val="pt-PT"/>
        </w:rPr>
      </w:pPr>
      <w:r w:rsidRPr="002606DB">
        <w:rPr>
          <w:snapToGrid w:val="0"/>
          <w:lang w:val="pt-PT"/>
        </w:rPr>
        <w:t>4</w:t>
      </w:r>
      <w:r>
        <w:rPr>
          <w:snapToGrid w:val="0"/>
          <w:lang w:val="pt-PT"/>
        </w:rPr>
        <w:t> </w:t>
      </w:r>
      <w:r w:rsidR="00162CE2" w:rsidRPr="002606DB">
        <w:rPr>
          <w:snapToGrid w:val="0"/>
          <w:lang w:val="pt-PT"/>
        </w:rPr>
        <w:t>anos (400</w:t>
      </w:r>
      <w:r w:rsidR="009D55D0" w:rsidRPr="002606DB">
        <w:rPr>
          <w:snapToGrid w:val="0"/>
          <w:lang w:val="pt-PT"/>
        </w:rPr>
        <w:t> </w:t>
      </w:r>
      <w:r w:rsidR="00162CE2" w:rsidRPr="002606DB">
        <w:rPr>
          <w:snapToGrid w:val="0"/>
          <w:lang w:val="pt-PT"/>
        </w:rPr>
        <w:t>mg</w:t>
      </w:r>
      <w:r w:rsidR="007E738D">
        <w:rPr>
          <w:snapToGrid w:val="0"/>
          <w:lang w:val="pt-PT"/>
        </w:rPr>
        <w:t xml:space="preserve"> </w:t>
      </w:r>
      <w:r w:rsidR="00162CE2" w:rsidRPr="002606DB">
        <w:rPr>
          <w:snapToGrid w:val="0"/>
          <w:lang w:val="pt-PT"/>
        </w:rPr>
        <w:t>/</w:t>
      </w:r>
      <w:r w:rsidR="007E738D">
        <w:rPr>
          <w:snapToGrid w:val="0"/>
          <w:lang w:val="pt-PT"/>
        </w:rPr>
        <w:t xml:space="preserve"> </w:t>
      </w:r>
      <w:r w:rsidR="00162CE2" w:rsidRPr="002606DB">
        <w:rPr>
          <w:snapToGrid w:val="0"/>
          <w:lang w:val="pt-PT"/>
        </w:rPr>
        <w:t>16</w:t>
      </w:r>
      <w:r w:rsidR="009D55D0" w:rsidRPr="002606DB">
        <w:rPr>
          <w:snapToGrid w:val="0"/>
          <w:lang w:val="pt-PT"/>
        </w:rPr>
        <w:t> </w:t>
      </w:r>
      <w:r w:rsidR="00162CE2" w:rsidRPr="002606DB">
        <w:rPr>
          <w:snapToGrid w:val="0"/>
          <w:lang w:val="pt-PT"/>
        </w:rPr>
        <w:t>ml).</w:t>
      </w:r>
    </w:p>
    <w:p w14:paraId="3E8BEF6B" w14:textId="77777777" w:rsidR="009D55D0" w:rsidRPr="002606DB" w:rsidRDefault="009D55D0" w:rsidP="00552771">
      <w:pPr>
        <w:pStyle w:val="a3"/>
        <w:keepNext/>
        <w:keepLines/>
        <w:adjustRightInd w:val="0"/>
        <w:snapToGrid w:val="0"/>
        <w:rPr>
          <w:snapToGrid w:val="0"/>
          <w:u w:val="single"/>
          <w:lang w:val="pt-PT"/>
        </w:rPr>
      </w:pPr>
    </w:p>
    <w:p w14:paraId="249E0848" w14:textId="525268D1" w:rsidR="00162CE2" w:rsidRPr="002606DB" w:rsidRDefault="00162CE2" w:rsidP="00552771">
      <w:pPr>
        <w:pStyle w:val="a3"/>
        <w:keepNext/>
        <w:keepLines/>
        <w:adjustRightInd w:val="0"/>
        <w:snapToGrid w:val="0"/>
        <w:rPr>
          <w:snapToGrid w:val="0"/>
          <w:lang w:val="pt-PT"/>
        </w:rPr>
      </w:pPr>
      <w:r w:rsidRPr="002606DB">
        <w:rPr>
          <w:snapToGrid w:val="0"/>
          <w:u w:val="single"/>
          <w:lang w:val="pt-PT"/>
        </w:rPr>
        <w:t>Medicamento diluído</w:t>
      </w:r>
    </w:p>
    <w:p w14:paraId="5DB07B36" w14:textId="77777777" w:rsidR="00162CE2" w:rsidRPr="002606DB" w:rsidRDefault="00162CE2" w:rsidP="00056F35">
      <w:pPr>
        <w:pStyle w:val="a3"/>
        <w:adjustRightInd w:val="0"/>
        <w:snapToGrid w:val="0"/>
        <w:rPr>
          <w:snapToGrid w:val="0"/>
          <w:lang w:val="pt-PT"/>
        </w:rPr>
      </w:pPr>
    </w:p>
    <w:p w14:paraId="5673A447" w14:textId="38693B22" w:rsidR="00162CE2" w:rsidRPr="002606DB" w:rsidRDefault="00162CE2" w:rsidP="00056F35">
      <w:pPr>
        <w:pStyle w:val="a3"/>
        <w:adjustRightInd w:val="0"/>
        <w:snapToGrid w:val="0"/>
        <w:rPr>
          <w:snapToGrid w:val="0"/>
          <w:lang w:val="pt-PT"/>
        </w:rPr>
      </w:pPr>
      <w:r w:rsidRPr="002606DB">
        <w:rPr>
          <w:snapToGrid w:val="0"/>
          <w:lang w:val="pt-PT"/>
        </w:rPr>
        <w:t xml:space="preserve">A estabilidade química e física durante a utilização foi demonstrada durante um período de até 60 dias </w:t>
      </w:r>
      <w:r w:rsidR="003D57EB" w:rsidRPr="002606DB">
        <w:rPr>
          <w:snapToGrid w:val="0"/>
          <w:lang w:val="pt-PT"/>
        </w:rPr>
        <w:t xml:space="preserve">entre 2 °C e 8 °C </w:t>
      </w:r>
      <w:r w:rsidRPr="002606DB">
        <w:rPr>
          <w:snapToGrid w:val="0"/>
          <w:lang w:val="pt-PT"/>
        </w:rPr>
        <w:t>após a diluição e durante um período de até 7 dias a uma temperatura não superior a 30 °C em solução para injetáveis de cloreto de sódio 9 mg/ml (0,9%). Do ponto de vista microbiológico, o produto deve ser utilizado imediatamente. Se não for utilizado imediatamente, a duração e as condições de conservação após a preparação são da responsabilidade do utilizador, não devendo ser superiores a 24 horas a 2°C-8°C, exceto se a diluição ocorrer em condições de assepsia, controladas e validadas.</w:t>
      </w:r>
    </w:p>
    <w:p w14:paraId="2D721395" w14:textId="77777777" w:rsidR="00162CE2" w:rsidRPr="002606DB" w:rsidRDefault="00162CE2" w:rsidP="00056F35">
      <w:pPr>
        <w:adjustRightInd w:val="0"/>
        <w:snapToGrid w:val="0"/>
        <w:rPr>
          <w:snapToGrid w:val="0"/>
          <w:lang w:val="pt-PT"/>
        </w:rPr>
      </w:pPr>
    </w:p>
    <w:p w14:paraId="0C66022A" w14:textId="77777777" w:rsidR="00162CE2" w:rsidRPr="002606DB" w:rsidRDefault="00162CE2" w:rsidP="00552771">
      <w:pPr>
        <w:pStyle w:val="2"/>
        <w:adjustRightInd w:val="0"/>
        <w:snapToGrid w:val="0"/>
        <w:ind w:left="0"/>
        <w:rPr>
          <w:snapToGrid w:val="0"/>
          <w:lang w:val="pt-PT"/>
        </w:rPr>
      </w:pPr>
      <w:r w:rsidRPr="007155C0">
        <w:rPr>
          <w:snapToGrid w:val="0"/>
          <w:spacing w:val="-6"/>
          <w:w w:val="101"/>
          <w:lang w:val="pt-PT"/>
        </w:rPr>
        <w:t>6.4</w:t>
      </w:r>
      <w:r w:rsidRPr="007155C0">
        <w:rPr>
          <w:snapToGrid w:val="0"/>
          <w:spacing w:val="-6"/>
          <w:w w:val="101"/>
          <w:lang w:val="pt-PT"/>
        </w:rPr>
        <w:tab/>
      </w:r>
      <w:r w:rsidRPr="002606DB">
        <w:rPr>
          <w:snapToGrid w:val="0"/>
          <w:lang w:val="pt-PT"/>
        </w:rPr>
        <w:t>Precauções especiais de conservação</w:t>
      </w:r>
    </w:p>
    <w:p w14:paraId="406DC03A" w14:textId="77777777" w:rsidR="00162CE2" w:rsidRPr="002606DB" w:rsidRDefault="00162CE2" w:rsidP="00056F35">
      <w:pPr>
        <w:pStyle w:val="a3"/>
        <w:adjustRightInd w:val="0"/>
        <w:snapToGrid w:val="0"/>
        <w:rPr>
          <w:b/>
          <w:snapToGrid w:val="0"/>
          <w:lang w:val="pt-PT"/>
        </w:rPr>
      </w:pPr>
    </w:p>
    <w:p w14:paraId="2588CBDC" w14:textId="77777777" w:rsidR="00B77682" w:rsidRDefault="00162CE2" w:rsidP="00056F35">
      <w:pPr>
        <w:pStyle w:val="a3"/>
        <w:adjustRightInd w:val="0"/>
        <w:snapToGrid w:val="0"/>
        <w:rPr>
          <w:snapToGrid w:val="0"/>
          <w:lang w:val="pt-PT"/>
        </w:rPr>
      </w:pPr>
      <w:r w:rsidRPr="002606DB">
        <w:rPr>
          <w:snapToGrid w:val="0"/>
          <w:lang w:val="pt-PT"/>
        </w:rPr>
        <w:t>Conservar no frigorífico (2°C-8°C)</w:t>
      </w:r>
      <w:r w:rsidR="00B77682">
        <w:rPr>
          <w:snapToGrid w:val="0"/>
          <w:lang w:val="pt-PT"/>
        </w:rPr>
        <w:t>.</w:t>
      </w:r>
    </w:p>
    <w:p w14:paraId="4D744909" w14:textId="7C051E31" w:rsidR="00162CE2" w:rsidRPr="002606DB" w:rsidRDefault="00162CE2" w:rsidP="00056F35">
      <w:pPr>
        <w:pStyle w:val="a3"/>
        <w:adjustRightInd w:val="0"/>
        <w:snapToGrid w:val="0"/>
        <w:rPr>
          <w:snapToGrid w:val="0"/>
          <w:lang w:val="pt-PT"/>
        </w:rPr>
      </w:pPr>
      <w:r w:rsidRPr="002606DB">
        <w:rPr>
          <w:snapToGrid w:val="0"/>
          <w:lang w:val="pt-PT"/>
        </w:rPr>
        <w:t>Não congelar.</w:t>
      </w:r>
    </w:p>
    <w:p w14:paraId="432A784E" w14:textId="77777777" w:rsidR="004A74E6" w:rsidRPr="002606DB" w:rsidRDefault="00162CE2" w:rsidP="00056F35">
      <w:pPr>
        <w:pStyle w:val="a3"/>
        <w:adjustRightInd w:val="0"/>
        <w:snapToGrid w:val="0"/>
        <w:rPr>
          <w:snapToGrid w:val="0"/>
          <w:lang w:val="pt-PT"/>
        </w:rPr>
      </w:pPr>
      <w:r w:rsidRPr="002606DB">
        <w:rPr>
          <w:snapToGrid w:val="0"/>
          <w:lang w:val="pt-PT"/>
        </w:rPr>
        <w:t xml:space="preserve">Manter o frasco para injetáveis dentro da embalagem exterior para proteger da luz. </w:t>
      </w:r>
    </w:p>
    <w:p w14:paraId="2319DB67" w14:textId="77777777" w:rsidR="004A74E6" w:rsidRPr="002606DB" w:rsidRDefault="004A74E6" w:rsidP="00056F35">
      <w:pPr>
        <w:pStyle w:val="a3"/>
        <w:adjustRightInd w:val="0"/>
        <w:snapToGrid w:val="0"/>
        <w:rPr>
          <w:snapToGrid w:val="0"/>
          <w:lang w:val="pt-PT"/>
        </w:rPr>
      </w:pPr>
    </w:p>
    <w:p w14:paraId="0122C18E" w14:textId="380E5DE5" w:rsidR="00162CE2" w:rsidRPr="002606DB" w:rsidRDefault="00162CE2" w:rsidP="00056F35">
      <w:pPr>
        <w:pStyle w:val="a3"/>
        <w:adjustRightInd w:val="0"/>
        <w:snapToGrid w:val="0"/>
        <w:rPr>
          <w:snapToGrid w:val="0"/>
          <w:lang w:val="pt-PT"/>
        </w:rPr>
      </w:pPr>
      <w:r w:rsidRPr="002606DB">
        <w:rPr>
          <w:snapToGrid w:val="0"/>
          <w:lang w:val="pt-PT"/>
        </w:rPr>
        <w:t>Condições de conservação do medicamento após diluição, ver secção 6.3.</w:t>
      </w:r>
    </w:p>
    <w:p w14:paraId="2D680B8D" w14:textId="77777777" w:rsidR="00162CE2" w:rsidRPr="002606DB" w:rsidRDefault="00162CE2" w:rsidP="00730741">
      <w:pPr>
        <w:rPr>
          <w:snapToGrid w:val="0"/>
          <w:spacing w:val="-6"/>
          <w:w w:val="101"/>
        </w:rPr>
      </w:pPr>
    </w:p>
    <w:p w14:paraId="0B8FE516" w14:textId="77777777" w:rsidR="00162CE2" w:rsidRPr="002606DB" w:rsidRDefault="00162CE2" w:rsidP="00552771">
      <w:pPr>
        <w:pStyle w:val="2"/>
        <w:adjustRightInd w:val="0"/>
        <w:snapToGrid w:val="0"/>
        <w:ind w:left="0"/>
        <w:rPr>
          <w:snapToGrid w:val="0"/>
          <w:lang w:val="pt-PT"/>
        </w:rPr>
      </w:pPr>
      <w:r w:rsidRPr="002606DB">
        <w:rPr>
          <w:snapToGrid w:val="0"/>
          <w:spacing w:val="-6"/>
          <w:w w:val="101"/>
        </w:rPr>
        <w:t>6.5</w:t>
      </w:r>
      <w:r w:rsidRPr="002606DB">
        <w:rPr>
          <w:snapToGrid w:val="0"/>
          <w:spacing w:val="-6"/>
          <w:w w:val="101"/>
        </w:rPr>
        <w:tab/>
      </w:r>
      <w:r w:rsidRPr="002606DB">
        <w:rPr>
          <w:snapToGrid w:val="0"/>
          <w:lang w:val="pt-PT"/>
        </w:rPr>
        <w:t>Natureza e conteúdo do recipiente</w:t>
      </w:r>
    </w:p>
    <w:p w14:paraId="2A543933" w14:textId="77777777" w:rsidR="00162CE2" w:rsidRPr="002606DB" w:rsidRDefault="00162CE2" w:rsidP="00056F35">
      <w:pPr>
        <w:pStyle w:val="a3"/>
        <w:adjustRightInd w:val="0"/>
        <w:snapToGrid w:val="0"/>
        <w:rPr>
          <w:b/>
          <w:snapToGrid w:val="0"/>
          <w:lang w:val="pt-PT"/>
        </w:rPr>
      </w:pPr>
    </w:p>
    <w:p w14:paraId="7C231E32" w14:textId="7B54D627" w:rsidR="00162CE2" w:rsidRPr="002606DB" w:rsidRDefault="00162CE2" w:rsidP="00056F35">
      <w:pPr>
        <w:pStyle w:val="a3"/>
        <w:adjustRightInd w:val="0"/>
        <w:snapToGrid w:val="0"/>
        <w:rPr>
          <w:snapToGrid w:val="0"/>
          <w:lang w:val="pt-PT"/>
        </w:rPr>
      </w:pPr>
      <w:r w:rsidRPr="002606DB">
        <w:rPr>
          <w:snapToGrid w:val="0"/>
          <w:lang w:val="pt-PT"/>
        </w:rPr>
        <w:t xml:space="preserve">4 ml de solução num frasco para injetáveis (vidro Tipo I) com tampa (borracha clorobutílica), contendo 100 mg de bevacizumab. </w:t>
      </w:r>
    </w:p>
    <w:p w14:paraId="22481317" w14:textId="77777777" w:rsidR="00F604F7" w:rsidRPr="002606DB" w:rsidRDefault="00F604F7" w:rsidP="00F604F7">
      <w:pPr>
        <w:pStyle w:val="a3"/>
        <w:adjustRightInd w:val="0"/>
        <w:snapToGrid w:val="0"/>
        <w:rPr>
          <w:snapToGrid w:val="0"/>
          <w:lang w:val="pt-PT"/>
        </w:rPr>
      </w:pPr>
      <w:r w:rsidRPr="002606DB">
        <w:rPr>
          <w:snapToGrid w:val="0"/>
          <w:lang w:val="pt-PT"/>
        </w:rPr>
        <w:t>Embalagens de 1 e 10 frascos para injetáveis.</w:t>
      </w:r>
    </w:p>
    <w:p w14:paraId="4425E201" w14:textId="77777777" w:rsidR="00F604F7" w:rsidRDefault="00F604F7" w:rsidP="00056F35">
      <w:pPr>
        <w:pStyle w:val="a3"/>
        <w:adjustRightInd w:val="0"/>
        <w:snapToGrid w:val="0"/>
        <w:rPr>
          <w:rFonts w:eastAsia="맑은 고딕"/>
          <w:snapToGrid w:val="0"/>
          <w:lang w:val="pt-PT" w:eastAsia="ko-KR"/>
        </w:rPr>
      </w:pPr>
    </w:p>
    <w:p w14:paraId="6A4A635A" w14:textId="1498C763" w:rsidR="00162CE2" w:rsidRPr="002606DB" w:rsidRDefault="00162CE2" w:rsidP="00056F35">
      <w:pPr>
        <w:pStyle w:val="a3"/>
        <w:adjustRightInd w:val="0"/>
        <w:snapToGrid w:val="0"/>
        <w:rPr>
          <w:snapToGrid w:val="0"/>
          <w:lang w:val="pt-PT"/>
        </w:rPr>
      </w:pPr>
      <w:r w:rsidRPr="002606DB">
        <w:rPr>
          <w:snapToGrid w:val="0"/>
          <w:lang w:val="pt-PT"/>
        </w:rPr>
        <w:t>16 ml de solução num frasco para injetáveis (vidro Tipo I) com tampa (borracha clorobutílica), contendo 400 mg de bevacizumab.</w:t>
      </w:r>
    </w:p>
    <w:p w14:paraId="1DC39B18" w14:textId="2B4816FE" w:rsidR="00162CE2" w:rsidRDefault="00162CE2" w:rsidP="00056F35">
      <w:pPr>
        <w:pStyle w:val="a3"/>
        <w:adjustRightInd w:val="0"/>
        <w:snapToGrid w:val="0"/>
        <w:rPr>
          <w:rFonts w:eastAsia="맑은 고딕"/>
          <w:snapToGrid w:val="0"/>
          <w:lang w:val="pt-PT" w:eastAsia="ko-KR"/>
        </w:rPr>
      </w:pPr>
      <w:r w:rsidRPr="002606DB">
        <w:rPr>
          <w:snapToGrid w:val="0"/>
          <w:lang w:val="pt-PT"/>
        </w:rPr>
        <w:t>Embalagens de 1</w:t>
      </w:r>
      <w:r w:rsidR="00F604F7">
        <w:rPr>
          <w:rFonts w:eastAsia="맑은 고딕" w:hint="eastAsia"/>
          <w:snapToGrid w:val="0"/>
          <w:lang w:val="pt-PT" w:eastAsia="ko-KR"/>
        </w:rPr>
        <w:t>, 2</w:t>
      </w:r>
      <w:r w:rsidRPr="002606DB">
        <w:rPr>
          <w:snapToGrid w:val="0"/>
          <w:lang w:val="pt-PT"/>
        </w:rPr>
        <w:t xml:space="preserve"> </w:t>
      </w:r>
      <w:r w:rsidR="004A6277" w:rsidRPr="002606DB">
        <w:rPr>
          <w:snapToGrid w:val="0"/>
          <w:lang w:val="pt-PT"/>
        </w:rPr>
        <w:t xml:space="preserve">e 10 </w:t>
      </w:r>
      <w:r w:rsidRPr="002606DB">
        <w:rPr>
          <w:snapToGrid w:val="0"/>
          <w:lang w:val="pt-PT"/>
        </w:rPr>
        <w:t>frasco</w:t>
      </w:r>
      <w:r w:rsidR="004A6277" w:rsidRPr="002606DB">
        <w:rPr>
          <w:snapToGrid w:val="0"/>
          <w:lang w:val="pt-PT"/>
        </w:rPr>
        <w:t>s</w:t>
      </w:r>
      <w:r w:rsidRPr="002606DB">
        <w:rPr>
          <w:snapToGrid w:val="0"/>
          <w:lang w:val="pt-PT"/>
        </w:rPr>
        <w:t xml:space="preserve"> para injetáveis.</w:t>
      </w:r>
    </w:p>
    <w:p w14:paraId="679F48C0" w14:textId="77777777" w:rsidR="00F604F7" w:rsidRPr="00F604F7" w:rsidRDefault="00F604F7" w:rsidP="00056F35">
      <w:pPr>
        <w:pStyle w:val="a3"/>
        <w:adjustRightInd w:val="0"/>
        <w:snapToGrid w:val="0"/>
        <w:rPr>
          <w:snapToGrid w:val="0"/>
          <w:lang w:val="pt-PT"/>
        </w:rPr>
      </w:pPr>
    </w:p>
    <w:p w14:paraId="74219BA4" w14:textId="77777777" w:rsidR="00162CE2" w:rsidRPr="002606DB" w:rsidRDefault="00162CE2" w:rsidP="00056F35">
      <w:pPr>
        <w:pStyle w:val="a3"/>
        <w:adjustRightInd w:val="0"/>
        <w:snapToGrid w:val="0"/>
        <w:rPr>
          <w:snapToGrid w:val="0"/>
          <w:lang w:val="pt-PT"/>
        </w:rPr>
      </w:pPr>
      <w:r w:rsidRPr="002606DB">
        <w:rPr>
          <w:lang w:val="pt-PT"/>
        </w:rPr>
        <w:t>É possível que não sejam comercializadas todas as apresentações.</w:t>
      </w:r>
    </w:p>
    <w:p w14:paraId="485CDE0F" w14:textId="77777777" w:rsidR="00162CE2" w:rsidRPr="002606DB" w:rsidRDefault="00162CE2" w:rsidP="00056F35">
      <w:pPr>
        <w:pStyle w:val="a3"/>
        <w:adjustRightInd w:val="0"/>
        <w:snapToGrid w:val="0"/>
        <w:rPr>
          <w:snapToGrid w:val="0"/>
          <w:lang w:val="pt-PT"/>
        </w:rPr>
      </w:pPr>
    </w:p>
    <w:p w14:paraId="2DBFCC7A" w14:textId="77777777" w:rsidR="00162CE2" w:rsidRPr="002606DB" w:rsidRDefault="00162CE2" w:rsidP="004A74E6">
      <w:pPr>
        <w:pStyle w:val="2"/>
        <w:keepNext/>
        <w:keepLines/>
        <w:widowControl/>
        <w:adjustRightInd w:val="0"/>
        <w:snapToGrid w:val="0"/>
        <w:ind w:left="0"/>
        <w:rPr>
          <w:snapToGrid w:val="0"/>
          <w:lang w:val="pt-PT"/>
        </w:rPr>
      </w:pPr>
      <w:r w:rsidRPr="007155C0">
        <w:rPr>
          <w:snapToGrid w:val="0"/>
          <w:spacing w:val="-6"/>
          <w:w w:val="101"/>
          <w:lang w:val="pt-PT"/>
        </w:rPr>
        <w:t>6.6</w:t>
      </w:r>
      <w:r w:rsidRPr="007155C0">
        <w:rPr>
          <w:snapToGrid w:val="0"/>
          <w:spacing w:val="-6"/>
          <w:w w:val="101"/>
          <w:lang w:val="pt-PT"/>
        </w:rPr>
        <w:tab/>
      </w:r>
      <w:r w:rsidRPr="002606DB">
        <w:rPr>
          <w:snapToGrid w:val="0"/>
          <w:lang w:val="pt-PT"/>
        </w:rPr>
        <w:t>Precauções especiais de eliminação e manuseamento</w:t>
      </w:r>
    </w:p>
    <w:p w14:paraId="321434CB" w14:textId="77777777" w:rsidR="00162CE2" w:rsidRPr="002606DB" w:rsidRDefault="00162CE2" w:rsidP="004A74E6">
      <w:pPr>
        <w:pStyle w:val="a3"/>
        <w:keepNext/>
        <w:keepLines/>
        <w:widowControl/>
        <w:adjustRightInd w:val="0"/>
        <w:snapToGrid w:val="0"/>
        <w:rPr>
          <w:b/>
          <w:snapToGrid w:val="0"/>
          <w:lang w:val="pt-PT"/>
        </w:rPr>
      </w:pPr>
    </w:p>
    <w:p w14:paraId="2CAA510E" w14:textId="109D4A2D" w:rsidR="00162CE2" w:rsidRPr="002606DB" w:rsidRDefault="00FB2483" w:rsidP="004A74E6">
      <w:pPr>
        <w:pStyle w:val="a3"/>
        <w:keepNext/>
        <w:keepLines/>
        <w:widowControl/>
        <w:adjustRightInd w:val="0"/>
        <w:snapToGrid w:val="0"/>
        <w:rPr>
          <w:snapToGrid w:val="0"/>
          <w:lang w:val="pt-PT"/>
        </w:rPr>
      </w:pPr>
      <w:r>
        <w:rPr>
          <w:color w:val="000000"/>
          <w:lang w:val="pt-PT" w:eastAsia="ko-KR"/>
        </w:rPr>
        <w:t>Vegzelma</w:t>
      </w:r>
      <w:r w:rsidR="00162CE2" w:rsidRPr="007155C0">
        <w:rPr>
          <w:color w:val="000000"/>
          <w:lang w:val="pt-PT" w:eastAsia="ko-KR"/>
        </w:rPr>
        <w:t xml:space="preserve"> </w:t>
      </w:r>
      <w:r w:rsidR="00162CE2" w:rsidRPr="002606DB">
        <w:rPr>
          <w:snapToGrid w:val="0"/>
          <w:lang w:val="pt-PT"/>
        </w:rPr>
        <w:t xml:space="preserve">deve ser preparado por um profissional de saúde, por meio de técnica asséptica, para assegurar a esterilidade da solução preparada. Deve ser utilizada uma seringa e agulha estéreis na preparação de </w:t>
      </w:r>
      <w:r>
        <w:rPr>
          <w:color w:val="000000"/>
          <w:lang w:val="fr-CA" w:eastAsia="ko-KR"/>
        </w:rPr>
        <w:t>Vegzelma</w:t>
      </w:r>
      <w:r w:rsidR="00162CE2" w:rsidRPr="002606DB">
        <w:rPr>
          <w:snapToGrid w:val="0"/>
          <w:lang w:val="pt-PT"/>
        </w:rPr>
        <w:t>.</w:t>
      </w:r>
    </w:p>
    <w:p w14:paraId="1CF46420" w14:textId="77777777" w:rsidR="00162CE2" w:rsidRPr="002606DB" w:rsidRDefault="00162CE2" w:rsidP="00056F35">
      <w:pPr>
        <w:pStyle w:val="a3"/>
        <w:adjustRightInd w:val="0"/>
        <w:snapToGrid w:val="0"/>
        <w:rPr>
          <w:snapToGrid w:val="0"/>
          <w:lang w:val="pt-PT"/>
        </w:rPr>
      </w:pPr>
    </w:p>
    <w:p w14:paraId="66B1D186" w14:textId="7D335E3C" w:rsidR="00162CE2" w:rsidRPr="002606DB" w:rsidRDefault="00162CE2" w:rsidP="00056F35">
      <w:pPr>
        <w:pStyle w:val="a3"/>
        <w:adjustRightInd w:val="0"/>
        <w:snapToGrid w:val="0"/>
        <w:rPr>
          <w:snapToGrid w:val="0"/>
          <w:lang w:val="pt-PT"/>
        </w:rPr>
      </w:pPr>
      <w:r w:rsidRPr="002606DB">
        <w:rPr>
          <w:snapToGrid w:val="0"/>
          <w:lang w:val="pt-PT"/>
        </w:rPr>
        <w:t xml:space="preserve">A quantidade necessária de bevacizumab deve ser retirada e diluída até ao volume de administração necessário com solução injetável de cloreto de sódio 9 mg/ml (0,9%). A concentração final da solução de bevacizumab deve ser mantida dentro do intervalo </w:t>
      </w:r>
      <w:r w:rsidR="00052CFC" w:rsidRPr="007155C0">
        <w:rPr>
          <w:lang w:val="pt-PT"/>
        </w:rPr>
        <w:t>de</w:t>
      </w:r>
      <w:r w:rsidR="00052CFC" w:rsidRPr="002606DB">
        <w:rPr>
          <w:snapToGrid w:val="0"/>
          <w:lang w:val="pt-PT"/>
        </w:rPr>
        <w:t xml:space="preserve"> </w:t>
      </w:r>
      <w:r w:rsidRPr="002606DB">
        <w:rPr>
          <w:snapToGrid w:val="0"/>
          <w:lang w:val="pt-PT"/>
        </w:rPr>
        <w:t>1,4 mg/ml a</w:t>
      </w:r>
      <w:r w:rsidR="00B77682">
        <w:rPr>
          <w:snapToGrid w:val="0"/>
          <w:lang w:val="pt-PT"/>
        </w:rPr>
        <w:t xml:space="preserve"> </w:t>
      </w:r>
      <w:r w:rsidRPr="002606DB">
        <w:rPr>
          <w:snapToGrid w:val="0"/>
          <w:lang w:val="pt-PT"/>
        </w:rPr>
        <w:t xml:space="preserve">16,5 mg/ml. Na maioria dos casos, a quantidade necessária de </w:t>
      </w:r>
      <w:r w:rsidR="00FB2483">
        <w:rPr>
          <w:color w:val="000000"/>
          <w:lang w:val="pt-PT" w:eastAsia="ko-KR"/>
        </w:rPr>
        <w:t>Vegzelma</w:t>
      </w:r>
      <w:r w:rsidRPr="002606DB">
        <w:rPr>
          <w:snapToGrid w:val="0"/>
          <w:lang w:val="pt-PT"/>
        </w:rPr>
        <w:t xml:space="preserve"> pode ser diluída com solução de cloreto de sódio a 0,9% para injeção num volume total de 100 ml.</w:t>
      </w:r>
    </w:p>
    <w:p w14:paraId="4EC000D5" w14:textId="77777777" w:rsidR="00162CE2" w:rsidRPr="002606DB" w:rsidRDefault="00162CE2" w:rsidP="00056F35">
      <w:pPr>
        <w:pStyle w:val="a3"/>
        <w:adjustRightInd w:val="0"/>
        <w:snapToGrid w:val="0"/>
        <w:rPr>
          <w:snapToGrid w:val="0"/>
          <w:lang w:val="pt-PT"/>
        </w:rPr>
      </w:pPr>
    </w:p>
    <w:p w14:paraId="36ECCE96" w14:textId="77777777" w:rsidR="00162CE2" w:rsidRPr="002606DB" w:rsidRDefault="00162CE2" w:rsidP="00056F35">
      <w:pPr>
        <w:pStyle w:val="a3"/>
        <w:adjustRightInd w:val="0"/>
        <w:snapToGrid w:val="0"/>
        <w:rPr>
          <w:snapToGrid w:val="0"/>
          <w:lang w:val="pt-PT"/>
        </w:rPr>
      </w:pPr>
      <w:r w:rsidRPr="002606DB">
        <w:rPr>
          <w:snapToGrid w:val="0"/>
          <w:lang w:val="pt-PT"/>
        </w:rPr>
        <w:t>Antes da administração, os medicamentos para administração parentérica devem ser inspecionados visualmente quanto à presença de partículas ou coloração.</w:t>
      </w:r>
    </w:p>
    <w:p w14:paraId="35BE16DA" w14:textId="77777777" w:rsidR="00162CE2" w:rsidRPr="002606DB" w:rsidRDefault="00162CE2" w:rsidP="00056F35">
      <w:pPr>
        <w:pStyle w:val="a3"/>
        <w:adjustRightInd w:val="0"/>
        <w:snapToGrid w:val="0"/>
        <w:rPr>
          <w:snapToGrid w:val="0"/>
          <w:lang w:val="pt-PT"/>
        </w:rPr>
      </w:pPr>
    </w:p>
    <w:p w14:paraId="587F722D" w14:textId="36B32559" w:rsidR="00162CE2" w:rsidRPr="002606DB" w:rsidRDefault="00162CE2" w:rsidP="00056F35">
      <w:pPr>
        <w:pStyle w:val="a3"/>
        <w:adjustRightInd w:val="0"/>
        <w:snapToGrid w:val="0"/>
        <w:rPr>
          <w:snapToGrid w:val="0"/>
          <w:lang w:val="pt-PT"/>
        </w:rPr>
      </w:pPr>
      <w:r w:rsidRPr="002606DB">
        <w:rPr>
          <w:snapToGrid w:val="0"/>
          <w:lang w:val="pt-PT"/>
        </w:rPr>
        <w:t xml:space="preserve">Não foram observadas incompatibilidades entre </w:t>
      </w:r>
      <w:r w:rsidR="00FB2483">
        <w:rPr>
          <w:color w:val="000000"/>
          <w:lang w:val="fr-CA" w:eastAsia="ko-KR"/>
        </w:rPr>
        <w:t>Vegzelma</w:t>
      </w:r>
      <w:r w:rsidRPr="007155C0">
        <w:rPr>
          <w:color w:val="000000"/>
          <w:lang w:val="fr-CA" w:eastAsia="ko-KR"/>
        </w:rPr>
        <w:t xml:space="preserve"> </w:t>
      </w:r>
      <w:r w:rsidRPr="002606DB">
        <w:rPr>
          <w:snapToGrid w:val="0"/>
          <w:lang w:val="pt-PT"/>
        </w:rPr>
        <w:t>e sacos ou dispositivos de perfusão de ou poliolefine.</w:t>
      </w:r>
    </w:p>
    <w:p w14:paraId="2C4BFF0B" w14:textId="77777777" w:rsidR="00162CE2" w:rsidRPr="002606DB" w:rsidRDefault="00162CE2" w:rsidP="00056F35">
      <w:pPr>
        <w:pStyle w:val="a3"/>
        <w:adjustRightInd w:val="0"/>
        <w:snapToGrid w:val="0"/>
        <w:rPr>
          <w:snapToGrid w:val="0"/>
          <w:lang w:val="pt-PT"/>
        </w:rPr>
      </w:pPr>
    </w:p>
    <w:p w14:paraId="7A84028A" w14:textId="11ACA36C" w:rsidR="00162CE2" w:rsidRPr="002606DB" w:rsidRDefault="00FB2483" w:rsidP="00056F35">
      <w:pPr>
        <w:pStyle w:val="a3"/>
        <w:adjustRightInd w:val="0"/>
        <w:snapToGrid w:val="0"/>
        <w:rPr>
          <w:snapToGrid w:val="0"/>
          <w:lang w:val="pt-PT"/>
        </w:rPr>
      </w:pPr>
      <w:r>
        <w:rPr>
          <w:color w:val="000000"/>
          <w:lang w:val="pt-PT" w:eastAsia="ko-KR"/>
        </w:rPr>
        <w:t>Vegzelma</w:t>
      </w:r>
      <w:r w:rsidR="00162CE2" w:rsidRPr="007155C0">
        <w:rPr>
          <w:color w:val="000000"/>
          <w:lang w:val="pt-PT" w:eastAsia="ko-KR"/>
        </w:rPr>
        <w:t xml:space="preserve"> </w:t>
      </w:r>
      <w:r w:rsidR="00162CE2" w:rsidRPr="002606DB">
        <w:rPr>
          <w:snapToGrid w:val="0"/>
          <w:lang w:val="pt-PT"/>
        </w:rPr>
        <w:t>é para utilização única, dado que o medicamento não contém conservantes. Qualquer medicamento não utilizado ou resíduos devem ser eliminados de acordo com as exigências locais.</w:t>
      </w:r>
    </w:p>
    <w:p w14:paraId="35625528" w14:textId="77777777" w:rsidR="00162CE2" w:rsidRPr="002606DB" w:rsidRDefault="00162CE2" w:rsidP="00056F35">
      <w:pPr>
        <w:pStyle w:val="a3"/>
        <w:adjustRightInd w:val="0"/>
        <w:snapToGrid w:val="0"/>
        <w:rPr>
          <w:snapToGrid w:val="0"/>
          <w:lang w:val="pt-PT"/>
        </w:rPr>
      </w:pPr>
    </w:p>
    <w:p w14:paraId="18699E19" w14:textId="77777777" w:rsidR="00162CE2" w:rsidRPr="002606DB" w:rsidRDefault="00162CE2" w:rsidP="00056F35">
      <w:pPr>
        <w:pStyle w:val="a3"/>
        <w:adjustRightInd w:val="0"/>
        <w:snapToGrid w:val="0"/>
        <w:rPr>
          <w:snapToGrid w:val="0"/>
          <w:lang w:val="pt-PT"/>
        </w:rPr>
      </w:pPr>
    </w:p>
    <w:p w14:paraId="26E2F243" w14:textId="77777777" w:rsidR="00162CE2" w:rsidRPr="002606DB" w:rsidRDefault="00162CE2" w:rsidP="00552771">
      <w:pPr>
        <w:pStyle w:val="1"/>
        <w:adjustRightInd w:val="0"/>
        <w:snapToGrid w:val="0"/>
        <w:ind w:left="0"/>
        <w:rPr>
          <w:snapToGrid w:val="0"/>
          <w:lang w:val="pt-PT"/>
        </w:rPr>
      </w:pPr>
      <w:r w:rsidRPr="002606DB">
        <w:rPr>
          <w:snapToGrid w:val="0"/>
          <w:w w:val="101"/>
        </w:rPr>
        <w:t>7.</w:t>
      </w:r>
      <w:r w:rsidRPr="002606DB">
        <w:rPr>
          <w:snapToGrid w:val="0"/>
          <w:w w:val="101"/>
        </w:rPr>
        <w:tab/>
      </w:r>
      <w:r w:rsidRPr="002606DB">
        <w:rPr>
          <w:snapToGrid w:val="0"/>
          <w:lang w:val="pt-PT"/>
        </w:rPr>
        <w:t>TITULAR DA AUTORIZAÇÃO DE INTRODUÇÃO NO MERCADO</w:t>
      </w:r>
    </w:p>
    <w:p w14:paraId="6B74AB43" w14:textId="77777777" w:rsidR="00162CE2" w:rsidRPr="002606DB" w:rsidRDefault="00162CE2" w:rsidP="00056F35">
      <w:pPr>
        <w:pStyle w:val="a3"/>
        <w:adjustRightInd w:val="0"/>
        <w:snapToGrid w:val="0"/>
        <w:rPr>
          <w:b/>
          <w:snapToGrid w:val="0"/>
          <w:lang w:val="pt-PT"/>
        </w:rPr>
      </w:pPr>
    </w:p>
    <w:p w14:paraId="75DB08A5" w14:textId="77777777" w:rsidR="00162CE2" w:rsidRPr="002606DB" w:rsidRDefault="00162CE2" w:rsidP="00D23A77">
      <w:pPr>
        <w:pStyle w:val="a3"/>
        <w:keepNext/>
        <w:keepLines/>
        <w:widowControl/>
        <w:kinsoku w:val="0"/>
        <w:overflowPunct w:val="0"/>
        <w:adjustRightInd w:val="0"/>
        <w:snapToGrid w:val="0"/>
        <w:rPr>
          <w:color w:val="000000"/>
          <w:lang w:val="en-GB"/>
        </w:rPr>
      </w:pPr>
      <w:r w:rsidRPr="002606DB">
        <w:rPr>
          <w:color w:val="000000"/>
          <w:lang w:val="en-GB"/>
        </w:rPr>
        <w:t>Celltrion Healthcare Hungary Kft.</w:t>
      </w:r>
    </w:p>
    <w:p w14:paraId="6EE7A3F1" w14:textId="77777777" w:rsidR="00162CE2" w:rsidRPr="002606DB" w:rsidRDefault="00162CE2" w:rsidP="00D23A77">
      <w:pPr>
        <w:pStyle w:val="a3"/>
        <w:keepNext/>
        <w:keepLines/>
        <w:widowControl/>
        <w:kinsoku w:val="0"/>
        <w:overflowPunct w:val="0"/>
        <w:adjustRightInd w:val="0"/>
        <w:snapToGrid w:val="0"/>
        <w:rPr>
          <w:color w:val="000000"/>
          <w:lang w:val="en-GB"/>
        </w:rPr>
      </w:pPr>
      <w:r w:rsidRPr="002606DB">
        <w:rPr>
          <w:color w:val="000000"/>
          <w:lang w:val="en-GB"/>
        </w:rPr>
        <w:t>1062 Budapest</w:t>
      </w:r>
    </w:p>
    <w:p w14:paraId="47893416" w14:textId="77777777" w:rsidR="00162CE2" w:rsidRPr="002606DB" w:rsidRDefault="00162CE2" w:rsidP="00D23A77">
      <w:pPr>
        <w:pStyle w:val="a3"/>
        <w:keepNext/>
        <w:keepLines/>
        <w:widowControl/>
        <w:kinsoku w:val="0"/>
        <w:overflowPunct w:val="0"/>
        <w:adjustRightInd w:val="0"/>
        <w:snapToGrid w:val="0"/>
        <w:rPr>
          <w:color w:val="000000"/>
          <w:lang w:val="en-GB"/>
        </w:rPr>
      </w:pPr>
      <w:r w:rsidRPr="002606DB">
        <w:rPr>
          <w:color w:val="000000"/>
          <w:lang w:val="en-GB"/>
        </w:rPr>
        <w:t xml:space="preserve">Váci </w:t>
      </w:r>
      <w:proofErr w:type="spellStart"/>
      <w:r w:rsidRPr="002606DB">
        <w:rPr>
          <w:color w:val="000000"/>
          <w:lang w:val="en-GB"/>
        </w:rPr>
        <w:t>út</w:t>
      </w:r>
      <w:proofErr w:type="spellEnd"/>
      <w:r w:rsidRPr="002606DB">
        <w:rPr>
          <w:color w:val="000000"/>
          <w:lang w:val="en-GB"/>
        </w:rPr>
        <w:t xml:space="preserve"> 1-3. </w:t>
      </w:r>
      <w:proofErr w:type="spellStart"/>
      <w:r w:rsidRPr="002606DB">
        <w:rPr>
          <w:color w:val="000000"/>
          <w:lang w:val="en-GB"/>
        </w:rPr>
        <w:t>WestEnd</w:t>
      </w:r>
      <w:proofErr w:type="spellEnd"/>
      <w:r w:rsidRPr="002606DB">
        <w:rPr>
          <w:color w:val="000000"/>
          <w:lang w:val="en-GB"/>
        </w:rPr>
        <w:t xml:space="preserve"> Office Building B </w:t>
      </w:r>
      <w:proofErr w:type="spellStart"/>
      <w:r w:rsidRPr="002606DB">
        <w:rPr>
          <w:color w:val="000000"/>
          <w:lang w:val="en-GB"/>
        </w:rPr>
        <w:t>torony</w:t>
      </w:r>
      <w:proofErr w:type="spellEnd"/>
    </w:p>
    <w:p w14:paraId="128F6A54" w14:textId="1231435C" w:rsidR="00162CE2" w:rsidRPr="002606DB" w:rsidRDefault="00162CE2" w:rsidP="00056F35">
      <w:pPr>
        <w:pStyle w:val="a3"/>
        <w:adjustRightInd w:val="0"/>
        <w:snapToGrid w:val="0"/>
        <w:rPr>
          <w:snapToGrid w:val="0"/>
          <w:lang w:val="pt-PT"/>
        </w:rPr>
      </w:pPr>
      <w:r w:rsidRPr="002606DB">
        <w:rPr>
          <w:color w:val="000000"/>
          <w:lang w:val="en-GB"/>
        </w:rPr>
        <w:t>Hungria</w:t>
      </w:r>
    </w:p>
    <w:p w14:paraId="22EEDFA0" w14:textId="77777777" w:rsidR="00162CE2" w:rsidRPr="002606DB" w:rsidRDefault="00162CE2" w:rsidP="00056F35">
      <w:pPr>
        <w:pStyle w:val="a3"/>
        <w:adjustRightInd w:val="0"/>
        <w:snapToGrid w:val="0"/>
        <w:rPr>
          <w:snapToGrid w:val="0"/>
          <w:lang w:val="pt-PT"/>
        </w:rPr>
      </w:pPr>
    </w:p>
    <w:p w14:paraId="4105BF10" w14:textId="77777777" w:rsidR="00162CE2" w:rsidRPr="002606DB" w:rsidRDefault="00162CE2" w:rsidP="00056F35">
      <w:pPr>
        <w:pStyle w:val="a3"/>
        <w:adjustRightInd w:val="0"/>
        <w:snapToGrid w:val="0"/>
        <w:rPr>
          <w:snapToGrid w:val="0"/>
          <w:lang w:val="pt-PT"/>
        </w:rPr>
      </w:pPr>
    </w:p>
    <w:p w14:paraId="147F9CA9" w14:textId="77777777" w:rsidR="00162CE2" w:rsidRPr="002606DB" w:rsidRDefault="00162CE2" w:rsidP="00552771">
      <w:pPr>
        <w:pStyle w:val="1"/>
        <w:adjustRightInd w:val="0"/>
        <w:snapToGrid w:val="0"/>
        <w:ind w:left="0"/>
        <w:rPr>
          <w:snapToGrid w:val="0"/>
          <w:lang w:val="pt-PT"/>
        </w:rPr>
      </w:pPr>
      <w:r w:rsidRPr="002606DB">
        <w:rPr>
          <w:snapToGrid w:val="0"/>
          <w:w w:val="101"/>
        </w:rPr>
        <w:t>8.</w:t>
      </w:r>
      <w:r w:rsidRPr="002606DB">
        <w:rPr>
          <w:snapToGrid w:val="0"/>
          <w:w w:val="101"/>
        </w:rPr>
        <w:tab/>
      </w:r>
      <w:r w:rsidRPr="002606DB">
        <w:rPr>
          <w:snapToGrid w:val="0"/>
          <w:lang w:val="pt-PT"/>
        </w:rPr>
        <w:t>NÚMERO(S) DA AUTORIZAÇÃO DE INTRODUÇÃO NO MERCADO</w:t>
      </w:r>
    </w:p>
    <w:p w14:paraId="7EA9BCAF" w14:textId="77777777" w:rsidR="00162CE2" w:rsidRPr="002606DB" w:rsidRDefault="00162CE2" w:rsidP="00056F35">
      <w:pPr>
        <w:pStyle w:val="a3"/>
        <w:adjustRightInd w:val="0"/>
        <w:snapToGrid w:val="0"/>
        <w:rPr>
          <w:b/>
          <w:snapToGrid w:val="0"/>
          <w:lang w:val="pt-PT"/>
        </w:rPr>
      </w:pPr>
    </w:p>
    <w:p w14:paraId="50B875BE" w14:textId="270622C7" w:rsidR="00162CE2" w:rsidRPr="007155C0" w:rsidRDefault="00FB2483" w:rsidP="00D23A77">
      <w:pPr>
        <w:widowControl/>
        <w:adjustRightInd w:val="0"/>
        <w:snapToGrid w:val="0"/>
        <w:rPr>
          <w:color w:val="000000"/>
          <w:u w:val="single"/>
          <w:lang w:val="fr-CA" w:eastAsia="ko-KR"/>
        </w:rPr>
      </w:pPr>
      <w:r>
        <w:rPr>
          <w:color w:val="000000"/>
          <w:u w:val="single"/>
          <w:lang w:val="fr-CA" w:eastAsia="ko-KR"/>
        </w:rPr>
        <w:t>Vegzelma</w:t>
      </w:r>
      <w:r w:rsidR="00162CE2" w:rsidRPr="007155C0">
        <w:rPr>
          <w:color w:val="000000"/>
          <w:u w:val="single"/>
          <w:lang w:val="fr-CA" w:eastAsia="ko-KR"/>
        </w:rPr>
        <w:t xml:space="preserve"> 100</w:t>
      </w:r>
      <w:r w:rsidR="003D57EB" w:rsidRPr="007155C0">
        <w:rPr>
          <w:color w:val="000000"/>
          <w:u w:val="single"/>
          <w:lang w:val="fr-CA" w:eastAsia="ko-KR"/>
        </w:rPr>
        <w:t> </w:t>
      </w:r>
      <w:r w:rsidR="00162CE2" w:rsidRPr="007155C0">
        <w:rPr>
          <w:color w:val="000000"/>
          <w:u w:val="single"/>
          <w:lang w:val="fr-CA" w:eastAsia="ko-KR"/>
        </w:rPr>
        <w:t>mg</w:t>
      </w:r>
    </w:p>
    <w:p w14:paraId="1DBFB38C" w14:textId="77777777" w:rsidR="00AE5936" w:rsidRDefault="00AE5936" w:rsidP="00AE5936">
      <w:pPr>
        <w:adjustRightInd w:val="0"/>
        <w:snapToGrid w:val="0"/>
        <w:spacing w:before="4"/>
        <w:rPr>
          <w:lang w:val="fr-CA" w:eastAsia="ko-KR"/>
        </w:rPr>
      </w:pPr>
      <w:bookmarkStart w:id="6" w:name="_Hlk107293836"/>
      <w:bookmarkStart w:id="7" w:name="_Hlk107231018"/>
      <w:bookmarkStart w:id="8" w:name="_Hlk107293797"/>
      <w:r w:rsidRPr="004A14D4">
        <w:rPr>
          <w:lang w:val="fr-CA" w:eastAsia="ko-KR"/>
        </w:rPr>
        <w:t>EU/1/22/1667/001</w:t>
      </w:r>
    </w:p>
    <w:bookmarkEnd w:id="6"/>
    <w:p w14:paraId="079E476D" w14:textId="3DE2A313" w:rsidR="00AE5936" w:rsidRPr="007155C0" w:rsidRDefault="00AE5936" w:rsidP="00AE5936">
      <w:pPr>
        <w:widowControl/>
        <w:adjustRightInd w:val="0"/>
        <w:snapToGrid w:val="0"/>
        <w:rPr>
          <w:color w:val="000000"/>
          <w:lang w:val="fr-CA" w:eastAsia="ko-KR"/>
        </w:rPr>
      </w:pPr>
      <w:r w:rsidRPr="004A14D4">
        <w:rPr>
          <w:lang w:val="fr-CA" w:eastAsia="ko-KR"/>
        </w:rPr>
        <w:t>EU/1/22/1667/003</w:t>
      </w:r>
      <w:bookmarkEnd w:id="7"/>
      <w:bookmarkEnd w:id="8"/>
    </w:p>
    <w:p w14:paraId="55CBAEFC" w14:textId="77777777" w:rsidR="00162CE2" w:rsidRPr="007155C0" w:rsidRDefault="00162CE2" w:rsidP="00D23A77">
      <w:pPr>
        <w:widowControl/>
        <w:adjustRightInd w:val="0"/>
        <w:snapToGrid w:val="0"/>
        <w:rPr>
          <w:color w:val="000000"/>
          <w:lang w:val="fr-CA" w:eastAsia="ko-KR"/>
        </w:rPr>
      </w:pPr>
    </w:p>
    <w:p w14:paraId="0204DE7B" w14:textId="3170FD24" w:rsidR="00162CE2" w:rsidRPr="007155C0" w:rsidRDefault="00FB2483" w:rsidP="00D23A77">
      <w:pPr>
        <w:widowControl/>
        <w:adjustRightInd w:val="0"/>
        <w:snapToGrid w:val="0"/>
        <w:rPr>
          <w:color w:val="000000"/>
          <w:u w:val="single"/>
          <w:lang w:val="fr-CA" w:eastAsia="ko-KR"/>
        </w:rPr>
      </w:pPr>
      <w:r>
        <w:rPr>
          <w:color w:val="000000"/>
          <w:u w:val="single"/>
          <w:lang w:val="fr-CA" w:eastAsia="ko-KR"/>
        </w:rPr>
        <w:t>Vegzelma</w:t>
      </w:r>
      <w:r w:rsidR="00162CE2" w:rsidRPr="007155C0">
        <w:rPr>
          <w:color w:val="000000"/>
          <w:u w:val="single"/>
          <w:lang w:val="fr-CA" w:eastAsia="ko-KR"/>
        </w:rPr>
        <w:t xml:space="preserve"> 400</w:t>
      </w:r>
      <w:r w:rsidR="003D57EB" w:rsidRPr="007155C0">
        <w:rPr>
          <w:color w:val="000000"/>
          <w:u w:val="single"/>
          <w:lang w:val="fr-CA" w:eastAsia="ko-KR"/>
        </w:rPr>
        <w:t> </w:t>
      </w:r>
      <w:r w:rsidR="00162CE2" w:rsidRPr="007155C0">
        <w:rPr>
          <w:color w:val="000000"/>
          <w:u w:val="single"/>
          <w:lang w:val="fr-CA" w:eastAsia="ko-KR"/>
        </w:rPr>
        <w:t>mg</w:t>
      </w:r>
    </w:p>
    <w:p w14:paraId="76919A79" w14:textId="77777777" w:rsidR="00AE5936" w:rsidRDefault="00AE5936" w:rsidP="00AE5936">
      <w:pPr>
        <w:adjustRightInd w:val="0"/>
        <w:snapToGrid w:val="0"/>
        <w:spacing w:before="4"/>
        <w:rPr>
          <w:lang w:val="fr-CA" w:eastAsia="ko-KR"/>
        </w:rPr>
      </w:pPr>
      <w:bookmarkStart w:id="9" w:name="_Hlk107293943"/>
      <w:bookmarkStart w:id="10" w:name="_Hlk107231025"/>
      <w:bookmarkStart w:id="11" w:name="_Hlk107293088"/>
      <w:r w:rsidRPr="004A14D4">
        <w:rPr>
          <w:lang w:val="fr-CA" w:eastAsia="ko-KR"/>
        </w:rPr>
        <w:t>EU/1/22/1667/002</w:t>
      </w:r>
      <w:bookmarkEnd w:id="9"/>
    </w:p>
    <w:p w14:paraId="1367AEEA" w14:textId="1ECB943D" w:rsidR="00AE5936" w:rsidRPr="007155C0" w:rsidRDefault="00AE5936" w:rsidP="00AE5936">
      <w:pPr>
        <w:widowControl/>
        <w:adjustRightInd w:val="0"/>
        <w:snapToGrid w:val="0"/>
        <w:rPr>
          <w:color w:val="000000"/>
          <w:lang w:val="fr-CA" w:eastAsia="ko-KR"/>
        </w:rPr>
      </w:pPr>
      <w:r w:rsidRPr="004A14D4">
        <w:rPr>
          <w:lang w:val="fr-CA" w:eastAsia="ko-KR"/>
        </w:rPr>
        <w:t>EU/1/22/1667/004</w:t>
      </w:r>
      <w:bookmarkEnd w:id="10"/>
      <w:bookmarkEnd w:id="11"/>
    </w:p>
    <w:p w14:paraId="6E97E385" w14:textId="7DE96C7E" w:rsidR="00C25AC8" w:rsidRPr="007155C0" w:rsidRDefault="00C25AC8" w:rsidP="00C25AC8">
      <w:pPr>
        <w:widowControl/>
        <w:adjustRightInd w:val="0"/>
        <w:snapToGrid w:val="0"/>
        <w:rPr>
          <w:rFonts w:eastAsia="맑은 고딕"/>
          <w:color w:val="000000"/>
          <w:lang w:val="fr-CA" w:eastAsia="ko-KR"/>
        </w:rPr>
      </w:pPr>
      <w:r w:rsidRPr="004A14D4">
        <w:rPr>
          <w:lang w:val="fr-CA" w:eastAsia="ko-KR"/>
        </w:rPr>
        <w:t>EU/1/22/1667/00</w:t>
      </w:r>
      <w:r>
        <w:rPr>
          <w:rFonts w:eastAsia="맑은 고딕" w:hint="eastAsia"/>
          <w:lang w:val="fr-CA" w:eastAsia="ko-KR"/>
        </w:rPr>
        <w:t>5</w:t>
      </w:r>
    </w:p>
    <w:p w14:paraId="75A0B26D" w14:textId="77777777" w:rsidR="00162CE2" w:rsidRPr="002606DB" w:rsidRDefault="00162CE2" w:rsidP="00056F35">
      <w:pPr>
        <w:adjustRightInd w:val="0"/>
        <w:snapToGrid w:val="0"/>
        <w:rPr>
          <w:snapToGrid w:val="0"/>
          <w:lang w:val="pt-PT"/>
        </w:rPr>
      </w:pPr>
    </w:p>
    <w:p w14:paraId="30EA0665" w14:textId="77777777" w:rsidR="00162CE2" w:rsidRPr="002606DB" w:rsidRDefault="00162CE2" w:rsidP="00056F35">
      <w:pPr>
        <w:adjustRightInd w:val="0"/>
        <w:snapToGrid w:val="0"/>
        <w:rPr>
          <w:snapToGrid w:val="0"/>
          <w:lang w:val="pt-PT"/>
        </w:rPr>
      </w:pPr>
    </w:p>
    <w:p w14:paraId="1D0421D7" w14:textId="77777777" w:rsidR="00162CE2" w:rsidRPr="002606DB" w:rsidRDefault="00162CE2" w:rsidP="00692EED">
      <w:pPr>
        <w:pStyle w:val="1"/>
        <w:adjustRightInd w:val="0"/>
        <w:snapToGrid w:val="0"/>
        <w:ind w:left="567" w:hanging="567"/>
        <w:rPr>
          <w:snapToGrid w:val="0"/>
          <w:lang w:val="pt-PT"/>
        </w:rPr>
      </w:pPr>
      <w:r w:rsidRPr="007155C0">
        <w:rPr>
          <w:snapToGrid w:val="0"/>
          <w:w w:val="101"/>
          <w:lang w:val="fr-CA"/>
        </w:rPr>
        <w:t>9.</w:t>
      </w:r>
      <w:r w:rsidRPr="007155C0">
        <w:rPr>
          <w:snapToGrid w:val="0"/>
          <w:w w:val="101"/>
          <w:lang w:val="fr-CA"/>
        </w:rPr>
        <w:tab/>
      </w:r>
      <w:r w:rsidRPr="002606DB">
        <w:rPr>
          <w:snapToGrid w:val="0"/>
          <w:lang w:val="pt-PT"/>
        </w:rPr>
        <w:t>DATA DA PRIMEIRA AUTORIZAÇÃO/RENOVAÇÃO DA AUTORIZAÇÃO DE INTRODUÇÃO NO MERCADO</w:t>
      </w:r>
    </w:p>
    <w:p w14:paraId="42930414" w14:textId="77777777" w:rsidR="00162CE2" w:rsidRPr="002606DB" w:rsidRDefault="00162CE2" w:rsidP="00056F35">
      <w:pPr>
        <w:pStyle w:val="a3"/>
        <w:adjustRightInd w:val="0"/>
        <w:snapToGrid w:val="0"/>
        <w:rPr>
          <w:b/>
          <w:snapToGrid w:val="0"/>
          <w:lang w:val="pt-PT"/>
        </w:rPr>
      </w:pPr>
    </w:p>
    <w:p w14:paraId="1D105E57" w14:textId="648E65A2" w:rsidR="00162CE2" w:rsidRPr="002606DB" w:rsidRDefault="00162CE2" w:rsidP="00056F35">
      <w:pPr>
        <w:pStyle w:val="a3"/>
        <w:adjustRightInd w:val="0"/>
        <w:snapToGrid w:val="0"/>
        <w:rPr>
          <w:snapToGrid w:val="0"/>
          <w:lang w:val="pt-PT"/>
        </w:rPr>
      </w:pPr>
      <w:r w:rsidRPr="002606DB">
        <w:rPr>
          <w:snapToGrid w:val="0"/>
          <w:lang w:val="pt-PT"/>
        </w:rPr>
        <w:t>Data da primeira autorização:</w:t>
      </w:r>
      <w:r w:rsidR="003D57EB" w:rsidRPr="002606DB">
        <w:rPr>
          <w:snapToGrid w:val="0"/>
          <w:lang w:val="pt-PT"/>
        </w:rPr>
        <w:t xml:space="preserve"> </w:t>
      </w:r>
      <w:r w:rsidR="00DC36DF" w:rsidRPr="00DC36DF">
        <w:rPr>
          <w:snapToGrid w:val="0"/>
          <w:lang w:val="pt-PT"/>
        </w:rPr>
        <w:t xml:space="preserve">17 </w:t>
      </w:r>
      <w:r w:rsidR="008076DA" w:rsidRPr="008076DA">
        <w:rPr>
          <w:snapToGrid w:val="0"/>
          <w:lang w:val="pt-PT"/>
        </w:rPr>
        <w:t>de agosto de</w:t>
      </w:r>
      <w:r w:rsidR="00DC36DF" w:rsidRPr="00DC36DF">
        <w:rPr>
          <w:snapToGrid w:val="0"/>
          <w:lang w:val="pt-PT"/>
        </w:rPr>
        <w:t xml:space="preserve"> 2022</w:t>
      </w:r>
    </w:p>
    <w:p w14:paraId="17FFF8BD" w14:textId="3D9D8D5A" w:rsidR="00162CE2" w:rsidRPr="002606DB" w:rsidRDefault="00162CE2" w:rsidP="00056F35">
      <w:pPr>
        <w:pStyle w:val="a3"/>
        <w:adjustRightInd w:val="0"/>
        <w:snapToGrid w:val="0"/>
        <w:rPr>
          <w:snapToGrid w:val="0"/>
          <w:lang w:val="pt-PT"/>
        </w:rPr>
      </w:pPr>
      <w:r w:rsidRPr="002606DB">
        <w:rPr>
          <w:snapToGrid w:val="0"/>
          <w:lang w:val="pt-PT"/>
        </w:rPr>
        <w:t>Data da última renovação:</w:t>
      </w:r>
      <w:r w:rsidR="003D57EB" w:rsidRPr="002606DB">
        <w:rPr>
          <w:snapToGrid w:val="0"/>
          <w:lang w:val="pt-PT"/>
        </w:rPr>
        <w:t xml:space="preserve"> </w:t>
      </w:r>
    </w:p>
    <w:p w14:paraId="51F628ED" w14:textId="77777777" w:rsidR="00162CE2" w:rsidRPr="002606DB" w:rsidRDefault="00162CE2" w:rsidP="00056F35">
      <w:pPr>
        <w:pStyle w:val="a3"/>
        <w:adjustRightInd w:val="0"/>
        <w:snapToGrid w:val="0"/>
        <w:rPr>
          <w:snapToGrid w:val="0"/>
          <w:lang w:val="pt-PT"/>
        </w:rPr>
      </w:pPr>
    </w:p>
    <w:p w14:paraId="6B8CE3C3" w14:textId="77777777" w:rsidR="00162CE2" w:rsidRPr="002606DB" w:rsidRDefault="00162CE2" w:rsidP="00056F35">
      <w:pPr>
        <w:pStyle w:val="a3"/>
        <w:adjustRightInd w:val="0"/>
        <w:snapToGrid w:val="0"/>
        <w:rPr>
          <w:snapToGrid w:val="0"/>
          <w:lang w:val="pt-PT"/>
        </w:rPr>
      </w:pPr>
    </w:p>
    <w:p w14:paraId="170A9D9D" w14:textId="77777777" w:rsidR="00162CE2" w:rsidRPr="002606DB" w:rsidRDefault="00162CE2" w:rsidP="00552771">
      <w:pPr>
        <w:pStyle w:val="1"/>
        <w:adjustRightInd w:val="0"/>
        <w:snapToGrid w:val="0"/>
        <w:ind w:left="0"/>
        <w:rPr>
          <w:snapToGrid w:val="0"/>
          <w:lang w:val="pt-PT"/>
        </w:rPr>
      </w:pPr>
      <w:r w:rsidRPr="002606DB">
        <w:rPr>
          <w:snapToGrid w:val="0"/>
          <w:w w:val="101"/>
        </w:rPr>
        <w:t>10.</w:t>
      </w:r>
      <w:r w:rsidRPr="002606DB">
        <w:rPr>
          <w:snapToGrid w:val="0"/>
          <w:w w:val="101"/>
        </w:rPr>
        <w:tab/>
      </w:r>
      <w:r w:rsidRPr="002606DB">
        <w:rPr>
          <w:snapToGrid w:val="0"/>
          <w:lang w:val="pt-PT"/>
        </w:rPr>
        <w:t>DATA DA REVISÃO DO TEXTO</w:t>
      </w:r>
    </w:p>
    <w:p w14:paraId="0D4D478F" w14:textId="77777777" w:rsidR="00162CE2" w:rsidRPr="002606DB" w:rsidRDefault="00162CE2" w:rsidP="00056F35">
      <w:pPr>
        <w:pStyle w:val="a3"/>
        <w:adjustRightInd w:val="0"/>
        <w:snapToGrid w:val="0"/>
        <w:rPr>
          <w:b/>
          <w:snapToGrid w:val="0"/>
          <w:lang w:val="pt-PT"/>
        </w:rPr>
      </w:pPr>
    </w:p>
    <w:p w14:paraId="68BF0347" w14:textId="56AC278B" w:rsidR="00162CE2" w:rsidRPr="002606DB" w:rsidRDefault="00162CE2" w:rsidP="00056F35">
      <w:pPr>
        <w:pStyle w:val="a3"/>
        <w:adjustRightInd w:val="0"/>
        <w:snapToGrid w:val="0"/>
        <w:rPr>
          <w:i/>
          <w:snapToGrid w:val="0"/>
          <w:lang w:val="pt-PT"/>
        </w:rPr>
      </w:pPr>
      <w:r w:rsidRPr="002606DB">
        <w:rPr>
          <w:snapToGrid w:val="0"/>
          <w:lang w:val="pt-PT"/>
        </w:rPr>
        <w:t xml:space="preserve">Está disponível informação pormenorizada sobre este medicamento no sítio da internet da Agência Europeia de Medicamentos: </w:t>
      </w:r>
      <w:hyperlink r:id="rId13">
        <w:hyperlink w:history="1">
          <w:r w:rsidR="00C25AC8" w:rsidRPr="009E2922">
            <w:rPr>
              <w:rStyle w:val="ac"/>
              <w:snapToGrid w:val="0"/>
              <w:lang w:val="de-DE"/>
            </w:rPr>
            <w:t>https://www.ema.europa.eu</w:t>
          </w:r>
        </w:hyperlink>
        <w:r w:rsidRPr="002606DB">
          <w:rPr>
            <w:i/>
            <w:snapToGrid w:val="0"/>
            <w:color w:val="000000"/>
            <w:lang w:val="pt-PT"/>
          </w:rPr>
          <w:t>.</w:t>
        </w:r>
      </w:hyperlink>
    </w:p>
    <w:p w14:paraId="02ED9BD4" w14:textId="77777777" w:rsidR="00162CE2" w:rsidRPr="002606DB" w:rsidRDefault="00162CE2" w:rsidP="00056F35">
      <w:pPr>
        <w:adjustRightInd w:val="0"/>
        <w:snapToGrid w:val="0"/>
        <w:rPr>
          <w:snapToGrid w:val="0"/>
          <w:lang w:val="pt-PT"/>
        </w:rPr>
      </w:pPr>
      <w:r w:rsidRPr="002606DB">
        <w:rPr>
          <w:snapToGrid w:val="0"/>
          <w:lang w:val="pt-PT"/>
        </w:rPr>
        <w:br w:type="page"/>
      </w:r>
    </w:p>
    <w:p w14:paraId="707FD01B" w14:textId="77777777" w:rsidR="00162CE2" w:rsidRPr="002606DB" w:rsidRDefault="00162CE2" w:rsidP="00056F35">
      <w:pPr>
        <w:pStyle w:val="a3"/>
        <w:adjustRightInd w:val="0"/>
        <w:snapToGrid w:val="0"/>
        <w:rPr>
          <w:i/>
          <w:snapToGrid w:val="0"/>
          <w:lang w:val="pt-PT"/>
        </w:rPr>
      </w:pPr>
    </w:p>
    <w:p w14:paraId="725F8F93" w14:textId="77777777" w:rsidR="00162CE2" w:rsidRPr="002606DB" w:rsidRDefault="00162CE2" w:rsidP="00056F35">
      <w:pPr>
        <w:pStyle w:val="a3"/>
        <w:adjustRightInd w:val="0"/>
        <w:snapToGrid w:val="0"/>
        <w:rPr>
          <w:i/>
          <w:snapToGrid w:val="0"/>
          <w:lang w:val="pt-PT"/>
        </w:rPr>
      </w:pPr>
    </w:p>
    <w:p w14:paraId="5713DD3B" w14:textId="77777777" w:rsidR="00162CE2" w:rsidRPr="002606DB" w:rsidRDefault="00162CE2" w:rsidP="00056F35">
      <w:pPr>
        <w:pStyle w:val="a3"/>
        <w:adjustRightInd w:val="0"/>
        <w:snapToGrid w:val="0"/>
        <w:rPr>
          <w:i/>
          <w:snapToGrid w:val="0"/>
          <w:lang w:val="pt-PT"/>
        </w:rPr>
      </w:pPr>
    </w:p>
    <w:p w14:paraId="301B10C1" w14:textId="77777777" w:rsidR="00162CE2" w:rsidRPr="002606DB" w:rsidRDefault="00162CE2" w:rsidP="00056F35">
      <w:pPr>
        <w:pStyle w:val="a3"/>
        <w:adjustRightInd w:val="0"/>
        <w:snapToGrid w:val="0"/>
        <w:rPr>
          <w:i/>
          <w:snapToGrid w:val="0"/>
          <w:lang w:val="pt-PT"/>
        </w:rPr>
      </w:pPr>
    </w:p>
    <w:p w14:paraId="195E7A4E" w14:textId="77777777" w:rsidR="00162CE2" w:rsidRPr="002606DB" w:rsidRDefault="00162CE2" w:rsidP="00056F35">
      <w:pPr>
        <w:pStyle w:val="a3"/>
        <w:adjustRightInd w:val="0"/>
        <w:snapToGrid w:val="0"/>
        <w:rPr>
          <w:i/>
          <w:snapToGrid w:val="0"/>
          <w:lang w:val="pt-PT"/>
        </w:rPr>
      </w:pPr>
    </w:p>
    <w:p w14:paraId="5886D308" w14:textId="77777777" w:rsidR="00162CE2" w:rsidRPr="002606DB" w:rsidRDefault="00162CE2" w:rsidP="00056F35">
      <w:pPr>
        <w:pStyle w:val="a3"/>
        <w:adjustRightInd w:val="0"/>
        <w:snapToGrid w:val="0"/>
        <w:rPr>
          <w:i/>
          <w:snapToGrid w:val="0"/>
          <w:lang w:val="pt-PT"/>
        </w:rPr>
      </w:pPr>
    </w:p>
    <w:p w14:paraId="475ACBCC" w14:textId="77777777" w:rsidR="00162CE2" w:rsidRPr="002606DB" w:rsidRDefault="00162CE2" w:rsidP="00056F35">
      <w:pPr>
        <w:pStyle w:val="a3"/>
        <w:adjustRightInd w:val="0"/>
        <w:snapToGrid w:val="0"/>
        <w:rPr>
          <w:i/>
          <w:snapToGrid w:val="0"/>
          <w:lang w:val="pt-PT"/>
        </w:rPr>
      </w:pPr>
    </w:p>
    <w:p w14:paraId="01492E8D" w14:textId="77777777" w:rsidR="00162CE2" w:rsidRPr="002606DB" w:rsidRDefault="00162CE2" w:rsidP="00056F35">
      <w:pPr>
        <w:pStyle w:val="a3"/>
        <w:adjustRightInd w:val="0"/>
        <w:snapToGrid w:val="0"/>
        <w:rPr>
          <w:i/>
          <w:snapToGrid w:val="0"/>
          <w:lang w:val="pt-PT"/>
        </w:rPr>
      </w:pPr>
    </w:p>
    <w:p w14:paraId="6F8B77BD" w14:textId="77777777" w:rsidR="00162CE2" w:rsidRPr="002606DB" w:rsidRDefault="00162CE2" w:rsidP="00056F35">
      <w:pPr>
        <w:pStyle w:val="a3"/>
        <w:adjustRightInd w:val="0"/>
        <w:snapToGrid w:val="0"/>
        <w:rPr>
          <w:i/>
          <w:snapToGrid w:val="0"/>
          <w:lang w:val="pt-PT"/>
        </w:rPr>
      </w:pPr>
    </w:p>
    <w:p w14:paraId="547D876B" w14:textId="77777777" w:rsidR="00162CE2" w:rsidRPr="002606DB" w:rsidRDefault="00162CE2" w:rsidP="00056F35">
      <w:pPr>
        <w:pStyle w:val="a3"/>
        <w:adjustRightInd w:val="0"/>
        <w:snapToGrid w:val="0"/>
        <w:rPr>
          <w:i/>
          <w:snapToGrid w:val="0"/>
          <w:lang w:val="pt-PT"/>
        </w:rPr>
      </w:pPr>
    </w:p>
    <w:p w14:paraId="6EC0FFB1" w14:textId="77777777" w:rsidR="00162CE2" w:rsidRPr="002606DB" w:rsidRDefault="00162CE2" w:rsidP="00056F35">
      <w:pPr>
        <w:pStyle w:val="a3"/>
        <w:adjustRightInd w:val="0"/>
        <w:snapToGrid w:val="0"/>
        <w:rPr>
          <w:i/>
          <w:snapToGrid w:val="0"/>
          <w:lang w:val="pt-PT"/>
        </w:rPr>
      </w:pPr>
    </w:p>
    <w:p w14:paraId="7D1E11BF" w14:textId="77777777" w:rsidR="00162CE2" w:rsidRPr="002606DB" w:rsidRDefault="00162CE2" w:rsidP="00056F35">
      <w:pPr>
        <w:pStyle w:val="a3"/>
        <w:adjustRightInd w:val="0"/>
        <w:snapToGrid w:val="0"/>
        <w:rPr>
          <w:i/>
          <w:snapToGrid w:val="0"/>
          <w:lang w:val="pt-PT"/>
        </w:rPr>
      </w:pPr>
    </w:p>
    <w:p w14:paraId="059BD4AF" w14:textId="77777777" w:rsidR="00162CE2" w:rsidRPr="002606DB" w:rsidRDefault="00162CE2" w:rsidP="00056F35">
      <w:pPr>
        <w:pStyle w:val="a3"/>
        <w:adjustRightInd w:val="0"/>
        <w:snapToGrid w:val="0"/>
        <w:rPr>
          <w:i/>
          <w:snapToGrid w:val="0"/>
          <w:lang w:val="pt-PT"/>
        </w:rPr>
      </w:pPr>
    </w:p>
    <w:p w14:paraId="463B00A3" w14:textId="77777777" w:rsidR="00162CE2" w:rsidRPr="002606DB" w:rsidRDefault="00162CE2" w:rsidP="00056F35">
      <w:pPr>
        <w:pStyle w:val="a3"/>
        <w:adjustRightInd w:val="0"/>
        <w:snapToGrid w:val="0"/>
        <w:rPr>
          <w:i/>
          <w:snapToGrid w:val="0"/>
          <w:lang w:val="pt-PT"/>
        </w:rPr>
      </w:pPr>
    </w:p>
    <w:p w14:paraId="6094367E" w14:textId="77777777" w:rsidR="00162CE2" w:rsidRPr="002606DB" w:rsidRDefault="00162CE2" w:rsidP="00056F35">
      <w:pPr>
        <w:pStyle w:val="a3"/>
        <w:adjustRightInd w:val="0"/>
        <w:snapToGrid w:val="0"/>
        <w:rPr>
          <w:i/>
          <w:snapToGrid w:val="0"/>
          <w:lang w:val="pt-PT"/>
        </w:rPr>
      </w:pPr>
    </w:p>
    <w:p w14:paraId="30FB7257" w14:textId="77777777" w:rsidR="00162CE2" w:rsidRPr="002606DB" w:rsidRDefault="00162CE2" w:rsidP="00056F35">
      <w:pPr>
        <w:pStyle w:val="a3"/>
        <w:adjustRightInd w:val="0"/>
        <w:snapToGrid w:val="0"/>
        <w:rPr>
          <w:i/>
          <w:snapToGrid w:val="0"/>
          <w:lang w:val="pt-PT"/>
        </w:rPr>
      </w:pPr>
    </w:p>
    <w:p w14:paraId="395E4308" w14:textId="77777777" w:rsidR="00162CE2" w:rsidRPr="002606DB" w:rsidRDefault="00162CE2" w:rsidP="00056F35">
      <w:pPr>
        <w:pStyle w:val="a3"/>
        <w:adjustRightInd w:val="0"/>
        <w:snapToGrid w:val="0"/>
        <w:rPr>
          <w:i/>
          <w:snapToGrid w:val="0"/>
          <w:lang w:val="pt-PT"/>
        </w:rPr>
      </w:pPr>
    </w:p>
    <w:p w14:paraId="703E520F" w14:textId="77777777" w:rsidR="00162CE2" w:rsidRPr="002606DB" w:rsidRDefault="00162CE2" w:rsidP="00056F35">
      <w:pPr>
        <w:pStyle w:val="a3"/>
        <w:adjustRightInd w:val="0"/>
        <w:snapToGrid w:val="0"/>
        <w:rPr>
          <w:i/>
          <w:snapToGrid w:val="0"/>
          <w:lang w:val="pt-PT"/>
        </w:rPr>
      </w:pPr>
    </w:p>
    <w:p w14:paraId="21DF0695" w14:textId="77777777" w:rsidR="00162CE2" w:rsidRPr="002606DB" w:rsidRDefault="00162CE2" w:rsidP="00056F35">
      <w:pPr>
        <w:pStyle w:val="a3"/>
        <w:adjustRightInd w:val="0"/>
        <w:snapToGrid w:val="0"/>
        <w:rPr>
          <w:i/>
          <w:snapToGrid w:val="0"/>
          <w:lang w:val="pt-PT"/>
        </w:rPr>
      </w:pPr>
    </w:p>
    <w:p w14:paraId="040C42CC" w14:textId="77777777" w:rsidR="00162CE2" w:rsidRPr="002606DB" w:rsidRDefault="00162CE2" w:rsidP="00056F35">
      <w:pPr>
        <w:pStyle w:val="a3"/>
        <w:adjustRightInd w:val="0"/>
        <w:snapToGrid w:val="0"/>
        <w:rPr>
          <w:i/>
          <w:snapToGrid w:val="0"/>
          <w:lang w:val="pt-PT"/>
        </w:rPr>
      </w:pPr>
    </w:p>
    <w:p w14:paraId="656B3638" w14:textId="77777777" w:rsidR="00162CE2" w:rsidRPr="002606DB" w:rsidRDefault="00162CE2" w:rsidP="00056F35">
      <w:pPr>
        <w:pStyle w:val="a3"/>
        <w:adjustRightInd w:val="0"/>
        <w:snapToGrid w:val="0"/>
        <w:rPr>
          <w:i/>
          <w:snapToGrid w:val="0"/>
          <w:lang w:val="pt-PT"/>
        </w:rPr>
      </w:pPr>
    </w:p>
    <w:p w14:paraId="5D0BDF54" w14:textId="77777777" w:rsidR="00162CE2" w:rsidRPr="002606DB" w:rsidRDefault="00162CE2" w:rsidP="00056F35">
      <w:pPr>
        <w:pStyle w:val="a3"/>
        <w:adjustRightInd w:val="0"/>
        <w:snapToGrid w:val="0"/>
        <w:rPr>
          <w:i/>
          <w:snapToGrid w:val="0"/>
          <w:lang w:val="pt-PT"/>
        </w:rPr>
      </w:pPr>
    </w:p>
    <w:p w14:paraId="2B838351" w14:textId="77777777" w:rsidR="00162CE2" w:rsidRPr="002606DB" w:rsidRDefault="00162CE2" w:rsidP="00056F35">
      <w:pPr>
        <w:adjustRightInd w:val="0"/>
        <w:snapToGrid w:val="0"/>
        <w:jc w:val="center"/>
        <w:rPr>
          <w:b/>
          <w:snapToGrid w:val="0"/>
          <w:lang w:val="pt-PT"/>
        </w:rPr>
      </w:pPr>
      <w:r w:rsidRPr="002606DB">
        <w:rPr>
          <w:b/>
          <w:snapToGrid w:val="0"/>
          <w:lang w:val="pt-PT"/>
        </w:rPr>
        <w:t>ANEXO II</w:t>
      </w:r>
    </w:p>
    <w:p w14:paraId="6F51802E" w14:textId="77777777" w:rsidR="00162CE2" w:rsidRPr="002606DB" w:rsidRDefault="00162CE2" w:rsidP="00056F35">
      <w:pPr>
        <w:pStyle w:val="a3"/>
        <w:adjustRightInd w:val="0"/>
        <w:snapToGrid w:val="0"/>
        <w:rPr>
          <w:b/>
          <w:snapToGrid w:val="0"/>
          <w:lang w:val="pt-PT"/>
        </w:rPr>
      </w:pPr>
    </w:p>
    <w:p w14:paraId="24AF6909" w14:textId="77777777" w:rsidR="00162CE2" w:rsidRPr="002606DB" w:rsidRDefault="00162CE2" w:rsidP="008A4197">
      <w:pPr>
        <w:pStyle w:val="a4"/>
        <w:adjustRightInd w:val="0"/>
        <w:snapToGrid w:val="0"/>
        <w:ind w:left="1134" w:hanging="567"/>
        <w:rPr>
          <w:b/>
          <w:snapToGrid w:val="0"/>
          <w:lang w:val="pt-PT"/>
        </w:rPr>
      </w:pPr>
      <w:r w:rsidRPr="007155C0">
        <w:rPr>
          <w:b/>
          <w:bCs/>
          <w:snapToGrid w:val="0"/>
          <w:spacing w:val="-3"/>
          <w:w w:val="101"/>
          <w:lang w:val="pt-PT"/>
        </w:rPr>
        <w:t>A.</w:t>
      </w:r>
      <w:r w:rsidRPr="007155C0">
        <w:rPr>
          <w:b/>
          <w:bCs/>
          <w:snapToGrid w:val="0"/>
          <w:spacing w:val="-3"/>
          <w:w w:val="101"/>
          <w:lang w:val="pt-PT"/>
        </w:rPr>
        <w:tab/>
      </w:r>
      <w:r w:rsidRPr="002606DB">
        <w:rPr>
          <w:b/>
          <w:snapToGrid w:val="0"/>
          <w:lang w:val="pt-PT"/>
        </w:rPr>
        <w:t>FABRICANTE(S) DA SUBSTÂNCIA ATIVA DE ORIGEM BIOLÓGICA E FABRICANTE(S) RESPONSÁVEL(VEIS) PELA LIBERTAÇÃO DO LOTE</w:t>
      </w:r>
    </w:p>
    <w:p w14:paraId="785D4FB7" w14:textId="77777777" w:rsidR="00162CE2" w:rsidRPr="002606DB" w:rsidRDefault="00162CE2" w:rsidP="008A4197">
      <w:pPr>
        <w:pStyle w:val="a3"/>
        <w:adjustRightInd w:val="0"/>
        <w:snapToGrid w:val="0"/>
        <w:ind w:left="1134" w:hanging="567"/>
        <w:rPr>
          <w:b/>
          <w:snapToGrid w:val="0"/>
          <w:lang w:val="pt-PT"/>
        </w:rPr>
      </w:pPr>
    </w:p>
    <w:p w14:paraId="2EC80A54" w14:textId="77777777" w:rsidR="00162CE2" w:rsidRPr="002606DB" w:rsidRDefault="00162CE2" w:rsidP="008A4197">
      <w:pPr>
        <w:pStyle w:val="a4"/>
        <w:adjustRightInd w:val="0"/>
        <w:snapToGrid w:val="0"/>
        <w:ind w:left="1134" w:hanging="567"/>
        <w:rPr>
          <w:b/>
          <w:snapToGrid w:val="0"/>
          <w:lang w:val="pt-PT"/>
        </w:rPr>
      </w:pPr>
      <w:r w:rsidRPr="007155C0">
        <w:rPr>
          <w:b/>
          <w:bCs/>
          <w:snapToGrid w:val="0"/>
          <w:spacing w:val="-3"/>
          <w:w w:val="101"/>
          <w:lang w:val="pt-PT"/>
        </w:rPr>
        <w:t>B.</w:t>
      </w:r>
      <w:r w:rsidRPr="007155C0">
        <w:rPr>
          <w:b/>
          <w:bCs/>
          <w:snapToGrid w:val="0"/>
          <w:spacing w:val="-3"/>
          <w:w w:val="101"/>
          <w:lang w:val="pt-PT"/>
        </w:rPr>
        <w:tab/>
      </w:r>
      <w:r w:rsidRPr="002606DB">
        <w:rPr>
          <w:b/>
          <w:snapToGrid w:val="0"/>
          <w:lang w:val="pt-PT"/>
        </w:rPr>
        <w:t>CONDIÇÕES OU RESTRIÇÕES RELATIVAS AO FORNECIMENTO E UTILIZAÇÃO</w:t>
      </w:r>
    </w:p>
    <w:p w14:paraId="4B411341" w14:textId="77777777" w:rsidR="00162CE2" w:rsidRPr="002606DB" w:rsidRDefault="00162CE2" w:rsidP="008A4197">
      <w:pPr>
        <w:pStyle w:val="a3"/>
        <w:adjustRightInd w:val="0"/>
        <w:snapToGrid w:val="0"/>
        <w:ind w:left="1134" w:hanging="567"/>
        <w:rPr>
          <w:b/>
          <w:snapToGrid w:val="0"/>
          <w:lang w:val="pt-PT"/>
        </w:rPr>
      </w:pPr>
    </w:p>
    <w:p w14:paraId="1A8C7D2E" w14:textId="77777777" w:rsidR="00162CE2" w:rsidRPr="002606DB" w:rsidRDefault="00162CE2" w:rsidP="008A4197">
      <w:pPr>
        <w:pStyle w:val="a4"/>
        <w:adjustRightInd w:val="0"/>
        <w:snapToGrid w:val="0"/>
        <w:ind w:left="1134" w:hanging="567"/>
        <w:rPr>
          <w:b/>
          <w:snapToGrid w:val="0"/>
          <w:lang w:val="pt-PT"/>
        </w:rPr>
      </w:pPr>
      <w:r w:rsidRPr="007155C0">
        <w:rPr>
          <w:b/>
          <w:bCs/>
          <w:snapToGrid w:val="0"/>
          <w:spacing w:val="-3"/>
          <w:w w:val="101"/>
          <w:lang w:val="pt-PT"/>
        </w:rPr>
        <w:t>C.</w:t>
      </w:r>
      <w:r w:rsidRPr="007155C0">
        <w:rPr>
          <w:b/>
          <w:bCs/>
          <w:snapToGrid w:val="0"/>
          <w:spacing w:val="-3"/>
          <w:w w:val="101"/>
          <w:lang w:val="pt-PT"/>
        </w:rPr>
        <w:tab/>
      </w:r>
      <w:r w:rsidRPr="002606DB">
        <w:rPr>
          <w:b/>
          <w:snapToGrid w:val="0"/>
          <w:lang w:val="pt-PT"/>
        </w:rPr>
        <w:t>OUTRAS CONDIÇÕES E REQUISITOS DA AUTORIZAÇÃO DE INTRODUÇÃO NO MERCADO</w:t>
      </w:r>
    </w:p>
    <w:p w14:paraId="1AAB1C03" w14:textId="77777777" w:rsidR="00162CE2" w:rsidRPr="002606DB" w:rsidRDefault="00162CE2" w:rsidP="008A4197">
      <w:pPr>
        <w:pStyle w:val="a3"/>
        <w:adjustRightInd w:val="0"/>
        <w:snapToGrid w:val="0"/>
        <w:ind w:left="1134" w:hanging="567"/>
        <w:rPr>
          <w:b/>
          <w:snapToGrid w:val="0"/>
          <w:lang w:val="pt-PT"/>
        </w:rPr>
      </w:pPr>
    </w:p>
    <w:p w14:paraId="315E71D0" w14:textId="77777777" w:rsidR="00162CE2" w:rsidRPr="002606DB" w:rsidRDefault="00162CE2" w:rsidP="008A4197">
      <w:pPr>
        <w:pStyle w:val="a4"/>
        <w:adjustRightInd w:val="0"/>
        <w:snapToGrid w:val="0"/>
        <w:ind w:left="1134" w:hanging="567"/>
        <w:rPr>
          <w:b/>
          <w:snapToGrid w:val="0"/>
          <w:lang w:val="pt-PT"/>
        </w:rPr>
      </w:pPr>
      <w:r w:rsidRPr="007155C0">
        <w:rPr>
          <w:b/>
          <w:bCs/>
          <w:snapToGrid w:val="0"/>
          <w:spacing w:val="-3"/>
          <w:w w:val="101"/>
          <w:lang w:val="pt-PT"/>
        </w:rPr>
        <w:t>D.</w:t>
      </w:r>
      <w:r w:rsidRPr="007155C0">
        <w:rPr>
          <w:b/>
          <w:bCs/>
          <w:snapToGrid w:val="0"/>
          <w:spacing w:val="-3"/>
          <w:w w:val="101"/>
          <w:lang w:val="pt-PT"/>
        </w:rPr>
        <w:tab/>
      </w:r>
      <w:r w:rsidRPr="002606DB">
        <w:rPr>
          <w:b/>
          <w:snapToGrid w:val="0"/>
          <w:lang w:val="pt-PT"/>
        </w:rPr>
        <w:t>CONDIÇÕES OU RESTRIÇÕES RELATIVAS À UTILIZAÇÃO SEGURA E EFICAZ DO MEDICAMENTO</w:t>
      </w:r>
    </w:p>
    <w:p w14:paraId="0F41006C" w14:textId="77777777" w:rsidR="00162CE2" w:rsidRPr="002606DB" w:rsidRDefault="00162CE2" w:rsidP="00056F35">
      <w:pPr>
        <w:adjustRightInd w:val="0"/>
        <w:snapToGrid w:val="0"/>
        <w:rPr>
          <w:snapToGrid w:val="0"/>
          <w:lang w:val="pt-PT"/>
        </w:rPr>
      </w:pPr>
    </w:p>
    <w:p w14:paraId="4BB9EA21" w14:textId="77777777" w:rsidR="00162CE2" w:rsidRPr="002606DB" w:rsidRDefault="00162CE2" w:rsidP="00A149AF">
      <w:pPr>
        <w:pStyle w:val="TitleB"/>
        <w:outlineLvl w:val="0"/>
      </w:pPr>
      <w:r w:rsidRPr="002606DB">
        <w:br w:type="page"/>
      </w:r>
      <w:bookmarkStart w:id="12" w:name="A_FABRICANTE"/>
      <w:r w:rsidRPr="002606DB">
        <w:lastRenderedPageBreak/>
        <w:t>A.</w:t>
      </w:r>
      <w:r w:rsidRPr="002606DB">
        <w:tab/>
        <w:t>FABRICANTE(S</w:t>
      </w:r>
      <w:bookmarkEnd w:id="12"/>
      <w:r w:rsidRPr="002606DB">
        <w:t>) DA SUBSTÂNCIA ATIVA DE ORIGEM BIOLÓGICA E FABRICANTE(S) RESPONSÁVEL(VEIS) PELA LIBERTAÇÃO DO LOTE</w:t>
      </w:r>
    </w:p>
    <w:p w14:paraId="3657C4FD" w14:textId="77777777" w:rsidR="00162CE2" w:rsidRPr="002606DB" w:rsidRDefault="00162CE2" w:rsidP="00056F35">
      <w:pPr>
        <w:pStyle w:val="a3"/>
        <w:adjustRightInd w:val="0"/>
        <w:snapToGrid w:val="0"/>
        <w:rPr>
          <w:b/>
          <w:snapToGrid w:val="0"/>
          <w:lang w:val="pt-PT"/>
        </w:rPr>
      </w:pPr>
    </w:p>
    <w:p w14:paraId="602CDEF2" w14:textId="77777777" w:rsidR="00162CE2" w:rsidRPr="002606DB" w:rsidRDefault="00162CE2" w:rsidP="00056F35">
      <w:pPr>
        <w:pStyle w:val="a3"/>
        <w:adjustRightInd w:val="0"/>
        <w:snapToGrid w:val="0"/>
        <w:rPr>
          <w:snapToGrid w:val="0"/>
          <w:lang w:val="pt-PT"/>
        </w:rPr>
      </w:pPr>
      <w:r w:rsidRPr="002606DB">
        <w:rPr>
          <w:snapToGrid w:val="0"/>
          <w:u w:val="single"/>
          <w:lang w:val="pt-PT"/>
        </w:rPr>
        <w:t>Nome e endereço dos fabricantes da substância ativa de origem biológica</w:t>
      </w:r>
    </w:p>
    <w:p w14:paraId="0B6E9564" w14:textId="77777777" w:rsidR="007155C0" w:rsidRPr="00A45F3F" w:rsidRDefault="007155C0" w:rsidP="00056F35">
      <w:pPr>
        <w:pStyle w:val="a3"/>
        <w:adjustRightInd w:val="0"/>
        <w:snapToGrid w:val="0"/>
        <w:rPr>
          <w:rFonts w:eastAsia="맑은 고딕"/>
          <w:color w:val="000000"/>
          <w:lang w:val="pt-PT" w:eastAsia="ko-KR"/>
        </w:rPr>
      </w:pPr>
    </w:p>
    <w:p w14:paraId="02C25B50" w14:textId="0A481C33" w:rsidR="00162CE2" w:rsidRPr="002606DB" w:rsidRDefault="00162CE2" w:rsidP="00056F35">
      <w:pPr>
        <w:pStyle w:val="a3"/>
        <w:adjustRightInd w:val="0"/>
        <w:snapToGrid w:val="0"/>
        <w:rPr>
          <w:snapToGrid w:val="0"/>
          <w:lang w:val="pt-PT"/>
        </w:rPr>
      </w:pPr>
      <w:r w:rsidRPr="002606DB">
        <w:rPr>
          <w:rFonts w:eastAsia="SimSun"/>
          <w:color w:val="000000"/>
          <w:lang w:val="en-GB" w:eastAsia="en-GB"/>
        </w:rPr>
        <w:t>CELLTRION INC.</w:t>
      </w:r>
      <w:r w:rsidRPr="002606DB">
        <w:rPr>
          <w:rFonts w:eastAsia="SimSun"/>
          <w:color w:val="000000"/>
          <w:lang w:val="en-GB" w:eastAsia="en-GB"/>
        </w:rPr>
        <w:br/>
        <w:t>20 Academy</w:t>
      </w:r>
      <w:r w:rsidRPr="002606DB" w:rsidDel="00117BBC">
        <w:rPr>
          <w:rFonts w:eastAsia="SimSun"/>
          <w:color w:val="000000"/>
          <w:lang w:val="en-GB" w:eastAsia="en-GB"/>
        </w:rPr>
        <w:t xml:space="preserve"> </w:t>
      </w:r>
      <w:r w:rsidRPr="002606DB" w:rsidDel="00773805">
        <w:rPr>
          <w:rFonts w:eastAsia="SimSun"/>
          <w:color w:val="000000"/>
          <w:lang w:val="en-GB" w:eastAsia="en-GB"/>
        </w:rPr>
        <w:t>-</w:t>
      </w:r>
      <w:r w:rsidRPr="002606DB">
        <w:rPr>
          <w:rFonts w:eastAsia="SimSun"/>
          <w:color w:val="000000"/>
          <w:lang w:val="en-GB" w:eastAsia="en-GB"/>
        </w:rPr>
        <w:noBreakHyphen/>
      </w:r>
      <w:proofErr w:type="spellStart"/>
      <w:r w:rsidRPr="002606DB">
        <w:rPr>
          <w:rFonts w:eastAsia="SimSun"/>
          <w:color w:val="000000"/>
          <w:lang w:val="en-GB" w:eastAsia="en-GB"/>
        </w:rPr>
        <w:t>ro</w:t>
      </w:r>
      <w:proofErr w:type="spellEnd"/>
      <w:r w:rsidRPr="002606DB">
        <w:rPr>
          <w:rFonts w:eastAsia="SimSun"/>
          <w:color w:val="000000"/>
          <w:lang w:val="en-GB" w:eastAsia="en-GB"/>
        </w:rPr>
        <w:t xml:space="preserve"> 51 </w:t>
      </w:r>
      <w:proofErr w:type="spellStart"/>
      <w:r w:rsidRPr="002606DB">
        <w:rPr>
          <w:rFonts w:eastAsia="SimSun"/>
          <w:color w:val="000000"/>
          <w:lang w:val="en-GB" w:eastAsia="en-GB"/>
        </w:rPr>
        <w:t>beon</w:t>
      </w:r>
      <w:proofErr w:type="spellEnd"/>
      <w:r w:rsidRPr="002606DB" w:rsidDel="00773805">
        <w:rPr>
          <w:rFonts w:eastAsia="SimSun"/>
          <w:color w:val="000000"/>
          <w:lang w:val="en-GB" w:eastAsia="en-GB"/>
        </w:rPr>
        <w:t>-</w:t>
      </w:r>
      <w:r w:rsidRPr="002606DB">
        <w:rPr>
          <w:rFonts w:eastAsia="SimSun"/>
          <w:color w:val="000000"/>
          <w:lang w:val="en-GB" w:eastAsia="en-GB"/>
        </w:rPr>
        <w:noBreakHyphen/>
      </w:r>
      <w:proofErr w:type="spellStart"/>
      <w:r w:rsidRPr="002606DB">
        <w:rPr>
          <w:rFonts w:eastAsia="SimSun"/>
          <w:color w:val="000000"/>
          <w:lang w:val="en-GB" w:eastAsia="en-GB"/>
        </w:rPr>
        <w:t>gil</w:t>
      </w:r>
      <w:proofErr w:type="spellEnd"/>
      <w:r w:rsidRPr="002606DB">
        <w:rPr>
          <w:rFonts w:eastAsia="SimSun"/>
          <w:color w:val="000000"/>
          <w:lang w:val="en-GB" w:eastAsia="en-GB"/>
        </w:rPr>
        <w:br/>
      </w:r>
      <w:proofErr w:type="spellStart"/>
      <w:r w:rsidRPr="002606DB">
        <w:rPr>
          <w:rFonts w:eastAsia="SimSun"/>
          <w:color w:val="000000"/>
          <w:lang w:val="en-GB" w:eastAsia="en-GB"/>
        </w:rPr>
        <w:t>Yeonsu</w:t>
      </w:r>
      <w:proofErr w:type="spellEnd"/>
      <w:r w:rsidRPr="002606DB" w:rsidDel="00773805">
        <w:rPr>
          <w:rFonts w:eastAsia="SimSun"/>
          <w:color w:val="000000"/>
          <w:lang w:val="en-GB" w:eastAsia="en-GB"/>
        </w:rPr>
        <w:t>-</w:t>
      </w:r>
      <w:r w:rsidRPr="002606DB">
        <w:rPr>
          <w:rFonts w:eastAsia="SimSun"/>
          <w:color w:val="000000"/>
          <w:lang w:val="en-GB" w:eastAsia="en-GB"/>
        </w:rPr>
        <w:noBreakHyphen/>
      </w:r>
      <w:proofErr w:type="spellStart"/>
      <w:r w:rsidRPr="002606DB">
        <w:rPr>
          <w:rFonts w:eastAsia="SimSun"/>
          <w:color w:val="000000"/>
          <w:lang w:val="en-GB" w:eastAsia="en-GB"/>
        </w:rPr>
        <w:t>gu</w:t>
      </w:r>
      <w:proofErr w:type="spellEnd"/>
      <w:r w:rsidRPr="002606DB">
        <w:rPr>
          <w:rFonts w:eastAsia="SimSun"/>
          <w:color w:val="000000"/>
          <w:lang w:val="en-GB" w:eastAsia="en-GB"/>
        </w:rPr>
        <w:br/>
        <w:t>22014 Incheon</w:t>
      </w:r>
      <w:r w:rsidRPr="002606DB">
        <w:rPr>
          <w:rFonts w:eastAsia="SimSun"/>
          <w:color w:val="000000"/>
          <w:lang w:val="en-GB" w:eastAsia="en-GB"/>
        </w:rPr>
        <w:br/>
        <w:t xml:space="preserve">República da </w:t>
      </w:r>
      <w:proofErr w:type="spellStart"/>
      <w:r w:rsidRPr="002606DB">
        <w:rPr>
          <w:rFonts w:eastAsia="SimSun"/>
          <w:color w:val="000000"/>
          <w:lang w:val="en-GB" w:eastAsia="en-GB"/>
        </w:rPr>
        <w:t>Coreia</w:t>
      </w:r>
      <w:proofErr w:type="spellEnd"/>
    </w:p>
    <w:p w14:paraId="1C86747F" w14:textId="77777777" w:rsidR="00162CE2" w:rsidRPr="002606DB" w:rsidRDefault="00162CE2" w:rsidP="00056F35">
      <w:pPr>
        <w:pStyle w:val="a3"/>
        <w:adjustRightInd w:val="0"/>
        <w:snapToGrid w:val="0"/>
        <w:rPr>
          <w:snapToGrid w:val="0"/>
          <w:lang w:val="pt-PT"/>
        </w:rPr>
      </w:pPr>
    </w:p>
    <w:p w14:paraId="6D2FF4D1" w14:textId="77777777" w:rsidR="00162CE2" w:rsidRPr="002606DB" w:rsidRDefault="00162CE2" w:rsidP="00056F35">
      <w:pPr>
        <w:pStyle w:val="a3"/>
        <w:adjustRightInd w:val="0"/>
        <w:snapToGrid w:val="0"/>
        <w:rPr>
          <w:snapToGrid w:val="0"/>
          <w:u w:val="single"/>
          <w:lang w:val="pt-PT"/>
        </w:rPr>
      </w:pPr>
      <w:r w:rsidRPr="002606DB">
        <w:rPr>
          <w:snapToGrid w:val="0"/>
          <w:u w:val="single"/>
          <w:lang w:val="pt-PT"/>
        </w:rPr>
        <w:t>Nome e endereço do fabricante responsável pela libertação do lote</w:t>
      </w:r>
    </w:p>
    <w:p w14:paraId="589DE54B" w14:textId="77777777" w:rsidR="007155C0" w:rsidRDefault="007155C0" w:rsidP="00B7461E">
      <w:pPr>
        <w:widowControl/>
        <w:adjustRightInd w:val="0"/>
        <w:snapToGrid w:val="0"/>
        <w:rPr>
          <w:rFonts w:eastAsia="맑은 고딕"/>
          <w:color w:val="000000"/>
          <w:lang w:val="en-GB" w:eastAsia="ko-KR"/>
        </w:rPr>
      </w:pPr>
    </w:p>
    <w:p w14:paraId="6AD3DC7A" w14:textId="2C65CE08" w:rsidR="00B7461E" w:rsidRPr="002606DB" w:rsidRDefault="00B7461E" w:rsidP="00B7461E">
      <w:pPr>
        <w:widowControl/>
        <w:adjustRightInd w:val="0"/>
        <w:snapToGrid w:val="0"/>
        <w:rPr>
          <w:color w:val="000000"/>
          <w:lang w:val="en-GB"/>
        </w:rPr>
      </w:pPr>
      <w:r w:rsidRPr="002606DB">
        <w:rPr>
          <w:color w:val="000000"/>
          <w:lang w:val="en-GB"/>
        </w:rPr>
        <w:t>Nuvisan GmbH</w:t>
      </w:r>
    </w:p>
    <w:p w14:paraId="5CBE1BCB" w14:textId="77777777" w:rsidR="00B7461E" w:rsidRPr="002606DB" w:rsidRDefault="00B7461E" w:rsidP="00B7461E">
      <w:pPr>
        <w:widowControl/>
        <w:adjustRightInd w:val="0"/>
        <w:snapToGrid w:val="0"/>
        <w:rPr>
          <w:color w:val="000000"/>
          <w:lang w:val="en-GB"/>
        </w:rPr>
      </w:pPr>
      <w:proofErr w:type="spellStart"/>
      <w:r w:rsidRPr="002606DB">
        <w:rPr>
          <w:color w:val="000000"/>
          <w:lang w:val="en-GB"/>
        </w:rPr>
        <w:t>Wegenerstraße</w:t>
      </w:r>
      <w:proofErr w:type="spellEnd"/>
      <w:r w:rsidRPr="002606DB">
        <w:rPr>
          <w:color w:val="000000"/>
          <w:lang w:val="en-GB"/>
        </w:rPr>
        <w:t xml:space="preserve"> 13</w:t>
      </w:r>
    </w:p>
    <w:p w14:paraId="1E5FB960" w14:textId="2575D4B1" w:rsidR="00162CE2" w:rsidRPr="00B6520E" w:rsidRDefault="00B7461E" w:rsidP="00056F35">
      <w:pPr>
        <w:pStyle w:val="a3"/>
        <w:adjustRightInd w:val="0"/>
        <w:snapToGrid w:val="0"/>
        <w:rPr>
          <w:color w:val="000000"/>
        </w:rPr>
      </w:pPr>
      <w:r w:rsidRPr="00B6520E">
        <w:rPr>
          <w:color w:val="000000"/>
        </w:rPr>
        <w:t>89231 Neu</w:t>
      </w:r>
      <w:r w:rsidR="004C38AD" w:rsidRPr="00B6520E">
        <w:rPr>
          <w:rFonts w:eastAsia="맑은 고딕" w:hint="eastAsia"/>
          <w:color w:val="000000"/>
          <w:lang w:eastAsia="ko-KR"/>
        </w:rPr>
        <w:t>-</w:t>
      </w:r>
      <w:r w:rsidRPr="00B6520E">
        <w:rPr>
          <w:color w:val="000000"/>
        </w:rPr>
        <w:t>Ulm</w:t>
      </w:r>
      <w:r w:rsidRPr="00B6520E" w:rsidDel="00B7461E">
        <w:rPr>
          <w:color w:val="000000"/>
        </w:rPr>
        <w:t xml:space="preserve"> </w:t>
      </w:r>
    </w:p>
    <w:p w14:paraId="59576C05" w14:textId="77777777" w:rsidR="00162CE2" w:rsidRPr="00B6520E" w:rsidRDefault="00162CE2" w:rsidP="00056F35">
      <w:pPr>
        <w:pStyle w:val="a3"/>
        <w:adjustRightInd w:val="0"/>
        <w:snapToGrid w:val="0"/>
        <w:rPr>
          <w:color w:val="000000"/>
        </w:rPr>
      </w:pPr>
      <w:proofErr w:type="spellStart"/>
      <w:r w:rsidRPr="00B6520E">
        <w:rPr>
          <w:color w:val="000000"/>
        </w:rPr>
        <w:t>Alemanha</w:t>
      </w:r>
      <w:proofErr w:type="spellEnd"/>
    </w:p>
    <w:p w14:paraId="09D7D4FC" w14:textId="77777777" w:rsidR="00162CE2" w:rsidRPr="00B6520E" w:rsidRDefault="00162CE2" w:rsidP="00056F35">
      <w:pPr>
        <w:pStyle w:val="a3"/>
        <w:adjustRightInd w:val="0"/>
        <w:snapToGrid w:val="0"/>
        <w:rPr>
          <w:color w:val="000000"/>
        </w:rPr>
      </w:pPr>
    </w:p>
    <w:p w14:paraId="381280DE" w14:textId="77777777" w:rsidR="00162CE2" w:rsidRPr="007155C0" w:rsidRDefault="00162CE2" w:rsidP="00F310ED">
      <w:pPr>
        <w:widowControl/>
        <w:adjustRightInd w:val="0"/>
        <w:snapToGrid w:val="0"/>
        <w:rPr>
          <w:color w:val="000000"/>
          <w:lang w:val="fr-CA"/>
        </w:rPr>
      </w:pPr>
      <w:proofErr w:type="spellStart"/>
      <w:r w:rsidRPr="007155C0">
        <w:rPr>
          <w:color w:val="000000"/>
          <w:lang w:val="fr-CA"/>
        </w:rPr>
        <w:t>Nuvisan</w:t>
      </w:r>
      <w:proofErr w:type="spellEnd"/>
      <w:r w:rsidRPr="007155C0">
        <w:rPr>
          <w:color w:val="000000"/>
          <w:lang w:val="fr-CA"/>
        </w:rPr>
        <w:t xml:space="preserve"> France SARL</w:t>
      </w:r>
    </w:p>
    <w:p w14:paraId="38E69CC4" w14:textId="77777777" w:rsidR="00162CE2" w:rsidRPr="007155C0" w:rsidRDefault="00162CE2" w:rsidP="00F310ED">
      <w:pPr>
        <w:widowControl/>
        <w:adjustRightInd w:val="0"/>
        <w:snapToGrid w:val="0"/>
        <w:rPr>
          <w:color w:val="000000"/>
          <w:lang w:val="fr-CA"/>
        </w:rPr>
      </w:pPr>
      <w:r w:rsidRPr="007155C0">
        <w:rPr>
          <w:color w:val="000000"/>
          <w:lang w:val="fr-CA"/>
        </w:rPr>
        <w:t>2400, Route des Colles</w:t>
      </w:r>
    </w:p>
    <w:p w14:paraId="0218D610" w14:textId="346D51EF" w:rsidR="00162CE2" w:rsidRPr="007155C0" w:rsidRDefault="00162CE2" w:rsidP="00056F35">
      <w:pPr>
        <w:pStyle w:val="a3"/>
        <w:adjustRightInd w:val="0"/>
        <w:snapToGrid w:val="0"/>
        <w:rPr>
          <w:rFonts w:eastAsia="맑은 고딕"/>
          <w:color w:val="000000"/>
          <w:lang w:val="fr-CA" w:eastAsia="ko-KR"/>
        </w:rPr>
      </w:pPr>
      <w:r w:rsidRPr="007155C0">
        <w:rPr>
          <w:color w:val="000000"/>
          <w:lang w:val="fr-CA"/>
        </w:rPr>
        <w:t xml:space="preserve">06410, </w:t>
      </w:r>
      <w:r w:rsidR="004C38AD" w:rsidRPr="007155C0">
        <w:rPr>
          <w:rFonts w:eastAsia="맑은 고딕" w:hint="eastAsia"/>
          <w:color w:val="000000"/>
          <w:lang w:val="fr-CA" w:eastAsia="ko-KR"/>
        </w:rPr>
        <w:t>Biot</w:t>
      </w:r>
    </w:p>
    <w:p w14:paraId="5F78F02D" w14:textId="109AE05C" w:rsidR="00162CE2" w:rsidRPr="002606DB" w:rsidRDefault="00162CE2" w:rsidP="00056F35">
      <w:pPr>
        <w:pStyle w:val="a3"/>
        <w:adjustRightInd w:val="0"/>
        <w:snapToGrid w:val="0"/>
        <w:rPr>
          <w:snapToGrid w:val="0"/>
          <w:lang w:val="pt-PT"/>
        </w:rPr>
      </w:pPr>
      <w:r w:rsidRPr="007155C0">
        <w:rPr>
          <w:color w:val="000000"/>
          <w:lang w:val="fr-CA"/>
        </w:rPr>
        <w:t>França</w:t>
      </w:r>
    </w:p>
    <w:p w14:paraId="295F65AE" w14:textId="77777777" w:rsidR="00162CE2" w:rsidRDefault="00162CE2" w:rsidP="00056F35">
      <w:pPr>
        <w:pStyle w:val="a3"/>
        <w:adjustRightInd w:val="0"/>
        <w:snapToGrid w:val="0"/>
        <w:rPr>
          <w:snapToGrid w:val="0"/>
          <w:lang w:val="pt-PT"/>
        </w:rPr>
      </w:pPr>
    </w:p>
    <w:p w14:paraId="50DCF3BC" w14:textId="77777777" w:rsidR="00810421" w:rsidRPr="0082359A" w:rsidRDefault="00810421" w:rsidP="00810421">
      <w:pPr>
        <w:adjustRightInd w:val="0"/>
        <w:snapToGrid w:val="0"/>
        <w:rPr>
          <w:color w:val="000000"/>
          <w:lang w:val="pt-PT"/>
        </w:rPr>
      </w:pPr>
      <w:r w:rsidRPr="0082359A">
        <w:rPr>
          <w:color w:val="000000"/>
          <w:lang w:val="pt-PT"/>
        </w:rPr>
        <w:t>Kymos S.L.</w:t>
      </w:r>
    </w:p>
    <w:p w14:paraId="477F5CB9" w14:textId="77777777" w:rsidR="00810421" w:rsidRPr="0082359A" w:rsidRDefault="00810421" w:rsidP="00810421">
      <w:pPr>
        <w:adjustRightInd w:val="0"/>
        <w:snapToGrid w:val="0"/>
        <w:rPr>
          <w:color w:val="000000"/>
          <w:lang w:val="pt-PT"/>
        </w:rPr>
      </w:pPr>
      <w:r w:rsidRPr="0082359A">
        <w:rPr>
          <w:color w:val="000000"/>
          <w:lang w:val="pt-PT"/>
        </w:rPr>
        <w:t>Ronda Can Fatjó 7B</w:t>
      </w:r>
    </w:p>
    <w:p w14:paraId="7C14EE7C" w14:textId="15E75CCE" w:rsidR="00810421" w:rsidRPr="0082359A" w:rsidRDefault="00810421" w:rsidP="00810421">
      <w:pPr>
        <w:adjustRightInd w:val="0"/>
        <w:snapToGrid w:val="0"/>
        <w:rPr>
          <w:color w:val="000000"/>
          <w:lang w:val="pt-PT"/>
        </w:rPr>
      </w:pPr>
      <w:r w:rsidRPr="0082359A">
        <w:rPr>
          <w:color w:val="000000"/>
          <w:lang w:val="pt-PT"/>
        </w:rPr>
        <w:t>(Parque Tecnológico del Vallès)</w:t>
      </w:r>
      <w:r>
        <w:rPr>
          <w:color w:val="000000"/>
          <w:lang w:val="pt-PT"/>
        </w:rPr>
        <w:t xml:space="preserve"> </w:t>
      </w:r>
      <w:r w:rsidRPr="0082359A">
        <w:rPr>
          <w:color w:val="000000"/>
          <w:lang w:val="pt-PT"/>
        </w:rPr>
        <w:t>Cerdanyola del Vallés</w:t>
      </w:r>
    </w:p>
    <w:p w14:paraId="4A0DFD9D" w14:textId="67E01982" w:rsidR="00810421" w:rsidRPr="0082359A" w:rsidRDefault="00810421" w:rsidP="00810421">
      <w:pPr>
        <w:adjustRightInd w:val="0"/>
        <w:snapToGrid w:val="0"/>
        <w:rPr>
          <w:color w:val="000000"/>
          <w:lang w:val="pt-PT"/>
        </w:rPr>
      </w:pPr>
      <w:r w:rsidRPr="0082359A">
        <w:rPr>
          <w:color w:val="000000"/>
          <w:lang w:val="pt-PT"/>
        </w:rPr>
        <w:t>08290 Barcelona</w:t>
      </w:r>
    </w:p>
    <w:p w14:paraId="15C73F89" w14:textId="77777777" w:rsidR="00810421" w:rsidRPr="0060603C" w:rsidRDefault="00810421" w:rsidP="00810421">
      <w:pPr>
        <w:spacing w:before="10" w:line="240" w:lineRule="exact"/>
        <w:rPr>
          <w:kern w:val="24"/>
          <w:lang w:val="fr-FR"/>
        </w:rPr>
      </w:pPr>
      <w:r w:rsidRPr="007155C0">
        <w:rPr>
          <w:shd w:val="clear" w:color="auto" w:fill="FFFFFF"/>
          <w:lang w:val="fr-CA"/>
        </w:rPr>
        <w:t>Espanha</w:t>
      </w:r>
    </w:p>
    <w:p w14:paraId="3F0DA6A5" w14:textId="77777777" w:rsidR="00AD68A6" w:rsidRDefault="00AD68A6" w:rsidP="00056F35">
      <w:pPr>
        <w:pStyle w:val="a3"/>
        <w:adjustRightInd w:val="0"/>
        <w:snapToGrid w:val="0"/>
        <w:rPr>
          <w:snapToGrid w:val="0"/>
          <w:lang w:val="pt-PT"/>
        </w:rPr>
      </w:pPr>
    </w:p>
    <w:p w14:paraId="4C4A1B72" w14:textId="77777777" w:rsidR="00C83E89" w:rsidRPr="00B00997" w:rsidRDefault="00C83E89" w:rsidP="00C83E89">
      <w:pPr>
        <w:rPr>
          <w:lang w:val="fr-FR"/>
        </w:rPr>
      </w:pPr>
      <w:r w:rsidRPr="00B00997">
        <w:rPr>
          <w:spacing w:val="-5"/>
          <w:lang w:val="fr-FR"/>
        </w:rPr>
        <w:t>Midas Pharma GmbH</w:t>
      </w:r>
    </w:p>
    <w:p w14:paraId="520BD482" w14:textId="77777777" w:rsidR="00C83E89" w:rsidRPr="00B00997" w:rsidRDefault="00C83E89" w:rsidP="00C83E89">
      <w:pPr>
        <w:rPr>
          <w:lang w:val="fr-FR"/>
        </w:rPr>
      </w:pPr>
      <w:r w:rsidRPr="00B00997">
        <w:rPr>
          <w:lang w:val="fr-FR"/>
        </w:rPr>
        <w:t>Rheinstraße 49</w:t>
      </w:r>
    </w:p>
    <w:p w14:paraId="2AE44EE0" w14:textId="77777777" w:rsidR="00C83E89" w:rsidRPr="007155C0" w:rsidRDefault="00C83E89" w:rsidP="00C83E89">
      <w:pPr>
        <w:rPr>
          <w:lang w:eastAsia="ko-KR"/>
        </w:rPr>
      </w:pPr>
      <w:r w:rsidRPr="007155C0">
        <w:t>55218 Ingelheim am Rhein</w:t>
      </w:r>
    </w:p>
    <w:p w14:paraId="13B2C470" w14:textId="77777777" w:rsidR="00C83E89" w:rsidRPr="00455DFD" w:rsidRDefault="00C83E89" w:rsidP="00C83E89">
      <w:pPr>
        <w:spacing w:before="10" w:line="240" w:lineRule="exact"/>
      </w:pPr>
      <w:proofErr w:type="spellStart"/>
      <w:r w:rsidRPr="00455DFD">
        <w:t>Alemanha</w:t>
      </w:r>
      <w:proofErr w:type="spellEnd"/>
    </w:p>
    <w:p w14:paraId="1089BF0D" w14:textId="77777777" w:rsidR="00C83E89" w:rsidRPr="002606DB" w:rsidRDefault="00C83E89" w:rsidP="00056F35">
      <w:pPr>
        <w:pStyle w:val="a3"/>
        <w:adjustRightInd w:val="0"/>
        <w:snapToGrid w:val="0"/>
        <w:rPr>
          <w:snapToGrid w:val="0"/>
          <w:lang w:val="pt-PT"/>
        </w:rPr>
      </w:pPr>
    </w:p>
    <w:p w14:paraId="4BCC89F8" w14:textId="77777777" w:rsidR="00162CE2" w:rsidRPr="002606DB" w:rsidRDefault="00162CE2" w:rsidP="00056F35">
      <w:pPr>
        <w:pStyle w:val="a3"/>
        <w:adjustRightInd w:val="0"/>
        <w:snapToGrid w:val="0"/>
        <w:rPr>
          <w:snapToGrid w:val="0"/>
          <w:lang w:val="pt-PT"/>
        </w:rPr>
      </w:pPr>
      <w:r w:rsidRPr="002606DB">
        <w:rPr>
          <w:lang w:val="pt-PT"/>
        </w:rPr>
        <w:t>O folheto informativo que acompanha o medicamento tem de mencionar o nome e endereço do fabricante responsável pela libertação do lote em causa.</w:t>
      </w:r>
    </w:p>
    <w:p w14:paraId="00D5CD0F" w14:textId="5598E5AD" w:rsidR="00162CE2" w:rsidRPr="002606DB" w:rsidRDefault="00162CE2" w:rsidP="00056F35">
      <w:pPr>
        <w:pStyle w:val="a3"/>
        <w:adjustRightInd w:val="0"/>
        <w:snapToGrid w:val="0"/>
        <w:rPr>
          <w:snapToGrid w:val="0"/>
          <w:lang w:val="pt-PT"/>
        </w:rPr>
      </w:pPr>
    </w:p>
    <w:p w14:paraId="65AFFE0E" w14:textId="77777777" w:rsidR="00A65D1C" w:rsidRPr="002606DB" w:rsidRDefault="00A65D1C" w:rsidP="00056F35">
      <w:pPr>
        <w:pStyle w:val="a3"/>
        <w:adjustRightInd w:val="0"/>
        <w:snapToGrid w:val="0"/>
        <w:rPr>
          <w:snapToGrid w:val="0"/>
          <w:lang w:val="pt-PT"/>
        </w:rPr>
      </w:pPr>
    </w:p>
    <w:p w14:paraId="25286363" w14:textId="77777777" w:rsidR="00162CE2" w:rsidRPr="002606DB" w:rsidRDefault="00162CE2" w:rsidP="00A149AF">
      <w:pPr>
        <w:pStyle w:val="TitleB"/>
        <w:outlineLvl w:val="0"/>
      </w:pPr>
      <w:bookmarkStart w:id="13" w:name="B._CONDIÇÕES_OU_RESTRIÇÕES_RELATIVAS_AO_"/>
      <w:bookmarkEnd w:id="13"/>
      <w:r w:rsidRPr="002606DB">
        <w:rPr>
          <w:w w:val="101"/>
        </w:rPr>
        <w:t>B.</w:t>
      </w:r>
      <w:r w:rsidRPr="002606DB">
        <w:rPr>
          <w:w w:val="101"/>
        </w:rPr>
        <w:tab/>
      </w:r>
      <w:r w:rsidRPr="002606DB">
        <w:t>CONDIÇÕES OU RESTRIÇÕES RELATIVAS AO FORNECIMENTO E UTILIZAÇÃO</w:t>
      </w:r>
    </w:p>
    <w:p w14:paraId="19798384" w14:textId="77777777" w:rsidR="00162CE2" w:rsidRPr="002606DB" w:rsidRDefault="00162CE2" w:rsidP="00056F35">
      <w:pPr>
        <w:pStyle w:val="a3"/>
        <w:adjustRightInd w:val="0"/>
        <w:snapToGrid w:val="0"/>
        <w:rPr>
          <w:b/>
          <w:snapToGrid w:val="0"/>
          <w:lang w:val="pt-PT"/>
        </w:rPr>
      </w:pPr>
    </w:p>
    <w:p w14:paraId="65B726EB" w14:textId="77777777" w:rsidR="00162CE2" w:rsidRPr="002606DB" w:rsidRDefault="00162CE2" w:rsidP="00056F35">
      <w:pPr>
        <w:pStyle w:val="a3"/>
        <w:adjustRightInd w:val="0"/>
        <w:snapToGrid w:val="0"/>
        <w:rPr>
          <w:snapToGrid w:val="0"/>
          <w:lang w:val="pt-PT"/>
        </w:rPr>
      </w:pPr>
      <w:r w:rsidRPr="002606DB">
        <w:rPr>
          <w:snapToGrid w:val="0"/>
          <w:lang w:val="pt-PT"/>
        </w:rPr>
        <w:t>Medicamento de receita médica restrita, de utilização reservada a certos meios especializados (ver anexo I: Resumo das Características do Medicamento, secção 4.2).</w:t>
      </w:r>
    </w:p>
    <w:p w14:paraId="3E5D0443" w14:textId="77777777" w:rsidR="00162CE2" w:rsidRPr="002606DB" w:rsidRDefault="00162CE2" w:rsidP="00056F35">
      <w:pPr>
        <w:pStyle w:val="a3"/>
        <w:adjustRightInd w:val="0"/>
        <w:snapToGrid w:val="0"/>
        <w:rPr>
          <w:snapToGrid w:val="0"/>
          <w:lang w:val="pt-PT"/>
        </w:rPr>
      </w:pPr>
    </w:p>
    <w:p w14:paraId="11795C4E" w14:textId="77777777" w:rsidR="00162CE2" w:rsidRPr="002606DB" w:rsidRDefault="00162CE2" w:rsidP="00056F35">
      <w:pPr>
        <w:pStyle w:val="a3"/>
        <w:adjustRightInd w:val="0"/>
        <w:snapToGrid w:val="0"/>
        <w:rPr>
          <w:snapToGrid w:val="0"/>
          <w:lang w:val="pt-PT"/>
        </w:rPr>
      </w:pPr>
    </w:p>
    <w:p w14:paraId="77D6C744" w14:textId="77777777" w:rsidR="00162CE2" w:rsidRPr="002606DB" w:rsidRDefault="00162CE2" w:rsidP="00A149AF">
      <w:pPr>
        <w:pStyle w:val="TitleB"/>
        <w:outlineLvl w:val="0"/>
      </w:pPr>
      <w:bookmarkStart w:id="14" w:name="C._OUTRAS_CONDIÇÕES_E_REQUISITOS_DA_AUTO"/>
      <w:bookmarkEnd w:id="14"/>
      <w:r w:rsidRPr="002606DB">
        <w:rPr>
          <w:w w:val="101"/>
        </w:rPr>
        <w:t>C.</w:t>
      </w:r>
      <w:r w:rsidRPr="002606DB">
        <w:rPr>
          <w:w w:val="101"/>
        </w:rPr>
        <w:tab/>
      </w:r>
      <w:r w:rsidRPr="002606DB">
        <w:t>OUTRAS CONDIÇÕES E REQUISITOS DA AUTORIZAÇÃO DE INTRODUÇÃO NO MERCADO</w:t>
      </w:r>
    </w:p>
    <w:p w14:paraId="05A77EFB" w14:textId="77777777" w:rsidR="00162CE2" w:rsidRPr="002606DB" w:rsidRDefault="00162CE2" w:rsidP="00056F35">
      <w:pPr>
        <w:pStyle w:val="a3"/>
        <w:adjustRightInd w:val="0"/>
        <w:snapToGrid w:val="0"/>
        <w:rPr>
          <w:b/>
          <w:snapToGrid w:val="0"/>
          <w:lang w:val="pt-PT"/>
        </w:rPr>
      </w:pPr>
    </w:p>
    <w:p w14:paraId="05BF1FA8" w14:textId="52D47168" w:rsidR="00162CE2" w:rsidRPr="002606DB" w:rsidRDefault="00162CE2" w:rsidP="004A74E6">
      <w:pPr>
        <w:pStyle w:val="a4"/>
        <w:numPr>
          <w:ilvl w:val="0"/>
          <w:numId w:val="13"/>
        </w:numPr>
        <w:adjustRightInd w:val="0"/>
        <w:snapToGrid w:val="0"/>
        <w:ind w:left="567" w:hanging="567"/>
        <w:rPr>
          <w:snapToGrid w:val="0"/>
          <w:lang w:val="pt-PT"/>
        </w:rPr>
      </w:pPr>
      <w:r w:rsidRPr="002606DB">
        <w:rPr>
          <w:snapToGrid w:val="0"/>
          <w:lang w:val="pt-PT"/>
        </w:rPr>
        <w:t>Relatórios periódicos de segurança (RPS)</w:t>
      </w:r>
    </w:p>
    <w:p w14:paraId="102E138D" w14:textId="77777777" w:rsidR="00162CE2" w:rsidRPr="002606DB" w:rsidRDefault="00162CE2" w:rsidP="00056F35">
      <w:pPr>
        <w:pStyle w:val="a3"/>
        <w:adjustRightInd w:val="0"/>
        <w:snapToGrid w:val="0"/>
        <w:rPr>
          <w:b/>
          <w:snapToGrid w:val="0"/>
          <w:lang w:val="pt-PT"/>
        </w:rPr>
      </w:pPr>
    </w:p>
    <w:p w14:paraId="52B0BF72" w14:textId="77777777" w:rsidR="00162CE2" w:rsidRPr="002606DB" w:rsidRDefault="00162CE2" w:rsidP="00056F35">
      <w:pPr>
        <w:pStyle w:val="a3"/>
        <w:adjustRightInd w:val="0"/>
        <w:snapToGrid w:val="0"/>
        <w:rPr>
          <w:snapToGrid w:val="0"/>
          <w:lang w:val="pt-PT"/>
        </w:rPr>
      </w:pPr>
      <w:r w:rsidRPr="002606DB">
        <w:rPr>
          <w:snapToGrid w:val="0"/>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61AD4D3B" w14:textId="77777777" w:rsidR="00162CE2" w:rsidRPr="002606DB" w:rsidRDefault="00162CE2" w:rsidP="00056F35">
      <w:pPr>
        <w:pStyle w:val="a3"/>
        <w:adjustRightInd w:val="0"/>
        <w:snapToGrid w:val="0"/>
        <w:rPr>
          <w:snapToGrid w:val="0"/>
          <w:lang w:val="pt-PT"/>
        </w:rPr>
      </w:pPr>
    </w:p>
    <w:p w14:paraId="5078C1F3" w14:textId="77777777" w:rsidR="00162CE2" w:rsidRPr="002606DB" w:rsidRDefault="00162CE2" w:rsidP="00056F35">
      <w:pPr>
        <w:pStyle w:val="a3"/>
        <w:adjustRightInd w:val="0"/>
        <w:snapToGrid w:val="0"/>
        <w:rPr>
          <w:snapToGrid w:val="0"/>
          <w:lang w:val="pt-PT"/>
        </w:rPr>
      </w:pPr>
    </w:p>
    <w:p w14:paraId="43B5683C" w14:textId="77777777" w:rsidR="00162CE2" w:rsidRPr="002606DB" w:rsidRDefault="00162CE2" w:rsidP="00A149AF">
      <w:pPr>
        <w:pStyle w:val="TitleB"/>
        <w:outlineLvl w:val="0"/>
      </w:pPr>
      <w:bookmarkStart w:id="15" w:name="D._CONDIÇÕES_OU_RESTRIÇÕES_RELATIVAS_À_U"/>
      <w:bookmarkEnd w:id="15"/>
      <w:r w:rsidRPr="002606DB">
        <w:rPr>
          <w:w w:val="101"/>
        </w:rPr>
        <w:t>D.</w:t>
      </w:r>
      <w:r w:rsidRPr="002606DB">
        <w:rPr>
          <w:w w:val="101"/>
        </w:rPr>
        <w:tab/>
      </w:r>
      <w:r w:rsidRPr="002606DB">
        <w:t>CONDIÇÕES OU RESTRIÇÕES RELATIVAS À UTILIZAÇÃO SEGURA E EFICAZ DO MEDICAMENTO</w:t>
      </w:r>
    </w:p>
    <w:p w14:paraId="216CA149" w14:textId="77777777" w:rsidR="00162CE2" w:rsidRPr="002606DB" w:rsidRDefault="00162CE2" w:rsidP="00056F35">
      <w:pPr>
        <w:pStyle w:val="a3"/>
        <w:adjustRightInd w:val="0"/>
        <w:snapToGrid w:val="0"/>
        <w:rPr>
          <w:b/>
          <w:snapToGrid w:val="0"/>
          <w:lang w:val="pt-PT"/>
        </w:rPr>
      </w:pPr>
    </w:p>
    <w:p w14:paraId="5F743F0A" w14:textId="74364A83" w:rsidR="00162CE2" w:rsidRPr="002606DB" w:rsidRDefault="00162CE2" w:rsidP="004A74E6">
      <w:pPr>
        <w:pStyle w:val="a4"/>
        <w:numPr>
          <w:ilvl w:val="0"/>
          <w:numId w:val="13"/>
        </w:numPr>
        <w:adjustRightInd w:val="0"/>
        <w:snapToGrid w:val="0"/>
        <w:ind w:left="567" w:hanging="567"/>
        <w:rPr>
          <w:snapToGrid w:val="0"/>
          <w:lang w:val="pt-PT"/>
        </w:rPr>
      </w:pPr>
      <w:r w:rsidRPr="002606DB">
        <w:rPr>
          <w:snapToGrid w:val="0"/>
          <w:lang w:val="pt-PT"/>
        </w:rPr>
        <w:t>Plano de gestão do risco (PGR)</w:t>
      </w:r>
    </w:p>
    <w:p w14:paraId="09A35474" w14:textId="77777777" w:rsidR="00162CE2" w:rsidRPr="002606DB" w:rsidRDefault="00162CE2" w:rsidP="00056F35">
      <w:pPr>
        <w:pStyle w:val="a3"/>
        <w:adjustRightInd w:val="0"/>
        <w:snapToGrid w:val="0"/>
        <w:rPr>
          <w:snapToGrid w:val="0"/>
          <w:lang w:val="pt-PT"/>
        </w:rPr>
      </w:pPr>
    </w:p>
    <w:p w14:paraId="59EB963E" w14:textId="77777777" w:rsidR="00162CE2" w:rsidRPr="002606DB" w:rsidRDefault="00162CE2" w:rsidP="00056F35">
      <w:pPr>
        <w:pStyle w:val="a3"/>
        <w:adjustRightInd w:val="0"/>
        <w:snapToGrid w:val="0"/>
        <w:rPr>
          <w:snapToGrid w:val="0"/>
          <w:lang w:val="pt-PT"/>
        </w:rPr>
      </w:pPr>
      <w:r w:rsidRPr="002606DB">
        <w:rPr>
          <w:snapToGrid w:val="0"/>
          <w:lang w:val="pt-PT"/>
        </w:rPr>
        <w:t>O Titular da AIM deve efetuar as atividades e as intervenções de farmacovigilância requeridas e detalhadas no PGR apresentado no Módulo 1.8.2 da autorização de introdução no mercado, e quaisquer atualizações subsequentes do PGR acordadas.</w:t>
      </w:r>
    </w:p>
    <w:p w14:paraId="30BB32DA" w14:textId="77777777" w:rsidR="00162CE2" w:rsidRPr="002606DB" w:rsidRDefault="00162CE2" w:rsidP="00733F07">
      <w:pPr>
        <w:pStyle w:val="a3"/>
        <w:keepNext/>
        <w:widowControl/>
        <w:adjustRightInd w:val="0"/>
        <w:snapToGrid w:val="0"/>
        <w:rPr>
          <w:snapToGrid w:val="0"/>
          <w:lang w:val="pt-PT"/>
        </w:rPr>
      </w:pPr>
      <w:r w:rsidRPr="002606DB">
        <w:rPr>
          <w:snapToGrid w:val="0"/>
          <w:lang w:val="pt-PT"/>
        </w:rPr>
        <w:t>Deve ser apresentado um PGR atualizado:</w:t>
      </w:r>
    </w:p>
    <w:p w14:paraId="189A9290" w14:textId="6A483520" w:rsidR="00162CE2" w:rsidRPr="002606DB" w:rsidRDefault="00162CE2" w:rsidP="00733F07">
      <w:pPr>
        <w:pStyle w:val="a4"/>
        <w:keepNext/>
        <w:widowControl/>
        <w:numPr>
          <w:ilvl w:val="0"/>
          <w:numId w:val="13"/>
        </w:numPr>
        <w:adjustRightInd w:val="0"/>
        <w:snapToGrid w:val="0"/>
        <w:ind w:left="1134" w:hanging="567"/>
        <w:rPr>
          <w:snapToGrid w:val="0"/>
          <w:lang w:val="pt-PT"/>
        </w:rPr>
      </w:pPr>
      <w:r w:rsidRPr="002606DB">
        <w:rPr>
          <w:snapToGrid w:val="0"/>
          <w:lang w:val="pt-PT"/>
        </w:rPr>
        <w:t>A pedido da Agência Europeia de Medicamentos;</w:t>
      </w:r>
    </w:p>
    <w:p w14:paraId="7CF56F15" w14:textId="506387FF" w:rsidR="00162CE2" w:rsidRPr="002606DB" w:rsidRDefault="00162CE2" w:rsidP="004A74E6">
      <w:pPr>
        <w:pStyle w:val="a4"/>
        <w:numPr>
          <w:ilvl w:val="0"/>
          <w:numId w:val="13"/>
        </w:numPr>
        <w:adjustRightInd w:val="0"/>
        <w:snapToGrid w:val="0"/>
        <w:ind w:left="1134" w:hanging="567"/>
        <w:rPr>
          <w:snapToGrid w:val="0"/>
          <w:lang w:val="pt-PT"/>
        </w:rPr>
      </w:pPr>
      <w:r w:rsidRPr="002606DB">
        <w:rPr>
          <w:snapToGrid w:val="0"/>
          <w:lang w:val="pt-PT"/>
        </w:rPr>
        <w:t>Sempre que o sistema de gestão do risco for modificado, especialmente como resultado da receção de nova informação que possa levar a alterações significativas no perfil benefício-risco ou como resultado de ser tido atingido um objetivo importante (farmacovigilância ou minimização do risco).</w:t>
      </w:r>
    </w:p>
    <w:p w14:paraId="6EB3717C" w14:textId="77777777" w:rsidR="00162CE2" w:rsidRPr="002606DB" w:rsidRDefault="00162CE2" w:rsidP="00056F35">
      <w:pPr>
        <w:adjustRightInd w:val="0"/>
        <w:snapToGrid w:val="0"/>
        <w:rPr>
          <w:snapToGrid w:val="0"/>
          <w:lang w:val="pt-PT"/>
        </w:rPr>
      </w:pPr>
      <w:r w:rsidRPr="002606DB">
        <w:rPr>
          <w:snapToGrid w:val="0"/>
          <w:lang w:val="pt-PT"/>
        </w:rPr>
        <w:br w:type="page"/>
      </w:r>
    </w:p>
    <w:p w14:paraId="7515A1CC" w14:textId="77777777" w:rsidR="00162CE2" w:rsidRPr="002606DB" w:rsidRDefault="00162CE2" w:rsidP="00056F35">
      <w:pPr>
        <w:pStyle w:val="a3"/>
        <w:adjustRightInd w:val="0"/>
        <w:snapToGrid w:val="0"/>
        <w:rPr>
          <w:snapToGrid w:val="0"/>
          <w:lang w:val="pt-PT"/>
        </w:rPr>
      </w:pPr>
    </w:p>
    <w:p w14:paraId="59ED03C5" w14:textId="77777777" w:rsidR="00162CE2" w:rsidRPr="002606DB" w:rsidRDefault="00162CE2" w:rsidP="00056F35">
      <w:pPr>
        <w:pStyle w:val="a3"/>
        <w:adjustRightInd w:val="0"/>
        <w:snapToGrid w:val="0"/>
        <w:rPr>
          <w:snapToGrid w:val="0"/>
          <w:lang w:val="pt-PT"/>
        </w:rPr>
      </w:pPr>
    </w:p>
    <w:p w14:paraId="74B695B9" w14:textId="77777777" w:rsidR="00162CE2" w:rsidRPr="002606DB" w:rsidRDefault="00162CE2" w:rsidP="00056F35">
      <w:pPr>
        <w:pStyle w:val="a3"/>
        <w:adjustRightInd w:val="0"/>
        <w:snapToGrid w:val="0"/>
        <w:rPr>
          <w:snapToGrid w:val="0"/>
          <w:lang w:val="pt-PT"/>
        </w:rPr>
      </w:pPr>
    </w:p>
    <w:p w14:paraId="1B9ACF66" w14:textId="77777777" w:rsidR="00162CE2" w:rsidRPr="002606DB" w:rsidRDefault="00162CE2" w:rsidP="00056F35">
      <w:pPr>
        <w:pStyle w:val="a3"/>
        <w:adjustRightInd w:val="0"/>
        <w:snapToGrid w:val="0"/>
        <w:rPr>
          <w:snapToGrid w:val="0"/>
          <w:lang w:val="pt-PT"/>
        </w:rPr>
      </w:pPr>
    </w:p>
    <w:p w14:paraId="1D1332D4" w14:textId="77777777" w:rsidR="00162CE2" w:rsidRPr="002606DB" w:rsidRDefault="00162CE2" w:rsidP="00056F35">
      <w:pPr>
        <w:pStyle w:val="a3"/>
        <w:adjustRightInd w:val="0"/>
        <w:snapToGrid w:val="0"/>
        <w:rPr>
          <w:snapToGrid w:val="0"/>
          <w:lang w:val="pt-PT"/>
        </w:rPr>
      </w:pPr>
    </w:p>
    <w:p w14:paraId="0491C064" w14:textId="77777777" w:rsidR="00162CE2" w:rsidRPr="002606DB" w:rsidRDefault="00162CE2" w:rsidP="00056F35">
      <w:pPr>
        <w:pStyle w:val="a3"/>
        <w:adjustRightInd w:val="0"/>
        <w:snapToGrid w:val="0"/>
        <w:rPr>
          <w:snapToGrid w:val="0"/>
          <w:lang w:val="pt-PT"/>
        </w:rPr>
      </w:pPr>
    </w:p>
    <w:p w14:paraId="668E79D8" w14:textId="77777777" w:rsidR="00162CE2" w:rsidRPr="002606DB" w:rsidRDefault="00162CE2" w:rsidP="00056F35">
      <w:pPr>
        <w:pStyle w:val="a3"/>
        <w:adjustRightInd w:val="0"/>
        <w:snapToGrid w:val="0"/>
        <w:rPr>
          <w:snapToGrid w:val="0"/>
          <w:lang w:val="pt-PT"/>
        </w:rPr>
      </w:pPr>
    </w:p>
    <w:p w14:paraId="02E5322F" w14:textId="77777777" w:rsidR="00162CE2" w:rsidRPr="002606DB" w:rsidRDefault="00162CE2" w:rsidP="00056F35">
      <w:pPr>
        <w:pStyle w:val="a3"/>
        <w:adjustRightInd w:val="0"/>
        <w:snapToGrid w:val="0"/>
        <w:rPr>
          <w:snapToGrid w:val="0"/>
          <w:lang w:val="pt-PT"/>
        </w:rPr>
      </w:pPr>
    </w:p>
    <w:p w14:paraId="2DC2D8F7" w14:textId="77777777" w:rsidR="00162CE2" w:rsidRPr="002606DB" w:rsidRDefault="00162CE2" w:rsidP="00056F35">
      <w:pPr>
        <w:pStyle w:val="a3"/>
        <w:adjustRightInd w:val="0"/>
        <w:snapToGrid w:val="0"/>
        <w:rPr>
          <w:snapToGrid w:val="0"/>
          <w:lang w:val="pt-PT"/>
        </w:rPr>
      </w:pPr>
    </w:p>
    <w:p w14:paraId="270A55CC" w14:textId="77777777" w:rsidR="00162CE2" w:rsidRPr="002606DB" w:rsidRDefault="00162CE2" w:rsidP="00056F35">
      <w:pPr>
        <w:pStyle w:val="a3"/>
        <w:adjustRightInd w:val="0"/>
        <w:snapToGrid w:val="0"/>
        <w:rPr>
          <w:snapToGrid w:val="0"/>
          <w:lang w:val="pt-PT"/>
        </w:rPr>
      </w:pPr>
    </w:p>
    <w:p w14:paraId="528A4A53" w14:textId="77777777" w:rsidR="00162CE2" w:rsidRPr="002606DB" w:rsidRDefault="00162CE2" w:rsidP="00056F35">
      <w:pPr>
        <w:pStyle w:val="a3"/>
        <w:adjustRightInd w:val="0"/>
        <w:snapToGrid w:val="0"/>
        <w:rPr>
          <w:snapToGrid w:val="0"/>
          <w:lang w:val="pt-PT"/>
        </w:rPr>
      </w:pPr>
    </w:p>
    <w:p w14:paraId="1E523C7A" w14:textId="77777777" w:rsidR="00162CE2" w:rsidRPr="002606DB" w:rsidRDefault="00162CE2" w:rsidP="00056F35">
      <w:pPr>
        <w:pStyle w:val="a3"/>
        <w:adjustRightInd w:val="0"/>
        <w:snapToGrid w:val="0"/>
        <w:rPr>
          <w:snapToGrid w:val="0"/>
          <w:lang w:val="pt-PT"/>
        </w:rPr>
      </w:pPr>
    </w:p>
    <w:p w14:paraId="53E6E47E" w14:textId="77777777" w:rsidR="00162CE2" w:rsidRPr="002606DB" w:rsidRDefault="00162CE2" w:rsidP="00056F35">
      <w:pPr>
        <w:pStyle w:val="a3"/>
        <w:adjustRightInd w:val="0"/>
        <w:snapToGrid w:val="0"/>
        <w:rPr>
          <w:snapToGrid w:val="0"/>
          <w:lang w:val="pt-PT"/>
        </w:rPr>
      </w:pPr>
    </w:p>
    <w:p w14:paraId="5BD89D3F" w14:textId="77777777" w:rsidR="00162CE2" w:rsidRPr="002606DB" w:rsidRDefault="00162CE2" w:rsidP="00056F35">
      <w:pPr>
        <w:pStyle w:val="a3"/>
        <w:adjustRightInd w:val="0"/>
        <w:snapToGrid w:val="0"/>
        <w:rPr>
          <w:snapToGrid w:val="0"/>
          <w:lang w:val="pt-PT"/>
        </w:rPr>
      </w:pPr>
    </w:p>
    <w:p w14:paraId="2015742C" w14:textId="77777777" w:rsidR="00162CE2" w:rsidRPr="002606DB" w:rsidRDefault="00162CE2" w:rsidP="00056F35">
      <w:pPr>
        <w:pStyle w:val="a3"/>
        <w:adjustRightInd w:val="0"/>
        <w:snapToGrid w:val="0"/>
        <w:rPr>
          <w:snapToGrid w:val="0"/>
          <w:lang w:val="pt-PT"/>
        </w:rPr>
      </w:pPr>
    </w:p>
    <w:p w14:paraId="7216803E" w14:textId="77777777" w:rsidR="00162CE2" w:rsidRPr="002606DB" w:rsidRDefault="00162CE2" w:rsidP="00056F35">
      <w:pPr>
        <w:pStyle w:val="a3"/>
        <w:adjustRightInd w:val="0"/>
        <w:snapToGrid w:val="0"/>
        <w:rPr>
          <w:snapToGrid w:val="0"/>
          <w:lang w:val="pt-PT"/>
        </w:rPr>
      </w:pPr>
    </w:p>
    <w:p w14:paraId="6442B691" w14:textId="77777777" w:rsidR="00162CE2" w:rsidRPr="002606DB" w:rsidRDefault="00162CE2" w:rsidP="00056F35">
      <w:pPr>
        <w:pStyle w:val="a3"/>
        <w:adjustRightInd w:val="0"/>
        <w:snapToGrid w:val="0"/>
        <w:rPr>
          <w:snapToGrid w:val="0"/>
          <w:lang w:val="pt-PT"/>
        </w:rPr>
      </w:pPr>
    </w:p>
    <w:p w14:paraId="6E62D62E" w14:textId="77777777" w:rsidR="00162CE2" w:rsidRPr="002606DB" w:rsidRDefault="00162CE2" w:rsidP="00056F35">
      <w:pPr>
        <w:pStyle w:val="a3"/>
        <w:adjustRightInd w:val="0"/>
        <w:snapToGrid w:val="0"/>
        <w:rPr>
          <w:snapToGrid w:val="0"/>
          <w:lang w:val="pt-PT"/>
        </w:rPr>
      </w:pPr>
    </w:p>
    <w:p w14:paraId="60BF8610" w14:textId="77777777" w:rsidR="00162CE2" w:rsidRPr="002606DB" w:rsidRDefault="00162CE2" w:rsidP="00056F35">
      <w:pPr>
        <w:pStyle w:val="a3"/>
        <w:adjustRightInd w:val="0"/>
        <w:snapToGrid w:val="0"/>
        <w:rPr>
          <w:snapToGrid w:val="0"/>
          <w:lang w:val="pt-PT"/>
        </w:rPr>
      </w:pPr>
    </w:p>
    <w:p w14:paraId="2E870E9F" w14:textId="77777777" w:rsidR="00162CE2" w:rsidRPr="002606DB" w:rsidRDefault="00162CE2" w:rsidP="00056F35">
      <w:pPr>
        <w:pStyle w:val="a3"/>
        <w:adjustRightInd w:val="0"/>
        <w:snapToGrid w:val="0"/>
        <w:rPr>
          <w:snapToGrid w:val="0"/>
          <w:lang w:val="pt-PT"/>
        </w:rPr>
      </w:pPr>
    </w:p>
    <w:p w14:paraId="0E48B871" w14:textId="77777777" w:rsidR="00162CE2" w:rsidRPr="002606DB" w:rsidRDefault="00162CE2" w:rsidP="00056F35">
      <w:pPr>
        <w:pStyle w:val="a3"/>
        <w:adjustRightInd w:val="0"/>
        <w:snapToGrid w:val="0"/>
        <w:rPr>
          <w:snapToGrid w:val="0"/>
          <w:lang w:val="pt-PT"/>
        </w:rPr>
      </w:pPr>
    </w:p>
    <w:p w14:paraId="16D86FE4" w14:textId="77777777" w:rsidR="00162CE2" w:rsidRPr="002606DB" w:rsidRDefault="00162CE2" w:rsidP="00056F35">
      <w:pPr>
        <w:pStyle w:val="a3"/>
        <w:adjustRightInd w:val="0"/>
        <w:snapToGrid w:val="0"/>
        <w:rPr>
          <w:snapToGrid w:val="0"/>
          <w:lang w:val="pt-PT"/>
        </w:rPr>
      </w:pPr>
    </w:p>
    <w:p w14:paraId="08493115" w14:textId="77777777" w:rsidR="00162CE2" w:rsidRPr="002606DB" w:rsidRDefault="00162CE2" w:rsidP="00056F35">
      <w:pPr>
        <w:adjustRightInd w:val="0"/>
        <w:snapToGrid w:val="0"/>
        <w:jc w:val="center"/>
        <w:rPr>
          <w:b/>
          <w:snapToGrid w:val="0"/>
          <w:lang w:val="pt-PT"/>
        </w:rPr>
      </w:pPr>
      <w:r w:rsidRPr="002606DB">
        <w:rPr>
          <w:b/>
          <w:snapToGrid w:val="0"/>
          <w:lang w:val="pt-PT"/>
        </w:rPr>
        <w:t>ANEXO III</w:t>
      </w:r>
    </w:p>
    <w:p w14:paraId="7AECAF64" w14:textId="77777777" w:rsidR="00162CE2" w:rsidRPr="002606DB" w:rsidRDefault="00162CE2" w:rsidP="00056F35">
      <w:pPr>
        <w:pStyle w:val="a3"/>
        <w:adjustRightInd w:val="0"/>
        <w:snapToGrid w:val="0"/>
        <w:rPr>
          <w:b/>
          <w:snapToGrid w:val="0"/>
          <w:lang w:val="pt-PT"/>
        </w:rPr>
      </w:pPr>
    </w:p>
    <w:p w14:paraId="65119B71" w14:textId="77777777" w:rsidR="00162CE2" w:rsidRPr="002606DB" w:rsidRDefault="00162CE2" w:rsidP="00056F35">
      <w:pPr>
        <w:adjustRightInd w:val="0"/>
        <w:snapToGrid w:val="0"/>
        <w:jc w:val="center"/>
        <w:rPr>
          <w:b/>
          <w:snapToGrid w:val="0"/>
          <w:lang w:val="pt-PT"/>
        </w:rPr>
      </w:pPr>
      <w:r w:rsidRPr="002606DB">
        <w:rPr>
          <w:b/>
          <w:snapToGrid w:val="0"/>
          <w:lang w:val="pt-PT"/>
        </w:rPr>
        <w:t>ROTULAGEM E FOLHETO INFORMATIVO</w:t>
      </w:r>
    </w:p>
    <w:p w14:paraId="6F8531AA" w14:textId="77777777" w:rsidR="00162CE2" w:rsidRPr="002606DB" w:rsidRDefault="00162CE2" w:rsidP="00056F35">
      <w:pPr>
        <w:adjustRightInd w:val="0"/>
        <w:snapToGrid w:val="0"/>
        <w:jc w:val="center"/>
        <w:rPr>
          <w:snapToGrid w:val="0"/>
          <w:lang w:val="pt-PT"/>
        </w:rPr>
      </w:pPr>
    </w:p>
    <w:p w14:paraId="63CF2B03" w14:textId="77777777" w:rsidR="00162CE2" w:rsidRPr="002606DB" w:rsidRDefault="00162CE2" w:rsidP="00056F35">
      <w:pPr>
        <w:pStyle w:val="a3"/>
        <w:adjustRightInd w:val="0"/>
        <w:snapToGrid w:val="0"/>
        <w:rPr>
          <w:b/>
          <w:snapToGrid w:val="0"/>
          <w:lang w:val="pt-PT"/>
        </w:rPr>
      </w:pPr>
      <w:r w:rsidRPr="002606DB">
        <w:rPr>
          <w:b/>
          <w:snapToGrid w:val="0"/>
          <w:lang w:val="pt-PT"/>
        </w:rPr>
        <w:br w:type="page"/>
      </w:r>
    </w:p>
    <w:p w14:paraId="1DB1ED6E" w14:textId="77777777" w:rsidR="00162CE2" w:rsidRPr="002606DB" w:rsidRDefault="00162CE2" w:rsidP="00056F35">
      <w:pPr>
        <w:pStyle w:val="a3"/>
        <w:adjustRightInd w:val="0"/>
        <w:snapToGrid w:val="0"/>
        <w:rPr>
          <w:b/>
          <w:snapToGrid w:val="0"/>
          <w:lang w:val="pt-PT"/>
        </w:rPr>
      </w:pPr>
    </w:p>
    <w:p w14:paraId="4DEE588C" w14:textId="77777777" w:rsidR="00162CE2" w:rsidRPr="002606DB" w:rsidRDefault="00162CE2" w:rsidP="00056F35">
      <w:pPr>
        <w:pStyle w:val="a3"/>
        <w:adjustRightInd w:val="0"/>
        <w:snapToGrid w:val="0"/>
        <w:rPr>
          <w:b/>
          <w:snapToGrid w:val="0"/>
          <w:lang w:val="pt-PT"/>
        </w:rPr>
      </w:pPr>
    </w:p>
    <w:p w14:paraId="4BC7C68E" w14:textId="77777777" w:rsidR="00162CE2" w:rsidRPr="002606DB" w:rsidRDefault="00162CE2" w:rsidP="00056F35">
      <w:pPr>
        <w:pStyle w:val="a3"/>
        <w:adjustRightInd w:val="0"/>
        <w:snapToGrid w:val="0"/>
        <w:rPr>
          <w:b/>
          <w:snapToGrid w:val="0"/>
          <w:lang w:val="pt-PT"/>
        </w:rPr>
      </w:pPr>
    </w:p>
    <w:p w14:paraId="4A190B4E" w14:textId="77777777" w:rsidR="00162CE2" w:rsidRPr="002606DB" w:rsidRDefault="00162CE2" w:rsidP="00056F35">
      <w:pPr>
        <w:pStyle w:val="a3"/>
        <w:adjustRightInd w:val="0"/>
        <w:snapToGrid w:val="0"/>
        <w:rPr>
          <w:b/>
          <w:snapToGrid w:val="0"/>
          <w:lang w:val="pt-PT"/>
        </w:rPr>
      </w:pPr>
    </w:p>
    <w:p w14:paraId="3DD38162" w14:textId="77777777" w:rsidR="00162CE2" w:rsidRPr="002606DB" w:rsidRDefault="00162CE2" w:rsidP="00056F35">
      <w:pPr>
        <w:pStyle w:val="a3"/>
        <w:adjustRightInd w:val="0"/>
        <w:snapToGrid w:val="0"/>
        <w:rPr>
          <w:b/>
          <w:snapToGrid w:val="0"/>
          <w:lang w:val="pt-PT"/>
        </w:rPr>
      </w:pPr>
    </w:p>
    <w:p w14:paraId="76176277" w14:textId="77777777" w:rsidR="00162CE2" w:rsidRPr="002606DB" w:rsidRDefault="00162CE2" w:rsidP="00056F35">
      <w:pPr>
        <w:pStyle w:val="a3"/>
        <w:adjustRightInd w:val="0"/>
        <w:snapToGrid w:val="0"/>
        <w:rPr>
          <w:b/>
          <w:snapToGrid w:val="0"/>
          <w:lang w:val="pt-PT"/>
        </w:rPr>
      </w:pPr>
    </w:p>
    <w:p w14:paraId="7A297593" w14:textId="77777777" w:rsidR="00162CE2" w:rsidRPr="002606DB" w:rsidRDefault="00162CE2" w:rsidP="00056F35">
      <w:pPr>
        <w:pStyle w:val="a3"/>
        <w:adjustRightInd w:val="0"/>
        <w:snapToGrid w:val="0"/>
        <w:rPr>
          <w:b/>
          <w:snapToGrid w:val="0"/>
          <w:lang w:val="pt-PT"/>
        </w:rPr>
      </w:pPr>
    </w:p>
    <w:p w14:paraId="23907C78" w14:textId="77777777" w:rsidR="00162CE2" w:rsidRPr="002606DB" w:rsidRDefault="00162CE2" w:rsidP="00056F35">
      <w:pPr>
        <w:pStyle w:val="a3"/>
        <w:adjustRightInd w:val="0"/>
        <w:snapToGrid w:val="0"/>
        <w:rPr>
          <w:b/>
          <w:snapToGrid w:val="0"/>
          <w:lang w:val="pt-PT"/>
        </w:rPr>
      </w:pPr>
    </w:p>
    <w:p w14:paraId="7903C901" w14:textId="77777777" w:rsidR="00162CE2" w:rsidRPr="002606DB" w:rsidRDefault="00162CE2" w:rsidP="00056F35">
      <w:pPr>
        <w:pStyle w:val="a3"/>
        <w:adjustRightInd w:val="0"/>
        <w:snapToGrid w:val="0"/>
        <w:rPr>
          <w:b/>
          <w:snapToGrid w:val="0"/>
          <w:lang w:val="pt-PT"/>
        </w:rPr>
      </w:pPr>
    </w:p>
    <w:p w14:paraId="21431B29" w14:textId="77777777" w:rsidR="00162CE2" w:rsidRPr="002606DB" w:rsidRDefault="00162CE2" w:rsidP="00056F35">
      <w:pPr>
        <w:pStyle w:val="a3"/>
        <w:adjustRightInd w:val="0"/>
        <w:snapToGrid w:val="0"/>
        <w:rPr>
          <w:b/>
          <w:snapToGrid w:val="0"/>
          <w:lang w:val="pt-PT"/>
        </w:rPr>
      </w:pPr>
    </w:p>
    <w:p w14:paraId="2675A7AC" w14:textId="77777777" w:rsidR="00162CE2" w:rsidRPr="002606DB" w:rsidRDefault="00162CE2" w:rsidP="00056F35">
      <w:pPr>
        <w:pStyle w:val="a3"/>
        <w:adjustRightInd w:val="0"/>
        <w:snapToGrid w:val="0"/>
        <w:rPr>
          <w:b/>
          <w:snapToGrid w:val="0"/>
          <w:lang w:val="pt-PT"/>
        </w:rPr>
      </w:pPr>
    </w:p>
    <w:p w14:paraId="0AAE38AB" w14:textId="77777777" w:rsidR="00162CE2" w:rsidRPr="002606DB" w:rsidRDefault="00162CE2" w:rsidP="00056F35">
      <w:pPr>
        <w:pStyle w:val="a3"/>
        <w:adjustRightInd w:val="0"/>
        <w:snapToGrid w:val="0"/>
        <w:rPr>
          <w:b/>
          <w:snapToGrid w:val="0"/>
          <w:lang w:val="pt-PT"/>
        </w:rPr>
      </w:pPr>
    </w:p>
    <w:p w14:paraId="58C0C106" w14:textId="77777777" w:rsidR="00162CE2" w:rsidRPr="002606DB" w:rsidRDefault="00162CE2" w:rsidP="00056F35">
      <w:pPr>
        <w:pStyle w:val="a3"/>
        <w:adjustRightInd w:val="0"/>
        <w:snapToGrid w:val="0"/>
        <w:rPr>
          <w:b/>
          <w:snapToGrid w:val="0"/>
          <w:lang w:val="pt-PT"/>
        </w:rPr>
      </w:pPr>
    </w:p>
    <w:p w14:paraId="75B9F944" w14:textId="77777777" w:rsidR="00162CE2" w:rsidRPr="002606DB" w:rsidRDefault="00162CE2" w:rsidP="00056F35">
      <w:pPr>
        <w:pStyle w:val="a3"/>
        <w:adjustRightInd w:val="0"/>
        <w:snapToGrid w:val="0"/>
        <w:rPr>
          <w:b/>
          <w:snapToGrid w:val="0"/>
          <w:lang w:val="pt-PT"/>
        </w:rPr>
      </w:pPr>
    </w:p>
    <w:p w14:paraId="7A9C89BB" w14:textId="77777777" w:rsidR="00162CE2" w:rsidRPr="002606DB" w:rsidRDefault="00162CE2" w:rsidP="00056F35">
      <w:pPr>
        <w:pStyle w:val="a3"/>
        <w:adjustRightInd w:val="0"/>
        <w:snapToGrid w:val="0"/>
        <w:rPr>
          <w:b/>
          <w:snapToGrid w:val="0"/>
          <w:lang w:val="pt-PT"/>
        </w:rPr>
      </w:pPr>
    </w:p>
    <w:p w14:paraId="625CB7A7" w14:textId="77777777" w:rsidR="00162CE2" w:rsidRPr="002606DB" w:rsidRDefault="00162CE2" w:rsidP="00056F35">
      <w:pPr>
        <w:pStyle w:val="a3"/>
        <w:adjustRightInd w:val="0"/>
        <w:snapToGrid w:val="0"/>
        <w:rPr>
          <w:b/>
          <w:snapToGrid w:val="0"/>
          <w:lang w:val="pt-PT"/>
        </w:rPr>
      </w:pPr>
    </w:p>
    <w:p w14:paraId="19FE7117" w14:textId="77777777" w:rsidR="00162CE2" w:rsidRPr="002606DB" w:rsidRDefault="00162CE2" w:rsidP="00056F35">
      <w:pPr>
        <w:pStyle w:val="a3"/>
        <w:adjustRightInd w:val="0"/>
        <w:snapToGrid w:val="0"/>
        <w:rPr>
          <w:b/>
          <w:snapToGrid w:val="0"/>
          <w:lang w:val="pt-PT"/>
        </w:rPr>
      </w:pPr>
    </w:p>
    <w:p w14:paraId="514536A7" w14:textId="77777777" w:rsidR="00162CE2" w:rsidRPr="002606DB" w:rsidRDefault="00162CE2" w:rsidP="00056F35">
      <w:pPr>
        <w:pStyle w:val="a3"/>
        <w:adjustRightInd w:val="0"/>
        <w:snapToGrid w:val="0"/>
        <w:rPr>
          <w:b/>
          <w:snapToGrid w:val="0"/>
          <w:lang w:val="pt-PT"/>
        </w:rPr>
      </w:pPr>
    </w:p>
    <w:p w14:paraId="674E8074" w14:textId="77777777" w:rsidR="00162CE2" w:rsidRPr="002606DB" w:rsidRDefault="00162CE2" w:rsidP="00056F35">
      <w:pPr>
        <w:pStyle w:val="a3"/>
        <w:adjustRightInd w:val="0"/>
        <w:snapToGrid w:val="0"/>
        <w:rPr>
          <w:b/>
          <w:snapToGrid w:val="0"/>
          <w:lang w:val="pt-PT"/>
        </w:rPr>
      </w:pPr>
    </w:p>
    <w:p w14:paraId="49A2CF89" w14:textId="77777777" w:rsidR="00162CE2" w:rsidRPr="002606DB" w:rsidRDefault="00162CE2" w:rsidP="00056F35">
      <w:pPr>
        <w:pStyle w:val="a3"/>
        <w:adjustRightInd w:val="0"/>
        <w:snapToGrid w:val="0"/>
        <w:rPr>
          <w:b/>
          <w:snapToGrid w:val="0"/>
          <w:lang w:val="pt-PT"/>
        </w:rPr>
      </w:pPr>
    </w:p>
    <w:p w14:paraId="06009C1B" w14:textId="77777777" w:rsidR="00162CE2" w:rsidRPr="002606DB" w:rsidRDefault="00162CE2" w:rsidP="00056F35">
      <w:pPr>
        <w:pStyle w:val="a3"/>
        <w:adjustRightInd w:val="0"/>
        <w:snapToGrid w:val="0"/>
        <w:rPr>
          <w:b/>
          <w:snapToGrid w:val="0"/>
          <w:lang w:val="pt-PT"/>
        </w:rPr>
      </w:pPr>
    </w:p>
    <w:p w14:paraId="60716969" w14:textId="77777777" w:rsidR="00162CE2" w:rsidRPr="002606DB" w:rsidRDefault="00162CE2" w:rsidP="00056F35">
      <w:pPr>
        <w:pStyle w:val="a3"/>
        <w:adjustRightInd w:val="0"/>
        <w:snapToGrid w:val="0"/>
        <w:rPr>
          <w:b/>
          <w:snapToGrid w:val="0"/>
          <w:lang w:val="pt-PT"/>
        </w:rPr>
      </w:pPr>
    </w:p>
    <w:p w14:paraId="79E5C46C" w14:textId="77777777" w:rsidR="00162CE2" w:rsidRPr="002606DB" w:rsidRDefault="00162CE2" w:rsidP="00A149AF">
      <w:pPr>
        <w:pStyle w:val="TitleA"/>
        <w:outlineLvl w:val="0"/>
        <w:rPr>
          <w:lang w:val="pt-PT"/>
        </w:rPr>
      </w:pPr>
      <w:bookmarkStart w:id="16" w:name="A._ROTULAGEM"/>
      <w:bookmarkEnd w:id="16"/>
      <w:r w:rsidRPr="002606DB">
        <w:rPr>
          <w:bCs/>
          <w:spacing w:val="-3"/>
          <w:w w:val="101"/>
        </w:rPr>
        <w:t xml:space="preserve">A. </w:t>
      </w:r>
      <w:r w:rsidRPr="002606DB">
        <w:rPr>
          <w:lang w:val="pt-PT"/>
        </w:rPr>
        <w:t>ROTULAGEM</w:t>
      </w:r>
    </w:p>
    <w:p w14:paraId="7EAD56EC" w14:textId="77777777" w:rsidR="00162CE2" w:rsidRPr="002606DB" w:rsidRDefault="00162CE2" w:rsidP="003539B7">
      <w:pPr>
        <w:pBdr>
          <w:top w:val="single" w:sz="4" w:space="1" w:color="auto"/>
          <w:left w:val="single" w:sz="4" w:space="4" w:color="auto"/>
          <w:bottom w:val="single" w:sz="4" w:space="1" w:color="auto"/>
          <w:right w:val="single" w:sz="4" w:space="4" w:color="auto"/>
        </w:pBdr>
        <w:adjustRightInd w:val="0"/>
        <w:snapToGrid w:val="0"/>
        <w:rPr>
          <w:b/>
        </w:rPr>
      </w:pPr>
      <w:r w:rsidRPr="002606DB">
        <w:rPr>
          <w:snapToGrid w:val="0"/>
          <w:lang w:val="pt-PT"/>
        </w:rPr>
        <w:br w:type="page"/>
      </w:r>
      <w:r w:rsidRPr="002606DB">
        <w:rPr>
          <w:b/>
        </w:rPr>
        <w:lastRenderedPageBreak/>
        <w:t>INDICAÇÕES</w:t>
      </w:r>
      <w:r w:rsidRPr="002606DB">
        <w:rPr>
          <w:b/>
          <w:spacing w:val="-5"/>
        </w:rPr>
        <w:t xml:space="preserve"> </w:t>
      </w:r>
      <w:r w:rsidRPr="002606DB">
        <w:rPr>
          <w:b/>
        </w:rPr>
        <w:t>A</w:t>
      </w:r>
      <w:r w:rsidRPr="002606DB">
        <w:rPr>
          <w:b/>
          <w:spacing w:val="-12"/>
        </w:rPr>
        <w:t xml:space="preserve"> </w:t>
      </w:r>
      <w:r w:rsidRPr="002606DB">
        <w:rPr>
          <w:b/>
        </w:rPr>
        <w:t>INCLUIR</w:t>
      </w:r>
      <w:r w:rsidRPr="002606DB">
        <w:rPr>
          <w:b/>
          <w:spacing w:val="-5"/>
        </w:rPr>
        <w:t xml:space="preserve"> </w:t>
      </w:r>
      <w:r w:rsidRPr="002606DB">
        <w:rPr>
          <w:b/>
        </w:rPr>
        <w:t>NO</w:t>
      </w:r>
      <w:r w:rsidRPr="002606DB">
        <w:rPr>
          <w:b/>
          <w:spacing w:val="-4"/>
        </w:rPr>
        <w:t xml:space="preserve"> </w:t>
      </w:r>
      <w:r w:rsidRPr="002606DB">
        <w:rPr>
          <w:b/>
        </w:rPr>
        <w:t>ACONDICIONAMENTO</w:t>
      </w:r>
      <w:r w:rsidRPr="002606DB">
        <w:rPr>
          <w:b/>
          <w:spacing w:val="-3"/>
        </w:rPr>
        <w:t xml:space="preserve"> </w:t>
      </w:r>
      <w:r w:rsidRPr="002606DB">
        <w:rPr>
          <w:b/>
          <w:spacing w:val="-2"/>
        </w:rPr>
        <w:t>SECUNDÁRIO</w:t>
      </w:r>
    </w:p>
    <w:p w14:paraId="5AEC86F5" w14:textId="77777777" w:rsidR="00162CE2" w:rsidRPr="002606DB" w:rsidRDefault="00162CE2" w:rsidP="003539B7">
      <w:pPr>
        <w:pStyle w:val="a3"/>
        <w:pBdr>
          <w:top w:val="single" w:sz="4" w:space="1" w:color="auto"/>
          <w:left w:val="single" w:sz="4" w:space="4" w:color="auto"/>
          <w:bottom w:val="single" w:sz="4" w:space="1" w:color="auto"/>
          <w:right w:val="single" w:sz="4" w:space="4" w:color="auto"/>
        </w:pBdr>
        <w:rPr>
          <w:b/>
          <w:sz w:val="21"/>
        </w:rPr>
      </w:pPr>
    </w:p>
    <w:p w14:paraId="3F023C25"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rPr>
        <w:t>EMBALAGEM</w:t>
      </w:r>
      <w:r w:rsidRPr="002606DB">
        <w:rPr>
          <w:b/>
          <w:spacing w:val="-9"/>
        </w:rPr>
        <w:t xml:space="preserve"> </w:t>
      </w:r>
      <w:r w:rsidRPr="002606DB">
        <w:rPr>
          <w:b/>
          <w:spacing w:val="-2"/>
        </w:rPr>
        <w:t>EXTERIOR</w:t>
      </w:r>
    </w:p>
    <w:p w14:paraId="53CA3ACC" w14:textId="77777777" w:rsidR="00162CE2" w:rsidRPr="002606DB" w:rsidRDefault="00162CE2" w:rsidP="003539B7">
      <w:pPr>
        <w:pStyle w:val="a3"/>
        <w:adjustRightInd w:val="0"/>
        <w:snapToGrid w:val="0"/>
        <w:rPr>
          <w:b/>
          <w:snapToGrid w:val="0"/>
          <w:lang w:val="pt-PT"/>
        </w:rPr>
      </w:pPr>
    </w:p>
    <w:p w14:paraId="103E7868" w14:textId="77777777" w:rsidR="00162CE2" w:rsidRPr="002606DB" w:rsidRDefault="00162CE2" w:rsidP="003539B7">
      <w:pPr>
        <w:pStyle w:val="a3"/>
        <w:adjustRightInd w:val="0"/>
        <w:snapToGrid w:val="0"/>
        <w:rPr>
          <w:b/>
          <w:snapToGrid w:val="0"/>
          <w:lang w:val="pt-PT"/>
        </w:rPr>
      </w:pPr>
    </w:p>
    <w:p w14:paraId="479DEE85"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1.</w:t>
      </w:r>
      <w:r w:rsidRPr="002606DB">
        <w:rPr>
          <w:b/>
        </w:rPr>
        <w:tab/>
        <w:t>NOME</w:t>
      </w:r>
      <w:r w:rsidRPr="002606DB">
        <w:rPr>
          <w:b/>
          <w:spacing w:val="4"/>
        </w:rPr>
        <w:t xml:space="preserve"> </w:t>
      </w:r>
      <w:r w:rsidRPr="002606DB">
        <w:rPr>
          <w:b/>
        </w:rPr>
        <w:t>DO</w:t>
      </w:r>
      <w:r w:rsidRPr="002606DB">
        <w:rPr>
          <w:b/>
          <w:spacing w:val="-12"/>
        </w:rPr>
        <w:t xml:space="preserve"> </w:t>
      </w:r>
      <w:r w:rsidRPr="002606DB">
        <w:rPr>
          <w:b/>
          <w:spacing w:val="-2"/>
        </w:rPr>
        <w:t>MEDICAMENTO</w:t>
      </w:r>
    </w:p>
    <w:p w14:paraId="10D43BC3" w14:textId="77777777" w:rsidR="00162CE2" w:rsidRPr="002606DB" w:rsidRDefault="00162CE2" w:rsidP="003539B7">
      <w:pPr>
        <w:pStyle w:val="a3"/>
        <w:adjustRightInd w:val="0"/>
        <w:snapToGrid w:val="0"/>
        <w:rPr>
          <w:b/>
          <w:snapToGrid w:val="0"/>
          <w:lang w:val="pt-PT"/>
        </w:rPr>
      </w:pPr>
    </w:p>
    <w:p w14:paraId="39055A58" w14:textId="60ED0A2D" w:rsidR="00162CE2" w:rsidRPr="002606DB" w:rsidRDefault="00FB2483" w:rsidP="003539B7">
      <w:pPr>
        <w:pStyle w:val="a3"/>
        <w:adjustRightInd w:val="0"/>
        <w:snapToGrid w:val="0"/>
        <w:rPr>
          <w:snapToGrid w:val="0"/>
          <w:lang w:val="pt-PT"/>
        </w:rPr>
      </w:pPr>
      <w:r>
        <w:rPr>
          <w:color w:val="000000"/>
          <w:lang w:val="en-GB" w:eastAsia="ko-KR"/>
        </w:rPr>
        <w:t>Vegzelma</w:t>
      </w:r>
      <w:r w:rsidR="00296E45">
        <w:rPr>
          <w:rFonts w:eastAsia="맑은 고딕" w:hint="eastAsia"/>
          <w:color w:val="000000"/>
          <w:lang w:val="en-GB" w:eastAsia="ko-KR"/>
        </w:rPr>
        <w:t xml:space="preserve"> </w:t>
      </w:r>
      <w:r w:rsidR="00162CE2" w:rsidRPr="002606DB">
        <w:rPr>
          <w:snapToGrid w:val="0"/>
          <w:lang w:val="pt-PT"/>
        </w:rPr>
        <w:t xml:space="preserve">25 mg/ml concentrado para solução para perfusão </w:t>
      </w:r>
    </w:p>
    <w:p w14:paraId="1D67A5C8" w14:textId="77777777" w:rsidR="00162CE2" w:rsidRPr="002606DB" w:rsidRDefault="00162CE2" w:rsidP="003539B7">
      <w:pPr>
        <w:pStyle w:val="a3"/>
        <w:adjustRightInd w:val="0"/>
        <w:snapToGrid w:val="0"/>
        <w:rPr>
          <w:snapToGrid w:val="0"/>
          <w:lang w:val="pt-PT"/>
        </w:rPr>
      </w:pPr>
      <w:r w:rsidRPr="002606DB">
        <w:rPr>
          <w:snapToGrid w:val="0"/>
          <w:lang w:val="pt-PT"/>
        </w:rPr>
        <w:t>bevacizumab</w:t>
      </w:r>
    </w:p>
    <w:p w14:paraId="2C4FABE5" w14:textId="77777777" w:rsidR="00162CE2" w:rsidRPr="002606DB" w:rsidRDefault="00162CE2" w:rsidP="003539B7">
      <w:pPr>
        <w:pStyle w:val="a3"/>
        <w:adjustRightInd w:val="0"/>
        <w:snapToGrid w:val="0"/>
        <w:rPr>
          <w:snapToGrid w:val="0"/>
          <w:lang w:val="pt-PT"/>
        </w:rPr>
      </w:pPr>
    </w:p>
    <w:p w14:paraId="0782398D" w14:textId="77777777" w:rsidR="00162CE2" w:rsidRPr="002606DB" w:rsidRDefault="00162CE2" w:rsidP="003539B7">
      <w:pPr>
        <w:pStyle w:val="a3"/>
        <w:adjustRightInd w:val="0"/>
        <w:snapToGrid w:val="0"/>
        <w:rPr>
          <w:snapToGrid w:val="0"/>
          <w:lang w:val="pt-PT"/>
        </w:rPr>
      </w:pPr>
    </w:p>
    <w:p w14:paraId="29E68308"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2.</w:t>
      </w:r>
      <w:r w:rsidRPr="002606DB">
        <w:rPr>
          <w:b/>
        </w:rPr>
        <w:tab/>
        <w:t>DESCRIÇÃO</w:t>
      </w:r>
      <w:r w:rsidRPr="002606DB">
        <w:rPr>
          <w:b/>
          <w:spacing w:val="-6"/>
        </w:rPr>
        <w:t xml:space="preserve"> </w:t>
      </w:r>
      <w:r w:rsidRPr="002606DB">
        <w:rPr>
          <w:b/>
        </w:rPr>
        <w:t>DA(S)</w:t>
      </w:r>
      <w:r w:rsidRPr="002606DB">
        <w:rPr>
          <w:b/>
          <w:spacing w:val="-6"/>
        </w:rPr>
        <w:t xml:space="preserve"> </w:t>
      </w:r>
      <w:r w:rsidRPr="002606DB">
        <w:rPr>
          <w:b/>
        </w:rPr>
        <w:t>SUBSTÂNCIA(S)</w:t>
      </w:r>
      <w:r w:rsidRPr="002606DB">
        <w:rPr>
          <w:b/>
          <w:spacing w:val="-7"/>
        </w:rPr>
        <w:t xml:space="preserve"> </w:t>
      </w:r>
      <w:r w:rsidRPr="002606DB">
        <w:rPr>
          <w:b/>
          <w:spacing w:val="-2"/>
        </w:rPr>
        <w:t>ATIVA(S)</w:t>
      </w:r>
    </w:p>
    <w:p w14:paraId="0B3D9536" w14:textId="77777777" w:rsidR="00162CE2" w:rsidRPr="002606DB" w:rsidRDefault="00162CE2" w:rsidP="003539B7">
      <w:pPr>
        <w:pStyle w:val="a3"/>
        <w:adjustRightInd w:val="0"/>
        <w:snapToGrid w:val="0"/>
        <w:rPr>
          <w:snapToGrid w:val="0"/>
          <w:lang w:val="pt-PT"/>
        </w:rPr>
      </w:pPr>
    </w:p>
    <w:p w14:paraId="54920126" w14:textId="178AE2FD" w:rsidR="00162CE2" w:rsidRPr="002606DB" w:rsidRDefault="00162CE2" w:rsidP="003539B7">
      <w:pPr>
        <w:pStyle w:val="a3"/>
        <w:adjustRightInd w:val="0"/>
        <w:snapToGrid w:val="0"/>
        <w:rPr>
          <w:snapToGrid w:val="0"/>
          <w:lang w:val="pt-PT"/>
        </w:rPr>
      </w:pPr>
      <w:r w:rsidRPr="002606DB">
        <w:rPr>
          <w:snapToGrid w:val="0"/>
          <w:lang w:val="pt-PT"/>
        </w:rPr>
        <w:t>Cada frasco para injetáveis contém 100 mg de bevacizumab em 4</w:t>
      </w:r>
      <w:r w:rsidR="00CB1CB6" w:rsidRPr="002606DB">
        <w:rPr>
          <w:snapToGrid w:val="0"/>
          <w:lang w:val="pt-PT"/>
        </w:rPr>
        <w:t> </w:t>
      </w:r>
      <w:r w:rsidRPr="002606DB">
        <w:rPr>
          <w:snapToGrid w:val="0"/>
          <w:lang w:val="pt-PT"/>
        </w:rPr>
        <w:t>ml de concentrado.</w:t>
      </w:r>
    </w:p>
    <w:p w14:paraId="0042E20E" w14:textId="77777777" w:rsidR="00162CE2" w:rsidRPr="002606DB" w:rsidRDefault="00162CE2" w:rsidP="003539B7">
      <w:pPr>
        <w:pStyle w:val="a3"/>
        <w:adjustRightInd w:val="0"/>
        <w:snapToGrid w:val="0"/>
        <w:rPr>
          <w:snapToGrid w:val="0"/>
          <w:lang w:val="pt-PT"/>
        </w:rPr>
      </w:pPr>
    </w:p>
    <w:p w14:paraId="20E6DEFF" w14:textId="77777777" w:rsidR="00162CE2" w:rsidRPr="002606DB" w:rsidRDefault="00162CE2" w:rsidP="003539B7">
      <w:pPr>
        <w:pStyle w:val="a3"/>
        <w:adjustRightInd w:val="0"/>
        <w:snapToGrid w:val="0"/>
        <w:rPr>
          <w:snapToGrid w:val="0"/>
          <w:lang w:val="pt-PT"/>
        </w:rPr>
      </w:pPr>
    </w:p>
    <w:p w14:paraId="5405A10C"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3.</w:t>
      </w:r>
      <w:r w:rsidRPr="007155C0">
        <w:rPr>
          <w:b/>
          <w:lang w:val="fr-CA"/>
        </w:rPr>
        <w:tab/>
        <w:t>LISTA</w:t>
      </w:r>
      <w:r w:rsidRPr="007155C0">
        <w:rPr>
          <w:b/>
          <w:spacing w:val="-4"/>
          <w:lang w:val="fr-CA"/>
        </w:rPr>
        <w:t xml:space="preserve"> </w:t>
      </w:r>
      <w:r w:rsidRPr="007155C0">
        <w:rPr>
          <w:b/>
          <w:lang w:val="fr-CA"/>
        </w:rPr>
        <w:t>DOS</w:t>
      </w:r>
      <w:r w:rsidRPr="007155C0">
        <w:rPr>
          <w:b/>
          <w:spacing w:val="-3"/>
          <w:lang w:val="fr-CA"/>
        </w:rPr>
        <w:t xml:space="preserve"> </w:t>
      </w:r>
      <w:r w:rsidRPr="007155C0">
        <w:rPr>
          <w:b/>
          <w:spacing w:val="-2"/>
          <w:lang w:val="fr-CA"/>
        </w:rPr>
        <w:t>EXCIPIENTES</w:t>
      </w:r>
    </w:p>
    <w:p w14:paraId="77002B5D" w14:textId="77777777" w:rsidR="00162CE2" w:rsidRPr="002606DB" w:rsidRDefault="00162CE2" w:rsidP="003539B7">
      <w:pPr>
        <w:pStyle w:val="a3"/>
        <w:adjustRightInd w:val="0"/>
        <w:snapToGrid w:val="0"/>
        <w:rPr>
          <w:snapToGrid w:val="0"/>
          <w:lang w:val="pt-PT"/>
        </w:rPr>
      </w:pPr>
    </w:p>
    <w:p w14:paraId="5C8C7F1A" w14:textId="77777777" w:rsidR="00162CE2" w:rsidRPr="002606DB" w:rsidRDefault="00162CE2" w:rsidP="003539B7">
      <w:pPr>
        <w:pStyle w:val="a3"/>
        <w:adjustRightInd w:val="0"/>
        <w:snapToGrid w:val="0"/>
        <w:rPr>
          <w:snapToGrid w:val="0"/>
          <w:lang w:val="pt-PT"/>
        </w:rPr>
      </w:pPr>
      <w:r w:rsidRPr="002606DB">
        <w:rPr>
          <w:snapToGrid w:val="0"/>
          <w:lang w:val="pt-PT"/>
        </w:rPr>
        <w:t>Trealose dihidratada, fosfato de sódio, polissorbato 20, água para preparações injetáveis.</w:t>
      </w:r>
    </w:p>
    <w:p w14:paraId="14F4ED14" w14:textId="77777777" w:rsidR="00162CE2" w:rsidRPr="002606DB" w:rsidRDefault="00162CE2" w:rsidP="003539B7">
      <w:pPr>
        <w:pStyle w:val="a3"/>
        <w:adjustRightInd w:val="0"/>
        <w:snapToGrid w:val="0"/>
        <w:rPr>
          <w:snapToGrid w:val="0"/>
          <w:lang w:val="pt-PT"/>
        </w:rPr>
      </w:pPr>
    </w:p>
    <w:p w14:paraId="1337C992" w14:textId="77777777" w:rsidR="00162CE2" w:rsidRPr="002606DB" w:rsidRDefault="00162CE2" w:rsidP="003539B7">
      <w:pPr>
        <w:pStyle w:val="a3"/>
        <w:adjustRightInd w:val="0"/>
        <w:snapToGrid w:val="0"/>
        <w:rPr>
          <w:snapToGrid w:val="0"/>
          <w:lang w:val="pt-PT"/>
        </w:rPr>
      </w:pPr>
    </w:p>
    <w:p w14:paraId="5E3CAD72"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4.</w:t>
      </w:r>
      <w:r w:rsidRPr="007155C0">
        <w:rPr>
          <w:b/>
          <w:lang w:val="fr-CA"/>
        </w:rPr>
        <w:tab/>
        <w:t>FORMA</w:t>
      </w:r>
      <w:r w:rsidRPr="007155C0">
        <w:rPr>
          <w:b/>
          <w:spacing w:val="-5"/>
          <w:lang w:val="fr-CA"/>
        </w:rPr>
        <w:t xml:space="preserve"> </w:t>
      </w:r>
      <w:r w:rsidRPr="007155C0">
        <w:rPr>
          <w:b/>
          <w:lang w:val="fr-CA"/>
        </w:rPr>
        <w:t>FARMACÊUTICA</w:t>
      </w:r>
      <w:r w:rsidRPr="007155C0">
        <w:rPr>
          <w:b/>
          <w:spacing w:val="-4"/>
          <w:lang w:val="fr-CA"/>
        </w:rPr>
        <w:t xml:space="preserve"> </w:t>
      </w:r>
      <w:r w:rsidRPr="007155C0">
        <w:rPr>
          <w:b/>
          <w:lang w:val="fr-CA"/>
        </w:rPr>
        <w:t>E</w:t>
      </w:r>
      <w:r w:rsidRPr="007155C0">
        <w:rPr>
          <w:b/>
          <w:spacing w:val="-6"/>
          <w:lang w:val="fr-CA"/>
        </w:rPr>
        <w:t xml:space="preserve"> </w:t>
      </w:r>
      <w:r w:rsidRPr="007155C0">
        <w:rPr>
          <w:b/>
          <w:spacing w:val="-2"/>
          <w:lang w:val="fr-CA"/>
        </w:rPr>
        <w:t>CONTEÚDO</w:t>
      </w:r>
    </w:p>
    <w:p w14:paraId="58D6CC39" w14:textId="77777777" w:rsidR="00162CE2" w:rsidRPr="002606DB" w:rsidRDefault="00162CE2" w:rsidP="003539B7">
      <w:pPr>
        <w:pStyle w:val="a3"/>
        <w:adjustRightInd w:val="0"/>
        <w:snapToGrid w:val="0"/>
        <w:rPr>
          <w:snapToGrid w:val="0"/>
          <w:lang w:val="pt-PT"/>
        </w:rPr>
      </w:pPr>
    </w:p>
    <w:p w14:paraId="4365906E" w14:textId="1E769FD0" w:rsidR="00162CE2" w:rsidRDefault="00162CE2" w:rsidP="003539B7">
      <w:pPr>
        <w:pStyle w:val="a3"/>
        <w:adjustRightInd w:val="0"/>
        <w:snapToGrid w:val="0"/>
        <w:rPr>
          <w:snapToGrid w:val="0"/>
          <w:shd w:val="pct15" w:color="auto" w:fill="FFFFFF"/>
          <w:lang w:val="pt-PT"/>
        </w:rPr>
      </w:pPr>
      <w:r w:rsidRPr="002606DB">
        <w:rPr>
          <w:snapToGrid w:val="0"/>
          <w:shd w:val="pct15" w:color="auto" w:fill="FFFFFF"/>
          <w:lang w:val="pt-PT"/>
        </w:rPr>
        <w:t>Concentrado para solução para perfusão</w:t>
      </w:r>
    </w:p>
    <w:p w14:paraId="2DB12A3C" w14:textId="77777777" w:rsidR="00AE5936" w:rsidRPr="002606DB" w:rsidRDefault="00AE5936" w:rsidP="003539B7">
      <w:pPr>
        <w:pStyle w:val="a3"/>
        <w:adjustRightInd w:val="0"/>
        <w:snapToGrid w:val="0"/>
        <w:rPr>
          <w:snapToGrid w:val="0"/>
          <w:shd w:val="pct15" w:color="auto" w:fill="FFFFFF"/>
          <w:lang w:val="pt-PT"/>
        </w:rPr>
      </w:pPr>
    </w:p>
    <w:p w14:paraId="2A62B11E" w14:textId="77777777" w:rsidR="00162CE2" w:rsidRPr="002606DB" w:rsidRDefault="00162CE2" w:rsidP="003539B7">
      <w:pPr>
        <w:pStyle w:val="a3"/>
        <w:adjustRightInd w:val="0"/>
        <w:snapToGrid w:val="0"/>
        <w:rPr>
          <w:snapToGrid w:val="0"/>
          <w:shd w:val="pct15" w:color="auto" w:fill="FFFFFF"/>
          <w:lang w:val="pt-PT"/>
        </w:rPr>
      </w:pPr>
      <w:r w:rsidRPr="002606DB">
        <w:rPr>
          <w:snapToGrid w:val="0"/>
          <w:lang w:val="pt-PT"/>
        </w:rPr>
        <w:t xml:space="preserve">1 frasco para injetáveis </w:t>
      </w:r>
      <w:r w:rsidRPr="002606DB">
        <w:rPr>
          <w:snapToGrid w:val="0"/>
          <w:shd w:val="pct15" w:color="auto" w:fill="FFFFFF"/>
          <w:lang w:val="pt-PT"/>
        </w:rPr>
        <w:t>de 4 ml</w:t>
      </w:r>
    </w:p>
    <w:p w14:paraId="322C8952" w14:textId="00AE17FE" w:rsidR="00162CE2" w:rsidRDefault="00162CE2" w:rsidP="003539B7">
      <w:pPr>
        <w:pStyle w:val="a3"/>
        <w:adjustRightInd w:val="0"/>
        <w:snapToGrid w:val="0"/>
        <w:rPr>
          <w:snapToGrid w:val="0"/>
          <w:shd w:val="pct15" w:color="auto" w:fill="FFFFFF"/>
          <w:lang w:val="pt-PT"/>
        </w:rPr>
      </w:pPr>
      <w:r w:rsidRPr="002606DB">
        <w:rPr>
          <w:snapToGrid w:val="0"/>
          <w:shd w:val="pct15" w:color="auto" w:fill="FFFFFF"/>
          <w:lang w:val="pt-PT"/>
        </w:rPr>
        <w:t>10 frascos para injetáveis de 4 ml</w:t>
      </w:r>
    </w:p>
    <w:p w14:paraId="31DB16BC" w14:textId="77777777" w:rsidR="00AE5936" w:rsidRPr="002606DB" w:rsidRDefault="00AE5936" w:rsidP="003539B7">
      <w:pPr>
        <w:pStyle w:val="a3"/>
        <w:adjustRightInd w:val="0"/>
        <w:snapToGrid w:val="0"/>
        <w:rPr>
          <w:snapToGrid w:val="0"/>
          <w:shd w:val="pct15" w:color="auto" w:fill="FFFFFF"/>
          <w:lang w:val="pt-PT"/>
        </w:rPr>
      </w:pPr>
    </w:p>
    <w:p w14:paraId="719CEF38" w14:textId="77777777" w:rsidR="00162CE2" w:rsidRPr="002606DB" w:rsidRDefault="00162CE2" w:rsidP="003539B7">
      <w:pPr>
        <w:pStyle w:val="a3"/>
        <w:adjustRightInd w:val="0"/>
        <w:snapToGrid w:val="0"/>
        <w:rPr>
          <w:snapToGrid w:val="0"/>
          <w:lang w:val="pt-PT"/>
        </w:rPr>
      </w:pPr>
      <w:r w:rsidRPr="002606DB">
        <w:rPr>
          <w:snapToGrid w:val="0"/>
          <w:lang w:val="pt-PT"/>
        </w:rPr>
        <w:t>100 mg/4 ml</w:t>
      </w:r>
    </w:p>
    <w:p w14:paraId="2C922EC8" w14:textId="77777777" w:rsidR="00162CE2" w:rsidRPr="002606DB" w:rsidRDefault="00162CE2" w:rsidP="003539B7">
      <w:pPr>
        <w:pStyle w:val="a3"/>
        <w:adjustRightInd w:val="0"/>
        <w:snapToGrid w:val="0"/>
        <w:rPr>
          <w:snapToGrid w:val="0"/>
          <w:lang w:val="pt-PT"/>
        </w:rPr>
      </w:pPr>
    </w:p>
    <w:p w14:paraId="7F1976CF" w14:textId="77777777" w:rsidR="00162CE2" w:rsidRPr="002606DB" w:rsidRDefault="00162CE2" w:rsidP="003539B7">
      <w:pPr>
        <w:pStyle w:val="a3"/>
        <w:adjustRightInd w:val="0"/>
        <w:snapToGrid w:val="0"/>
        <w:rPr>
          <w:snapToGrid w:val="0"/>
          <w:lang w:val="pt-PT"/>
        </w:rPr>
      </w:pPr>
    </w:p>
    <w:p w14:paraId="0EEFE055"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5.</w:t>
      </w:r>
      <w:r w:rsidRPr="007155C0">
        <w:rPr>
          <w:b/>
          <w:lang w:val="pt-PT"/>
        </w:rPr>
        <w:tab/>
        <w:t>MODO</w:t>
      </w:r>
      <w:r w:rsidRPr="007155C0">
        <w:rPr>
          <w:b/>
          <w:spacing w:val="-7"/>
          <w:lang w:val="pt-PT"/>
        </w:rPr>
        <w:t xml:space="preserve"> </w:t>
      </w:r>
      <w:r w:rsidRPr="007155C0">
        <w:rPr>
          <w:b/>
          <w:lang w:val="pt-PT"/>
        </w:rPr>
        <w:t>E</w:t>
      </w:r>
      <w:r w:rsidRPr="007155C0">
        <w:rPr>
          <w:b/>
          <w:spacing w:val="3"/>
          <w:lang w:val="pt-PT"/>
        </w:rPr>
        <w:t xml:space="preserve"> </w:t>
      </w:r>
      <w:r w:rsidRPr="007155C0">
        <w:rPr>
          <w:b/>
          <w:lang w:val="pt-PT"/>
        </w:rPr>
        <w:t>VIA(S)</w:t>
      </w:r>
      <w:r w:rsidRPr="007155C0">
        <w:rPr>
          <w:b/>
          <w:spacing w:val="-1"/>
          <w:lang w:val="pt-PT"/>
        </w:rPr>
        <w:t xml:space="preserve"> </w:t>
      </w:r>
      <w:r w:rsidRPr="007155C0">
        <w:rPr>
          <w:b/>
          <w:lang w:val="pt-PT"/>
        </w:rPr>
        <w:t>DE</w:t>
      </w:r>
      <w:r w:rsidRPr="007155C0">
        <w:rPr>
          <w:b/>
          <w:spacing w:val="-3"/>
          <w:lang w:val="pt-PT"/>
        </w:rPr>
        <w:t xml:space="preserve"> </w:t>
      </w:r>
      <w:r w:rsidRPr="007155C0">
        <w:rPr>
          <w:b/>
          <w:spacing w:val="-2"/>
          <w:lang w:val="pt-PT"/>
        </w:rPr>
        <w:t>ADMINISTRAÇÃO</w:t>
      </w:r>
    </w:p>
    <w:p w14:paraId="237DDD8B" w14:textId="77777777" w:rsidR="00162CE2" w:rsidRPr="002606DB" w:rsidRDefault="00162CE2" w:rsidP="003539B7">
      <w:pPr>
        <w:pStyle w:val="a3"/>
        <w:adjustRightInd w:val="0"/>
        <w:snapToGrid w:val="0"/>
        <w:rPr>
          <w:snapToGrid w:val="0"/>
          <w:lang w:val="pt-PT"/>
        </w:rPr>
      </w:pPr>
    </w:p>
    <w:p w14:paraId="132E0D6C" w14:textId="77777777" w:rsidR="00733F07" w:rsidRPr="002606DB" w:rsidRDefault="00162CE2" w:rsidP="003539B7">
      <w:pPr>
        <w:pStyle w:val="a3"/>
        <w:adjustRightInd w:val="0"/>
        <w:snapToGrid w:val="0"/>
        <w:rPr>
          <w:snapToGrid w:val="0"/>
          <w:lang w:val="pt-PT"/>
        </w:rPr>
      </w:pPr>
      <w:r w:rsidRPr="002606DB">
        <w:rPr>
          <w:snapToGrid w:val="0"/>
          <w:lang w:val="pt-PT"/>
        </w:rPr>
        <w:t xml:space="preserve">Para administração intravenosa após diluição </w:t>
      </w:r>
    </w:p>
    <w:p w14:paraId="2EA8EDF8" w14:textId="4A9A0E93" w:rsidR="00162CE2" w:rsidRPr="002606DB" w:rsidRDefault="00162CE2" w:rsidP="003539B7">
      <w:pPr>
        <w:pStyle w:val="a3"/>
        <w:adjustRightInd w:val="0"/>
        <w:snapToGrid w:val="0"/>
        <w:rPr>
          <w:snapToGrid w:val="0"/>
          <w:lang w:val="pt-PT"/>
        </w:rPr>
      </w:pPr>
      <w:r w:rsidRPr="002606DB">
        <w:rPr>
          <w:snapToGrid w:val="0"/>
          <w:lang w:val="pt-PT"/>
        </w:rPr>
        <w:t>Consultar o folheto informativo antes de utilizar</w:t>
      </w:r>
    </w:p>
    <w:p w14:paraId="21BE2015" w14:textId="77777777" w:rsidR="00162CE2" w:rsidRPr="002606DB" w:rsidRDefault="00162CE2" w:rsidP="003539B7">
      <w:pPr>
        <w:pStyle w:val="a3"/>
        <w:adjustRightInd w:val="0"/>
        <w:snapToGrid w:val="0"/>
        <w:rPr>
          <w:snapToGrid w:val="0"/>
          <w:lang w:val="pt-PT"/>
        </w:rPr>
      </w:pPr>
    </w:p>
    <w:p w14:paraId="15E18911" w14:textId="77777777" w:rsidR="00162CE2" w:rsidRPr="002606DB" w:rsidRDefault="00162CE2" w:rsidP="003539B7">
      <w:pPr>
        <w:pStyle w:val="a3"/>
        <w:adjustRightInd w:val="0"/>
        <w:snapToGrid w:val="0"/>
        <w:rPr>
          <w:snapToGrid w:val="0"/>
          <w:lang w:val="pt-PT"/>
        </w:rPr>
      </w:pPr>
    </w:p>
    <w:p w14:paraId="085416F0" w14:textId="77777777" w:rsidR="00162CE2" w:rsidRPr="007155C0" w:rsidRDefault="00162CE2" w:rsidP="003539B7">
      <w:pPr>
        <w:pBdr>
          <w:top w:val="single" w:sz="4" w:space="1" w:color="auto"/>
          <w:left w:val="single" w:sz="4" w:space="4" w:color="auto"/>
          <w:bottom w:val="single" w:sz="4" w:space="1" w:color="auto"/>
          <w:right w:val="single" w:sz="4" w:space="4" w:color="auto"/>
        </w:pBdr>
        <w:ind w:left="567" w:hanging="567"/>
        <w:rPr>
          <w:b/>
          <w:lang w:val="pt-PT"/>
        </w:rPr>
      </w:pPr>
      <w:r w:rsidRPr="007155C0">
        <w:rPr>
          <w:b/>
          <w:spacing w:val="-6"/>
          <w:lang w:val="pt-PT"/>
        </w:rPr>
        <w:t>6.</w:t>
      </w:r>
      <w:r w:rsidRPr="007155C0">
        <w:rPr>
          <w:b/>
          <w:lang w:val="pt-PT"/>
        </w:rPr>
        <w:tab/>
        <w:t>ADVERTÊNCIA</w:t>
      </w:r>
      <w:r w:rsidRPr="007155C0">
        <w:rPr>
          <w:b/>
          <w:spacing w:val="-9"/>
          <w:lang w:val="pt-PT"/>
        </w:rPr>
        <w:t xml:space="preserve"> </w:t>
      </w:r>
      <w:r w:rsidRPr="007155C0">
        <w:rPr>
          <w:b/>
          <w:lang w:val="pt-PT"/>
        </w:rPr>
        <w:t>ESPECIAL DE</w:t>
      </w:r>
      <w:r w:rsidRPr="007155C0">
        <w:rPr>
          <w:b/>
          <w:spacing w:val="-4"/>
          <w:lang w:val="pt-PT"/>
        </w:rPr>
        <w:t xml:space="preserve"> </w:t>
      </w:r>
      <w:r w:rsidRPr="007155C0">
        <w:rPr>
          <w:b/>
          <w:lang w:val="pt-PT"/>
        </w:rPr>
        <w:t>QUE</w:t>
      </w:r>
      <w:r w:rsidRPr="007155C0">
        <w:rPr>
          <w:b/>
          <w:spacing w:val="-4"/>
          <w:lang w:val="pt-PT"/>
        </w:rPr>
        <w:t xml:space="preserve"> </w:t>
      </w:r>
      <w:r w:rsidRPr="007155C0">
        <w:rPr>
          <w:b/>
          <w:lang w:val="pt-PT"/>
        </w:rPr>
        <w:t>O</w:t>
      </w:r>
      <w:r w:rsidRPr="007155C0">
        <w:rPr>
          <w:b/>
          <w:spacing w:val="-7"/>
          <w:lang w:val="pt-PT"/>
        </w:rPr>
        <w:t xml:space="preserve"> </w:t>
      </w:r>
      <w:r w:rsidRPr="007155C0">
        <w:rPr>
          <w:b/>
          <w:lang w:val="pt-PT"/>
        </w:rPr>
        <w:t>MEDICAMENTO</w:t>
      </w:r>
      <w:r w:rsidRPr="007155C0">
        <w:rPr>
          <w:b/>
          <w:spacing w:val="-7"/>
          <w:lang w:val="pt-PT"/>
        </w:rPr>
        <w:t xml:space="preserve"> </w:t>
      </w:r>
      <w:r w:rsidRPr="007155C0">
        <w:rPr>
          <w:b/>
          <w:lang w:val="pt-PT"/>
        </w:rPr>
        <w:t>DEVE SER</w:t>
      </w:r>
      <w:r w:rsidRPr="007155C0">
        <w:rPr>
          <w:b/>
          <w:spacing w:val="-9"/>
          <w:lang w:val="pt-PT"/>
        </w:rPr>
        <w:t xml:space="preserve"> </w:t>
      </w:r>
      <w:r w:rsidRPr="007155C0">
        <w:rPr>
          <w:b/>
          <w:lang w:val="pt-PT"/>
        </w:rPr>
        <w:t>MANTIDO FORA DA VISTA E DO ALCANCE DAS CRIANÇAS</w:t>
      </w:r>
    </w:p>
    <w:p w14:paraId="1D00ACC9" w14:textId="77777777" w:rsidR="00162CE2" w:rsidRPr="002606DB" w:rsidRDefault="00162CE2" w:rsidP="003539B7">
      <w:pPr>
        <w:pStyle w:val="a3"/>
        <w:adjustRightInd w:val="0"/>
        <w:snapToGrid w:val="0"/>
        <w:rPr>
          <w:snapToGrid w:val="0"/>
          <w:lang w:val="pt-PT"/>
        </w:rPr>
      </w:pPr>
    </w:p>
    <w:p w14:paraId="3DF16C51" w14:textId="77777777" w:rsidR="00162CE2" w:rsidRPr="002606DB" w:rsidRDefault="00162CE2" w:rsidP="003539B7">
      <w:pPr>
        <w:pStyle w:val="a3"/>
        <w:adjustRightInd w:val="0"/>
        <w:snapToGrid w:val="0"/>
        <w:rPr>
          <w:snapToGrid w:val="0"/>
          <w:lang w:val="pt-PT"/>
        </w:rPr>
      </w:pPr>
      <w:r w:rsidRPr="002606DB">
        <w:rPr>
          <w:snapToGrid w:val="0"/>
          <w:lang w:val="pt-PT"/>
        </w:rPr>
        <w:t>Manter fora da vista e do alcance das crianças</w:t>
      </w:r>
    </w:p>
    <w:p w14:paraId="71D53C56" w14:textId="77777777" w:rsidR="00162CE2" w:rsidRPr="002606DB" w:rsidRDefault="00162CE2" w:rsidP="003539B7">
      <w:pPr>
        <w:pStyle w:val="a3"/>
        <w:adjustRightInd w:val="0"/>
        <w:snapToGrid w:val="0"/>
        <w:rPr>
          <w:snapToGrid w:val="0"/>
          <w:lang w:val="pt-PT"/>
        </w:rPr>
      </w:pPr>
    </w:p>
    <w:p w14:paraId="1C789213" w14:textId="77777777" w:rsidR="00162CE2" w:rsidRPr="002606DB" w:rsidRDefault="00162CE2" w:rsidP="003539B7">
      <w:pPr>
        <w:pStyle w:val="a3"/>
        <w:adjustRightInd w:val="0"/>
        <w:snapToGrid w:val="0"/>
        <w:rPr>
          <w:snapToGrid w:val="0"/>
          <w:lang w:val="pt-PT"/>
        </w:rPr>
      </w:pPr>
    </w:p>
    <w:p w14:paraId="5888ACDB"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7.</w:t>
      </w:r>
      <w:r w:rsidRPr="007155C0">
        <w:rPr>
          <w:b/>
          <w:lang w:val="fr-CA"/>
        </w:rPr>
        <w:tab/>
        <w:t>OUTRAS</w:t>
      </w:r>
      <w:r w:rsidRPr="007155C0">
        <w:rPr>
          <w:b/>
          <w:spacing w:val="-6"/>
          <w:lang w:val="fr-CA"/>
        </w:rPr>
        <w:t xml:space="preserve"> </w:t>
      </w:r>
      <w:r w:rsidRPr="007155C0">
        <w:rPr>
          <w:b/>
          <w:lang w:val="fr-CA"/>
        </w:rPr>
        <w:t>ADVERTÊNCIAS</w:t>
      </w:r>
      <w:r w:rsidRPr="007155C0">
        <w:rPr>
          <w:b/>
          <w:spacing w:val="-11"/>
          <w:lang w:val="fr-CA"/>
        </w:rPr>
        <w:t xml:space="preserve"> </w:t>
      </w:r>
      <w:r w:rsidRPr="007155C0">
        <w:rPr>
          <w:b/>
          <w:lang w:val="fr-CA"/>
        </w:rPr>
        <w:t>ESPECIAIS,</w:t>
      </w:r>
      <w:r w:rsidRPr="007155C0">
        <w:rPr>
          <w:b/>
          <w:spacing w:val="-1"/>
          <w:lang w:val="fr-CA"/>
        </w:rPr>
        <w:t xml:space="preserve"> </w:t>
      </w:r>
      <w:r w:rsidRPr="007155C0">
        <w:rPr>
          <w:b/>
          <w:lang w:val="fr-CA"/>
        </w:rPr>
        <w:t>SE</w:t>
      </w:r>
      <w:r w:rsidRPr="007155C0">
        <w:rPr>
          <w:b/>
          <w:spacing w:val="-2"/>
          <w:lang w:val="fr-CA"/>
        </w:rPr>
        <w:t xml:space="preserve"> NECESSÁRIO</w:t>
      </w:r>
    </w:p>
    <w:p w14:paraId="21B4F054" w14:textId="77777777" w:rsidR="00162CE2" w:rsidRPr="002606DB" w:rsidRDefault="00162CE2" w:rsidP="003539B7">
      <w:pPr>
        <w:pStyle w:val="a3"/>
        <w:adjustRightInd w:val="0"/>
        <w:snapToGrid w:val="0"/>
        <w:rPr>
          <w:snapToGrid w:val="0"/>
          <w:lang w:val="pt-PT"/>
        </w:rPr>
      </w:pPr>
    </w:p>
    <w:p w14:paraId="35747D97" w14:textId="77777777" w:rsidR="00162CE2" w:rsidRPr="002606DB" w:rsidRDefault="00162CE2" w:rsidP="003539B7">
      <w:pPr>
        <w:pStyle w:val="a3"/>
        <w:adjustRightInd w:val="0"/>
        <w:snapToGrid w:val="0"/>
        <w:rPr>
          <w:snapToGrid w:val="0"/>
          <w:lang w:val="pt-PT"/>
        </w:rPr>
      </w:pPr>
    </w:p>
    <w:p w14:paraId="5102E7BD"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8.</w:t>
      </w:r>
      <w:r w:rsidRPr="007155C0">
        <w:rPr>
          <w:b/>
          <w:lang w:val="fr-CA"/>
        </w:rPr>
        <w:tab/>
        <w:t>PRAZO</w:t>
      </w:r>
      <w:r w:rsidRPr="007155C0">
        <w:rPr>
          <w:b/>
          <w:spacing w:val="-1"/>
          <w:lang w:val="fr-CA"/>
        </w:rPr>
        <w:t xml:space="preserve"> </w:t>
      </w:r>
      <w:r w:rsidRPr="007155C0">
        <w:rPr>
          <w:b/>
          <w:lang w:val="fr-CA"/>
        </w:rPr>
        <w:t>DE</w:t>
      </w:r>
      <w:r w:rsidRPr="007155C0">
        <w:rPr>
          <w:b/>
          <w:spacing w:val="2"/>
          <w:lang w:val="fr-CA"/>
        </w:rPr>
        <w:t xml:space="preserve"> </w:t>
      </w:r>
      <w:r w:rsidRPr="007155C0">
        <w:rPr>
          <w:b/>
          <w:spacing w:val="-2"/>
          <w:lang w:val="fr-CA"/>
        </w:rPr>
        <w:t>VALIDADE</w:t>
      </w:r>
    </w:p>
    <w:p w14:paraId="77812E59" w14:textId="77777777" w:rsidR="00162CE2" w:rsidRPr="002606DB" w:rsidRDefault="00162CE2" w:rsidP="003539B7">
      <w:pPr>
        <w:pStyle w:val="a3"/>
        <w:adjustRightInd w:val="0"/>
        <w:snapToGrid w:val="0"/>
        <w:rPr>
          <w:snapToGrid w:val="0"/>
          <w:lang w:val="pt-PT"/>
        </w:rPr>
      </w:pPr>
    </w:p>
    <w:p w14:paraId="31DC13BB" w14:textId="77777777" w:rsidR="00162CE2" w:rsidRPr="002606DB" w:rsidRDefault="00162CE2" w:rsidP="003539B7">
      <w:pPr>
        <w:pStyle w:val="a3"/>
        <w:adjustRightInd w:val="0"/>
        <w:snapToGrid w:val="0"/>
        <w:rPr>
          <w:snapToGrid w:val="0"/>
          <w:lang w:val="pt-PT"/>
        </w:rPr>
      </w:pPr>
      <w:r w:rsidRPr="002606DB">
        <w:rPr>
          <w:snapToGrid w:val="0"/>
          <w:lang w:val="pt-PT"/>
        </w:rPr>
        <w:t>VAL.</w:t>
      </w:r>
    </w:p>
    <w:p w14:paraId="527D1ED0" w14:textId="77777777" w:rsidR="00162CE2" w:rsidRPr="002606DB" w:rsidRDefault="00162CE2" w:rsidP="00D60086">
      <w:pPr>
        <w:pStyle w:val="a3"/>
        <w:adjustRightInd w:val="0"/>
        <w:snapToGrid w:val="0"/>
        <w:rPr>
          <w:snapToGrid w:val="0"/>
          <w:lang w:val="pt-PT"/>
        </w:rPr>
      </w:pPr>
    </w:p>
    <w:p w14:paraId="2513FFA2" w14:textId="77777777" w:rsidR="00162CE2" w:rsidRPr="002606DB" w:rsidRDefault="00162CE2" w:rsidP="003539B7">
      <w:pPr>
        <w:adjustRightInd w:val="0"/>
        <w:snapToGrid w:val="0"/>
        <w:rPr>
          <w:snapToGrid w:val="0"/>
          <w:lang w:val="pt-PT"/>
        </w:rPr>
      </w:pPr>
    </w:p>
    <w:p w14:paraId="0B42BD2D"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9.</w:t>
      </w:r>
      <w:r w:rsidRPr="007155C0">
        <w:rPr>
          <w:b/>
          <w:lang w:val="fr-CA"/>
        </w:rPr>
        <w:tab/>
        <w:t>CONDIÇÕES</w:t>
      </w:r>
      <w:r w:rsidRPr="007155C0">
        <w:rPr>
          <w:b/>
          <w:spacing w:val="-12"/>
          <w:lang w:val="fr-CA"/>
        </w:rPr>
        <w:t xml:space="preserve"> </w:t>
      </w:r>
      <w:r w:rsidRPr="007155C0">
        <w:rPr>
          <w:b/>
          <w:lang w:val="fr-CA"/>
        </w:rPr>
        <w:t>ESPECIAIS</w:t>
      </w:r>
      <w:r w:rsidRPr="007155C0">
        <w:rPr>
          <w:b/>
          <w:spacing w:val="-3"/>
          <w:lang w:val="fr-CA"/>
        </w:rPr>
        <w:t xml:space="preserve"> </w:t>
      </w:r>
      <w:r w:rsidRPr="007155C0">
        <w:rPr>
          <w:b/>
          <w:lang w:val="fr-CA"/>
        </w:rPr>
        <w:t>DE</w:t>
      </w:r>
      <w:r w:rsidRPr="007155C0">
        <w:rPr>
          <w:b/>
          <w:spacing w:val="2"/>
          <w:lang w:val="fr-CA"/>
        </w:rPr>
        <w:t xml:space="preserve"> </w:t>
      </w:r>
      <w:r w:rsidRPr="007155C0">
        <w:rPr>
          <w:b/>
          <w:spacing w:val="-2"/>
          <w:lang w:val="fr-CA"/>
        </w:rPr>
        <w:t>CONSERVAÇÃO</w:t>
      </w:r>
    </w:p>
    <w:p w14:paraId="1A601A3A" w14:textId="77777777" w:rsidR="00162CE2" w:rsidRPr="002606DB" w:rsidRDefault="00162CE2" w:rsidP="003539B7">
      <w:pPr>
        <w:pStyle w:val="a3"/>
        <w:adjustRightInd w:val="0"/>
        <w:snapToGrid w:val="0"/>
        <w:rPr>
          <w:snapToGrid w:val="0"/>
          <w:lang w:val="pt-PT"/>
        </w:rPr>
      </w:pPr>
    </w:p>
    <w:p w14:paraId="0A10D032" w14:textId="1342F4F1" w:rsidR="00CB1CB6" w:rsidRPr="002606DB" w:rsidRDefault="00162CE2" w:rsidP="003539B7">
      <w:pPr>
        <w:pStyle w:val="a3"/>
        <w:adjustRightInd w:val="0"/>
        <w:snapToGrid w:val="0"/>
        <w:rPr>
          <w:snapToGrid w:val="0"/>
          <w:lang w:val="pt-PT"/>
        </w:rPr>
      </w:pPr>
      <w:r w:rsidRPr="002606DB">
        <w:rPr>
          <w:snapToGrid w:val="0"/>
          <w:lang w:val="pt-PT"/>
        </w:rPr>
        <w:t>Conservar no frigorífico (2ºC-8ºC)</w:t>
      </w:r>
    </w:p>
    <w:p w14:paraId="73DAE35B" w14:textId="70FF37E9" w:rsidR="00162CE2" w:rsidRPr="002606DB" w:rsidRDefault="00162CE2" w:rsidP="003539B7">
      <w:pPr>
        <w:pStyle w:val="a3"/>
        <w:adjustRightInd w:val="0"/>
        <w:snapToGrid w:val="0"/>
        <w:rPr>
          <w:snapToGrid w:val="0"/>
          <w:lang w:val="pt-PT"/>
        </w:rPr>
      </w:pPr>
      <w:r w:rsidRPr="002606DB">
        <w:rPr>
          <w:snapToGrid w:val="0"/>
          <w:lang w:val="pt-PT"/>
        </w:rPr>
        <w:t>Não congelar</w:t>
      </w:r>
    </w:p>
    <w:p w14:paraId="2F51146B" w14:textId="77777777" w:rsidR="00162CE2" w:rsidRPr="002606DB" w:rsidRDefault="00162CE2" w:rsidP="003539B7">
      <w:pPr>
        <w:pStyle w:val="a3"/>
        <w:adjustRightInd w:val="0"/>
        <w:snapToGrid w:val="0"/>
        <w:rPr>
          <w:snapToGrid w:val="0"/>
          <w:lang w:val="pt-PT"/>
        </w:rPr>
      </w:pPr>
      <w:r w:rsidRPr="002606DB">
        <w:rPr>
          <w:snapToGrid w:val="0"/>
          <w:lang w:val="pt-PT"/>
        </w:rPr>
        <w:lastRenderedPageBreak/>
        <w:t>Manter o frasco para injetáveis dentro da embalagem exterior para proteger da luz.</w:t>
      </w:r>
    </w:p>
    <w:p w14:paraId="5489182C" w14:textId="77777777" w:rsidR="00162CE2" w:rsidRPr="002606DB" w:rsidRDefault="00162CE2" w:rsidP="003539B7">
      <w:pPr>
        <w:pStyle w:val="a3"/>
        <w:adjustRightInd w:val="0"/>
        <w:snapToGrid w:val="0"/>
        <w:rPr>
          <w:snapToGrid w:val="0"/>
          <w:lang w:val="pt-PT"/>
        </w:rPr>
      </w:pPr>
    </w:p>
    <w:p w14:paraId="2A713EE1" w14:textId="77777777" w:rsidR="00162CE2" w:rsidRPr="002606DB" w:rsidRDefault="00162CE2" w:rsidP="003539B7">
      <w:pPr>
        <w:pStyle w:val="a3"/>
        <w:adjustRightInd w:val="0"/>
        <w:snapToGrid w:val="0"/>
        <w:rPr>
          <w:snapToGrid w:val="0"/>
          <w:lang w:val="pt-PT"/>
        </w:rPr>
      </w:pPr>
    </w:p>
    <w:p w14:paraId="558610FC" w14:textId="77777777" w:rsidR="00162CE2" w:rsidRPr="007155C0" w:rsidRDefault="00162CE2" w:rsidP="00032FC9">
      <w:pPr>
        <w:keepNext/>
        <w:keepLines/>
        <w:pBdr>
          <w:top w:val="single" w:sz="4" w:space="1" w:color="auto"/>
          <w:left w:val="single" w:sz="4" w:space="4" w:color="auto"/>
          <w:bottom w:val="single" w:sz="4" w:space="1" w:color="auto"/>
          <w:right w:val="single" w:sz="4" w:space="4" w:color="auto"/>
        </w:pBdr>
        <w:ind w:left="567" w:hanging="567"/>
        <w:rPr>
          <w:b/>
          <w:lang w:val="pt-PT"/>
        </w:rPr>
      </w:pPr>
      <w:r w:rsidRPr="007155C0">
        <w:rPr>
          <w:b/>
          <w:spacing w:val="-4"/>
          <w:lang w:val="pt-PT"/>
        </w:rPr>
        <w:t>10.</w:t>
      </w:r>
      <w:r w:rsidRPr="007155C0">
        <w:rPr>
          <w:b/>
          <w:lang w:val="pt-PT"/>
        </w:rPr>
        <w:tab/>
        <w:t>CUIDADOS ESPECIAIS QUANTO À ELIMINAÇÃO DO MEDICAMENTO NÃO UTILIZADO</w:t>
      </w:r>
      <w:r w:rsidRPr="007155C0">
        <w:rPr>
          <w:b/>
          <w:spacing w:val="-6"/>
          <w:lang w:val="pt-PT"/>
        </w:rPr>
        <w:t xml:space="preserve"> </w:t>
      </w:r>
      <w:r w:rsidRPr="007155C0">
        <w:rPr>
          <w:b/>
          <w:lang w:val="pt-PT"/>
        </w:rPr>
        <w:t>OU</w:t>
      </w:r>
      <w:r w:rsidRPr="007155C0">
        <w:rPr>
          <w:b/>
          <w:spacing w:val="-1"/>
          <w:lang w:val="pt-PT"/>
        </w:rPr>
        <w:t xml:space="preserve"> </w:t>
      </w:r>
      <w:r w:rsidRPr="007155C0">
        <w:rPr>
          <w:b/>
          <w:lang w:val="pt-PT"/>
        </w:rPr>
        <w:t>DOS</w:t>
      </w:r>
      <w:r w:rsidRPr="007155C0">
        <w:rPr>
          <w:b/>
          <w:spacing w:val="-7"/>
          <w:lang w:val="pt-PT"/>
        </w:rPr>
        <w:t xml:space="preserve"> </w:t>
      </w:r>
      <w:r w:rsidRPr="007155C0">
        <w:rPr>
          <w:b/>
          <w:lang w:val="pt-PT"/>
        </w:rPr>
        <w:t>RESÍDUOS</w:t>
      </w:r>
      <w:r w:rsidRPr="007155C0">
        <w:rPr>
          <w:b/>
          <w:spacing w:val="-7"/>
          <w:lang w:val="pt-PT"/>
        </w:rPr>
        <w:t xml:space="preserve"> </w:t>
      </w:r>
      <w:r w:rsidRPr="007155C0">
        <w:rPr>
          <w:b/>
          <w:lang w:val="pt-PT"/>
        </w:rPr>
        <w:t>PROVENIENTES DESSE</w:t>
      </w:r>
      <w:r w:rsidRPr="007155C0">
        <w:rPr>
          <w:b/>
          <w:spacing w:val="-10"/>
          <w:lang w:val="pt-PT"/>
        </w:rPr>
        <w:t xml:space="preserve"> </w:t>
      </w:r>
      <w:r w:rsidRPr="007155C0">
        <w:rPr>
          <w:b/>
          <w:lang w:val="pt-PT"/>
        </w:rPr>
        <w:t>MEDICAMENTO,</w:t>
      </w:r>
      <w:r w:rsidRPr="007155C0">
        <w:rPr>
          <w:b/>
          <w:spacing w:val="-3"/>
          <w:lang w:val="pt-PT"/>
        </w:rPr>
        <w:t xml:space="preserve"> </w:t>
      </w:r>
      <w:r w:rsidRPr="007155C0">
        <w:rPr>
          <w:b/>
          <w:lang w:val="pt-PT"/>
        </w:rPr>
        <w:t xml:space="preserve">SE </w:t>
      </w:r>
      <w:r w:rsidRPr="007155C0">
        <w:rPr>
          <w:b/>
          <w:spacing w:val="-2"/>
          <w:lang w:val="pt-PT"/>
        </w:rPr>
        <w:t>APLICÁVEL</w:t>
      </w:r>
    </w:p>
    <w:p w14:paraId="134665D2" w14:textId="77777777" w:rsidR="00162CE2" w:rsidRPr="002606DB" w:rsidRDefault="00162CE2" w:rsidP="003539B7">
      <w:pPr>
        <w:pStyle w:val="a3"/>
        <w:adjustRightInd w:val="0"/>
        <w:snapToGrid w:val="0"/>
        <w:rPr>
          <w:snapToGrid w:val="0"/>
          <w:lang w:val="pt-PT"/>
        </w:rPr>
      </w:pPr>
    </w:p>
    <w:p w14:paraId="0EBCEDB4" w14:textId="77777777" w:rsidR="00162CE2" w:rsidRPr="002606DB" w:rsidRDefault="00162CE2" w:rsidP="003539B7">
      <w:pPr>
        <w:pStyle w:val="a3"/>
        <w:adjustRightInd w:val="0"/>
        <w:snapToGrid w:val="0"/>
        <w:rPr>
          <w:snapToGrid w:val="0"/>
          <w:lang w:val="pt-PT"/>
        </w:rPr>
      </w:pPr>
    </w:p>
    <w:p w14:paraId="00F7BFA7" w14:textId="77777777" w:rsidR="00162CE2" w:rsidRPr="002606DB" w:rsidRDefault="00162CE2" w:rsidP="00032FC9">
      <w:pPr>
        <w:pBdr>
          <w:top w:val="single" w:sz="4" w:space="1" w:color="auto"/>
          <w:left w:val="single" w:sz="4" w:space="4" w:color="auto"/>
          <w:bottom w:val="single" w:sz="4" w:space="1" w:color="auto"/>
          <w:right w:val="single" w:sz="4" w:space="4" w:color="auto"/>
        </w:pBdr>
        <w:ind w:left="567" w:hanging="567"/>
        <w:rPr>
          <w:b/>
        </w:rPr>
      </w:pPr>
      <w:r w:rsidRPr="002606DB">
        <w:rPr>
          <w:b/>
          <w:spacing w:val="-4"/>
        </w:rPr>
        <w:t>11.</w:t>
      </w:r>
      <w:r w:rsidRPr="002606DB">
        <w:rPr>
          <w:b/>
        </w:rPr>
        <w:tab/>
        <w:t>NOME</w:t>
      </w:r>
      <w:r w:rsidRPr="002606DB">
        <w:rPr>
          <w:b/>
          <w:spacing w:val="-6"/>
        </w:rPr>
        <w:t xml:space="preserve"> </w:t>
      </w:r>
      <w:r w:rsidRPr="002606DB">
        <w:rPr>
          <w:b/>
        </w:rPr>
        <w:t>E</w:t>
      </w:r>
      <w:r w:rsidRPr="002606DB">
        <w:rPr>
          <w:b/>
          <w:spacing w:val="-6"/>
        </w:rPr>
        <w:t xml:space="preserve"> </w:t>
      </w:r>
      <w:r w:rsidRPr="002606DB">
        <w:rPr>
          <w:b/>
        </w:rPr>
        <w:t>ENDEREÇO</w:t>
      </w:r>
      <w:r w:rsidRPr="002606DB">
        <w:rPr>
          <w:b/>
          <w:spacing w:val="-9"/>
        </w:rPr>
        <w:t xml:space="preserve"> </w:t>
      </w:r>
      <w:r w:rsidRPr="002606DB">
        <w:rPr>
          <w:b/>
        </w:rPr>
        <w:t>DO</w:t>
      </w:r>
      <w:r w:rsidRPr="002606DB">
        <w:rPr>
          <w:b/>
          <w:spacing w:val="-9"/>
        </w:rPr>
        <w:t xml:space="preserve"> </w:t>
      </w:r>
      <w:r w:rsidRPr="002606DB">
        <w:rPr>
          <w:b/>
        </w:rPr>
        <w:t>TITULAR</w:t>
      </w:r>
      <w:r w:rsidRPr="002606DB">
        <w:rPr>
          <w:b/>
          <w:spacing w:val="-4"/>
        </w:rPr>
        <w:t xml:space="preserve"> </w:t>
      </w:r>
      <w:r w:rsidRPr="002606DB">
        <w:rPr>
          <w:b/>
        </w:rPr>
        <w:t>DA</w:t>
      </w:r>
      <w:r w:rsidRPr="002606DB">
        <w:rPr>
          <w:b/>
          <w:spacing w:val="-4"/>
        </w:rPr>
        <w:t xml:space="preserve"> </w:t>
      </w:r>
      <w:r w:rsidRPr="002606DB">
        <w:rPr>
          <w:b/>
        </w:rPr>
        <w:t>AUTORIZAÇÃO</w:t>
      </w:r>
      <w:r w:rsidRPr="002606DB">
        <w:rPr>
          <w:b/>
          <w:spacing w:val="-2"/>
        </w:rPr>
        <w:t xml:space="preserve"> </w:t>
      </w:r>
      <w:r w:rsidRPr="002606DB">
        <w:rPr>
          <w:b/>
        </w:rPr>
        <w:t>DE INTRODUÇÃO</w:t>
      </w:r>
      <w:r w:rsidRPr="002606DB">
        <w:rPr>
          <w:b/>
          <w:spacing w:val="-2"/>
        </w:rPr>
        <w:t xml:space="preserve"> </w:t>
      </w:r>
      <w:r w:rsidRPr="002606DB">
        <w:rPr>
          <w:b/>
        </w:rPr>
        <w:t xml:space="preserve">NO </w:t>
      </w:r>
      <w:r w:rsidRPr="002606DB">
        <w:rPr>
          <w:b/>
          <w:spacing w:val="-2"/>
        </w:rPr>
        <w:t>MERCADO</w:t>
      </w:r>
    </w:p>
    <w:p w14:paraId="3B80120E" w14:textId="77777777" w:rsidR="00162CE2" w:rsidRPr="002606DB" w:rsidRDefault="00162CE2" w:rsidP="003539B7">
      <w:pPr>
        <w:pStyle w:val="a3"/>
        <w:adjustRightInd w:val="0"/>
        <w:snapToGrid w:val="0"/>
        <w:rPr>
          <w:snapToGrid w:val="0"/>
          <w:lang w:val="pt-PT"/>
        </w:rPr>
      </w:pPr>
    </w:p>
    <w:p w14:paraId="56AA73D0" w14:textId="77777777" w:rsidR="00A91F98" w:rsidRPr="002606DB" w:rsidRDefault="00A91F98" w:rsidP="00A91F98">
      <w:pPr>
        <w:widowControl/>
        <w:adjustRightInd w:val="0"/>
        <w:snapToGrid w:val="0"/>
        <w:rPr>
          <w:color w:val="000000"/>
          <w:lang w:val="en-GB" w:eastAsia="ko-KR"/>
        </w:rPr>
      </w:pPr>
      <w:r w:rsidRPr="002606DB">
        <w:rPr>
          <w:color w:val="000000"/>
          <w:lang w:val="en-GB" w:eastAsia="ko-KR"/>
        </w:rPr>
        <w:t xml:space="preserve">Celltrion Healthcare Hungary Kft. </w:t>
      </w:r>
    </w:p>
    <w:p w14:paraId="6429DE15" w14:textId="77777777" w:rsidR="00A91F98" w:rsidRPr="002606DB" w:rsidRDefault="00A91F98" w:rsidP="00A91F98">
      <w:pPr>
        <w:widowControl/>
        <w:adjustRightInd w:val="0"/>
        <w:snapToGrid w:val="0"/>
        <w:rPr>
          <w:color w:val="000000"/>
          <w:lang w:val="en-GB" w:eastAsia="ko-KR"/>
        </w:rPr>
      </w:pPr>
      <w:r w:rsidRPr="002606DB">
        <w:rPr>
          <w:rFonts w:eastAsia="바탕"/>
          <w:color w:val="000000"/>
          <w:lang w:val="en-GB"/>
        </w:rPr>
        <w:t xml:space="preserve">1062 </w:t>
      </w:r>
      <w:r w:rsidRPr="002606DB">
        <w:rPr>
          <w:color w:val="000000"/>
          <w:lang w:val="en-GB" w:eastAsia="ko-KR"/>
        </w:rPr>
        <w:t>Budapest</w:t>
      </w:r>
    </w:p>
    <w:p w14:paraId="3539BE92" w14:textId="77777777" w:rsidR="00A91F98" w:rsidRPr="002606DB" w:rsidRDefault="00A91F98" w:rsidP="00A91F98">
      <w:pPr>
        <w:widowControl/>
        <w:adjustRightInd w:val="0"/>
        <w:snapToGrid w:val="0"/>
        <w:rPr>
          <w:rFonts w:eastAsia="바탕"/>
          <w:color w:val="000000"/>
          <w:lang w:val="en-GB"/>
        </w:rPr>
      </w:pPr>
      <w:r w:rsidRPr="002606DB">
        <w:rPr>
          <w:rFonts w:eastAsia="바탕"/>
          <w:color w:val="000000"/>
          <w:lang w:val="en-GB"/>
        </w:rPr>
        <w:t xml:space="preserve">Váci </w:t>
      </w:r>
      <w:proofErr w:type="spellStart"/>
      <w:r w:rsidRPr="002606DB">
        <w:rPr>
          <w:rFonts w:eastAsia="바탕"/>
          <w:color w:val="000000"/>
          <w:lang w:val="en-GB"/>
        </w:rPr>
        <w:t>út</w:t>
      </w:r>
      <w:proofErr w:type="spellEnd"/>
      <w:r w:rsidRPr="002606DB">
        <w:rPr>
          <w:rFonts w:eastAsia="바탕"/>
          <w:color w:val="000000"/>
          <w:lang w:val="en-GB"/>
        </w:rPr>
        <w:t xml:space="preserve"> 1-3. </w:t>
      </w:r>
      <w:proofErr w:type="spellStart"/>
      <w:r w:rsidRPr="002606DB">
        <w:rPr>
          <w:rFonts w:eastAsia="바탕"/>
          <w:color w:val="000000"/>
          <w:lang w:val="en-GB"/>
        </w:rPr>
        <w:t>WestEnd</w:t>
      </w:r>
      <w:proofErr w:type="spellEnd"/>
      <w:r w:rsidRPr="002606DB">
        <w:rPr>
          <w:rFonts w:eastAsia="바탕"/>
          <w:color w:val="000000"/>
          <w:lang w:val="en-GB"/>
        </w:rPr>
        <w:t xml:space="preserve"> Office Building B </w:t>
      </w:r>
      <w:proofErr w:type="spellStart"/>
      <w:r w:rsidRPr="002606DB">
        <w:rPr>
          <w:rFonts w:eastAsia="바탕"/>
          <w:color w:val="000000"/>
          <w:lang w:val="en-GB"/>
        </w:rPr>
        <w:t>torony</w:t>
      </w:r>
      <w:proofErr w:type="spellEnd"/>
    </w:p>
    <w:p w14:paraId="01DEC392" w14:textId="2F2A08A7" w:rsidR="00162CE2" w:rsidRPr="002606DB" w:rsidRDefault="00A91F98" w:rsidP="003539B7">
      <w:pPr>
        <w:pStyle w:val="a3"/>
        <w:adjustRightInd w:val="0"/>
        <w:snapToGrid w:val="0"/>
        <w:rPr>
          <w:snapToGrid w:val="0"/>
          <w:lang w:val="pt-PT"/>
        </w:rPr>
      </w:pPr>
      <w:r w:rsidRPr="002606DB">
        <w:rPr>
          <w:color w:val="000000"/>
          <w:lang w:val="en-GB" w:eastAsia="ko-KR"/>
        </w:rPr>
        <w:t>Hungria</w:t>
      </w:r>
    </w:p>
    <w:p w14:paraId="5A015D21" w14:textId="77777777" w:rsidR="00162CE2" w:rsidRPr="002606DB" w:rsidRDefault="00162CE2" w:rsidP="003539B7">
      <w:pPr>
        <w:pStyle w:val="a3"/>
        <w:adjustRightInd w:val="0"/>
        <w:snapToGrid w:val="0"/>
        <w:rPr>
          <w:snapToGrid w:val="0"/>
          <w:lang w:val="pt-PT"/>
        </w:rPr>
      </w:pPr>
    </w:p>
    <w:p w14:paraId="015E9176" w14:textId="77777777" w:rsidR="00162CE2" w:rsidRPr="002606DB" w:rsidRDefault="00162CE2" w:rsidP="003539B7">
      <w:pPr>
        <w:pStyle w:val="a3"/>
        <w:adjustRightInd w:val="0"/>
        <w:snapToGrid w:val="0"/>
        <w:rPr>
          <w:snapToGrid w:val="0"/>
          <w:lang w:val="pt-PT"/>
        </w:rPr>
      </w:pPr>
    </w:p>
    <w:p w14:paraId="23FF1783"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12.</w:t>
      </w:r>
      <w:r w:rsidRPr="002606DB">
        <w:rPr>
          <w:b/>
        </w:rPr>
        <w:tab/>
        <w:t>NÚMERO(S)</w:t>
      </w:r>
      <w:r w:rsidRPr="002606DB">
        <w:rPr>
          <w:b/>
          <w:spacing w:val="-7"/>
        </w:rPr>
        <w:t xml:space="preserve"> </w:t>
      </w:r>
      <w:r w:rsidRPr="002606DB">
        <w:rPr>
          <w:b/>
        </w:rPr>
        <w:t>DA</w:t>
      </w:r>
      <w:r w:rsidRPr="002606DB">
        <w:rPr>
          <w:b/>
          <w:spacing w:val="-6"/>
        </w:rPr>
        <w:t xml:space="preserve"> </w:t>
      </w:r>
      <w:r w:rsidRPr="002606DB">
        <w:rPr>
          <w:b/>
        </w:rPr>
        <w:t>AUTORIZAÇÃO</w:t>
      </w:r>
      <w:r w:rsidRPr="002606DB">
        <w:rPr>
          <w:b/>
          <w:spacing w:val="-3"/>
        </w:rPr>
        <w:t xml:space="preserve"> </w:t>
      </w:r>
      <w:r w:rsidRPr="002606DB">
        <w:rPr>
          <w:b/>
        </w:rPr>
        <w:t>DE</w:t>
      </w:r>
      <w:r w:rsidRPr="002606DB">
        <w:rPr>
          <w:b/>
          <w:spacing w:val="-7"/>
        </w:rPr>
        <w:t xml:space="preserve"> </w:t>
      </w:r>
      <w:r w:rsidRPr="002606DB">
        <w:rPr>
          <w:b/>
        </w:rPr>
        <w:t>INTRODUÇÃO</w:t>
      </w:r>
      <w:r w:rsidRPr="002606DB">
        <w:rPr>
          <w:b/>
          <w:spacing w:val="-3"/>
        </w:rPr>
        <w:t xml:space="preserve"> </w:t>
      </w:r>
      <w:r w:rsidRPr="002606DB">
        <w:rPr>
          <w:b/>
        </w:rPr>
        <w:t>NO</w:t>
      </w:r>
      <w:r w:rsidRPr="002606DB">
        <w:rPr>
          <w:b/>
          <w:spacing w:val="-14"/>
        </w:rPr>
        <w:t xml:space="preserve"> </w:t>
      </w:r>
      <w:r w:rsidRPr="002606DB">
        <w:rPr>
          <w:b/>
          <w:spacing w:val="-2"/>
        </w:rPr>
        <w:t>MERCADO</w:t>
      </w:r>
    </w:p>
    <w:p w14:paraId="0C35C68C" w14:textId="77777777" w:rsidR="00162CE2" w:rsidRPr="002606DB" w:rsidRDefault="00162CE2" w:rsidP="003539B7">
      <w:pPr>
        <w:pStyle w:val="a3"/>
        <w:adjustRightInd w:val="0"/>
        <w:snapToGrid w:val="0"/>
        <w:rPr>
          <w:snapToGrid w:val="0"/>
          <w:lang w:val="pt-PT"/>
        </w:rPr>
      </w:pPr>
    </w:p>
    <w:p w14:paraId="060EB28E" w14:textId="47DDB299" w:rsidR="00162CE2" w:rsidRPr="002606DB" w:rsidRDefault="00AE5936" w:rsidP="001C687C">
      <w:pPr>
        <w:adjustRightInd w:val="0"/>
        <w:snapToGrid w:val="0"/>
        <w:spacing w:before="4"/>
        <w:rPr>
          <w:snapToGrid w:val="0"/>
          <w:shd w:val="pct15" w:color="auto" w:fill="FFFFFF"/>
          <w:lang w:val="pt-PT"/>
        </w:rPr>
      </w:pPr>
      <w:r w:rsidRPr="004A14D4">
        <w:rPr>
          <w:lang w:val="fr-CA" w:eastAsia="ko-KR"/>
        </w:rPr>
        <w:t>EU/1/22/1667/001</w:t>
      </w:r>
      <w:r w:rsidR="00162CE2" w:rsidRPr="002606DB">
        <w:rPr>
          <w:snapToGrid w:val="0"/>
          <w:lang w:val="pt-PT"/>
        </w:rPr>
        <w:t xml:space="preserve"> </w:t>
      </w:r>
      <w:r w:rsidR="00162CE2" w:rsidRPr="0041365F">
        <w:rPr>
          <w:snapToGrid w:val="0"/>
          <w:highlight w:val="lightGray"/>
          <w:shd w:val="pct15" w:color="auto" w:fill="FFFFFF"/>
          <w:lang w:val="pt-PT"/>
        </w:rPr>
        <w:t>1 frasco para injetáveis</w:t>
      </w:r>
    </w:p>
    <w:p w14:paraId="7CE4AA91" w14:textId="1F196EBA" w:rsidR="00162CE2" w:rsidRPr="002606DB" w:rsidRDefault="00AE5936" w:rsidP="00F310ED">
      <w:pPr>
        <w:pStyle w:val="a3"/>
        <w:adjustRightInd w:val="0"/>
        <w:snapToGrid w:val="0"/>
        <w:rPr>
          <w:snapToGrid w:val="0"/>
          <w:shd w:val="pct15" w:color="auto" w:fill="FFFFFF"/>
          <w:lang w:val="pt-PT"/>
        </w:rPr>
      </w:pPr>
      <w:r w:rsidRPr="0041365F">
        <w:rPr>
          <w:highlight w:val="lightGray"/>
          <w:lang w:val="fr-CA" w:eastAsia="ko-KR"/>
        </w:rPr>
        <w:t xml:space="preserve">EU/1/22/1667/003 </w:t>
      </w:r>
      <w:r w:rsidR="00162CE2" w:rsidRPr="0041365F">
        <w:rPr>
          <w:snapToGrid w:val="0"/>
          <w:highlight w:val="lightGray"/>
          <w:shd w:val="pct15" w:color="auto" w:fill="FFFFFF"/>
          <w:lang w:val="pt-PT"/>
        </w:rPr>
        <w:t>10 frascos para injetáveis</w:t>
      </w:r>
    </w:p>
    <w:p w14:paraId="50BC888B" w14:textId="77777777" w:rsidR="00AE5936" w:rsidRPr="002606DB" w:rsidRDefault="00AE5936" w:rsidP="003539B7">
      <w:pPr>
        <w:pStyle w:val="a3"/>
        <w:adjustRightInd w:val="0"/>
        <w:snapToGrid w:val="0"/>
        <w:rPr>
          <w:snapToGrid w:val="0"/>
          <w:lang w:val="pt-PT"/>
        </w:rPr>
      </w:pPr>
    </w:p>
    <w:p w14:paraId="535E5D70" w14:textId="77777777" w:rsidR="00162CE2" w:rsidRPr="002606DB" w:rsidRDefault="00162CE2" w:rsidP="003539B7">
      <w:pPr>
        <w:pStyle w:val="a3"/>
        <w:adjustRightInd w:val="0"/>
        <w:snapToGrid w:val="0"/>
        <w:rPr>
          <w:snapToGrid w:val="0"/>
          <w:lang w:val="pt-PT"/>
        </w:rPr>
      </w:pPr>
    </w:p>
    <w:p w14:paraId="66336BD3"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13.</w:t>
      </w:r>
      <w:r w:rsidRPr="007155C0">
        <w:rPr>
          <w:b/>
          <w:lang w:val="fr-CA"/>
        </w:rPr>
        <w:tab/>
        <w:t>NÚMERO</w:t>
      </w:r>
      <w:r w:rsidRPr="007155C0">
        <w:rPr>
          <w:b/>
          <w:spacing w:val="1"/>
          <w:lang w:val="fr-CA"/>
        </w:rPr>
        <w:t xml:space="preserve"> </w:t>
      </w:r>
      <w:r w:rsidRPr="007155C0">
        <w:rPr>
          <w:b/>
          <w:lang w:val="fr-CA"/>
        </w:rPr>
        <w:t>DO</w:t>
      </w:r>
      <w:r w:rsidRPr="007155C0">
        <w:rPr>
          <w:b/>
          <w:spacing w:val="-5"/>
          <w:lang w:val="fr-CA"/>
        </w:rPr>
        <w:t xml:space="preserve"> </w:t>
      </w:r>
      <w:r w:rsidRPr="007155C0">
        <w:rPr>
          <w:b/>
          <w:spacing w:val="-4"/>
          <w:lang w:val="fr-CA"/>
        </w:rPr>
        <w:t>LOTE</w:t>
      </w:r>
    </w:p>
    <w:p w14:paraId="5DBC6B32" w14:textId="77777777" w:rsidR="00162CE2" w:rsidRPr="002606DB" w:rsidRDefault="00162CE2" w:rsidP="003539B7">
      <w:pPr>
        <w:pStyle w:val="a3"/>
        <w:adjustRightInd w:val="0"/>
        <w:snapToGrid w:val="0"/>
        <w:rPr>
          <w:snapToGrid w:val="0"/>
          <w:lang w:val="pt-PT"/>
        </w:rPr>
      </w:pPr>
    </w:p>
    <w:p w14:paraId="20694C6F" w14:textId="77777777" w:rsidR="00162CE2" w:rsidRPr="002606DB" w:rsidRDefault="00162CE2" w:rsidP="003539B7">
      <w:pPr>
        <w:pStyle w:val="a3"/>
        <w:adjustRightInd w:val="0"/>
        <w:snapToGrid w:val="0"/>
        <w:rPr>
          <w:snapToGrid w:val="0"/>
          <w:lang w:val="pt-PT"/>
        </w:rPr>
      </w:pPr>
      <w:r w:rsidRPr="002606DB">
        <w:rPr>
          <w:snapToGrid w:val="0"/>
          <w:lang w:val="pt-PT"/>
        </w:rPr>
        <w:t>Lote</w:t>
      </w:r>
    </w:p>
    <w:p w14:paraId="02A60E0D" w14:textId="77777777" w:rsidR="00162CE2" w:rsidRPr="002606DB" w:rsidRDefault="00162CE2" w:rsidP="003539B7">
      <w:pPr>
        <w:pStyle w:val="a3"/>
        <w:adjustRightInd w:val="0"/>
        <w:snapToGrid w:val="0"/>
        <w:rPr>
          <w:snapToGrid w:val="0"/>
          <w:lang w:val="pt-PT"/>
        </w:rPr>
      </w:pPr>
    </w:p>
    <w:p w14:paraId="3775C664" w14:textId="77777777" w:rsidR="00162CE2" w:rsidRPr="002606DB" w:rsidRDefault="00162CE2" w:rsidP="003539B7">
      <w:pPr>
        <w:pStyle w:val="a3"/>
        <w:adjustRightInd w:val="0"/>
        <w:snapToGrid w:val="0"/>
        <w:rPr>
          <w:snapToGrid w:val="0"/>
          <w:lang w:val="pt-PT"/>
        </w:rPr>
      </w:pPr>
    </w:p>
    <w:p w14:paraId="3C48B09D"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14.</w:t>
      </w:r>
      <w:r w:rsidRPr="007155C0">
        <w:rPr>
          <w:b/>
          <w:lang w:val="fr-CA"/>
        </w:rPr>
        <w:tab/>
        <w:t>CLASSIFICAÇÃO</w:t>
      </w:r>
      <w:r w:rsidRPr="007155C0">
        <w:rPr>
          <w:b/>
          <w:spacing w:val="-8"/>
          <w:lang w:val="fr-CA"/>
        </w:rPr>
        <w:t xml:space="preserve"> </w:t>
      </w:r>
      <w:r w:rsidRPr="007155C0">
        <w:rPr>
          <w:b/>
          <w:lang w:val="fr-CA"/>
        </w:rPr>
        <w:t>QUANTO</w:t>
      </w:r>
      <w:r w:rsidRPr="007155C0">
        <w:rPr>
          <w:b/>
          <w:spacing w:val="-7"/>
          <w:lang w:val="fr-CA"/>
        </w:rPr>
        <w:t xml:space="preserve"> </w:t>
      </w:r>
      <w:r w:rsidRPr="007155C0">
        <w:rPr>
          <w:b/>
          <w:lang w:val="fr-CA"/>
        </w:rPr>
        <w:t>À</w:t>
      </w:r>
      <w:r w:rsidRPr="007155C0">
        <w:rPr>
          <w:b/>
          <w:spacing w:val="-2"/>
          <w:lang w:val="fr-CA"/>
        </w:rPr>
        <w:t xml:space="preserve"> </w:t>
      </w:r>
      <w:r w:rsidRPr="007155C0">
        <w:rPr>
          <w:b/>
          <w:lang w:val="fr-CA"/>
        </w:rPr>
        <w:t>DISPENSA</w:t>
      </w:r>
      <w:r w:rsidRPr="007155C0">
        <w:rPr>
          <w:b/>
          <w:spacing w:val="-2"/>
          <w:lang w:val="fr-CA"/>
        </w:rPr>
        <w:t xml:space="preserve"> </w:t>
      </w:r>
      <w:r w:rsidRPr="007155C0">
        <w:rPr>
          <w:b/>
          <w:lang w:val="fr-CA"/>
        </w:rPr>
        <w:t>AO</w:t>
      </w:r>
      <w:r w:rsidRPr="007155C0">
        <w:rPr>
          <w:b/>
          <w:spacing w:val="-7"/>
          <w:lang w:val="fr-CA"/>
        </w:rPr>
        <w:t xml:space="preserve"> </w:t>
      </w:r>
      <w:r w:rsidRPr="007155C0">
        <w:rPr>
          <w:b/>
          <w:spacing w:val="-2"/>
          <w:lang w:val="fr-CA"/>
        </w:rPr>
        <w:t>PÚBLICO</w:t>
      </w:r>
    </w:p>
    <w:p w14:paraId="4BAC500D" w14:textId="77777777" w:rsidR="00162CE2" w:rsidRPr="002606DB" w:rsidRDefault="00162CE2" w:rsidP="003539B7">
      <w:pPr>
        <w:pStyle w:val="a3"/>
        <w:adjustRightInd w:val="0"/>
        <w:snapToGrid w:val="0"/>
        <w:rPr>
          <w:snapToGrid w:val="0"/>
          <w:lang w:val="pt-PT"/>
        </w:rPr>
      </w:pPr>
    </w:p>
    <w:p w14:paraId="2C87D479" w14:textId="77777777" w:rsidR="00162CE2" w:rsidRPr="002606DB" w:rsidRDefault="00162CE2" w:rsidP="003539B7">
      <w:pPr>
        <w:pStyle w:val="a3"/>
        <w:adjustRightInd w:val="0"/>
        <w:snapToGrid w:val="0"/>
        <w:rPr>
          <w:snapToGrid w:val="0"/>
          <w:lang w:val="pt-PT"/>
        </w:rPr>
      </w:pPr>
      <w:r w:rsidRPr="002606DB">
        <w:rPr>
          <w:snapToGrid w:val="0"/>
          <w:lang w:val="pt-PT"/>
        </w:rPr>
        <w:t>Medicamento sujeito a receita médica</w:t>
      </w:r>
    </w:p>
    <w:p w14:paraId="71EEDFF3" w14:textId="77777777" w:rsidR="00162CE2" w:rsidRPr="002606DB" w:rsidRDefault="00162CE2" w:rsidP="003539B7">
      <w:pPr>
        <w:pStyle w:val="a3"/>
        <w:adjustRightInd w:val="0"/>
        <w:snapToGrid w:val="0"/>
        <w:rPr>
          <w:snapToGrid w:val="0"/>
          <w:lang w:val="pt-PT"/>
        </w:rPr>
      </w:pPr>
    </w:p>
    <w:p w14:paraId="74125DBE" w14:textId="77777777" w:rsidR="00162CE2" w:rsidRPr="002606DB" w:rsidRDefault="00162CE2" w:rsidP="003539B7">
      <w:pPr>
        <w:pStyle w:val="a3"/>
        <w:adjustRightInd w:val="0"/>
        <w:snapToGrid w:val="0"/>
        <w:rPr>
          <w:snapToGrid w:val="0"/>
          <w:lang w:val="pt-PT"/>
        </w:rPr>
      </w:pPr>
    </w:p>
    <w:p w14:paraId="7FA33496"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15.</w:t>
      </w:r>
      <w:r w:rsidRPr="007155C0">
        <w:rPr>
          <w:b/>
          <w:lang w:val="pt-PT"/>
        </w:rPr>
        <w:tab/>
        <w:t>INSTRUÇÕES</w:t>
      </w:r>
      <w:r w:rsidRPr="007155C0">
        <w:rPr>
          <w:b/>
          <w:spacing w:val="-6"/>
          <w:lang w:val="pt-PT"/>
        </w:rPr>
        <w:t xml:space="preserve"> </w:t>
      </w:r>
      <w:r w:rsidRPr="007155C0">
        <w:rPr>
          <w:b/>
          <w:lang w:val="pt-PT"/>
        </w:rPr>
        <w:t>DE</w:t>
      </w:r>
      <w:r w:rsidRPr="007155C0">
        <w:rPr>
          <w:b/>
          <w:spacing w:val="-2"/>
          <w:lang w:val="pt-PT"/>
        </w:rPr>
        <w:t xml:space="preserve"> UTILIZAÇÃO</w:t>
      </w:r>
    </w:p>
    <w:p w14:paraId="3325545B" w14:textId="77777777" w:rsidR="00162CE2" w:rsidRPr="002606DB" w:rsidRDefault="00162CE2" w:rsidP="003539B7">
      <w:pPr>
        <w:pStyle w:val="a3"/>
        <w:adjustRightInd w:val="0"/>
        <w:snapToGrid w:val="0"/>
        <w:rPr>
          <w:snapToGrid w:val="0"/>
          <w:lang w:val="pt-PT"/>
        </w:rPr>
      </w:pPr>
    </w:p>
    <w:p w14:paraId="3A21F642" w14:textId="77777777" w:rsidR="00162CE2" w:rsidRPr="002606DB" w:rsidRDefault="00162CE2" w:rsidP="003539B7">
      <w:pPr>
        <w:pStyle w:val="a3"/>
        <w:adjustRightInd w:val="0"/>
        <w:snapToGrid w:val="0"/>
        <w:rPr>
          <w:snapToGrid w:val="0"/>
          <w:lang w:val="pt-PT"/>
        </w:rPr>
      </w:pPr>
    </w:p>
    <w:p w14:paraId="43F11B97"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16.</w:t>
      </w:r>
      <w:r w:rsidRPr="007155C0">
        <w:rPr>
          <w:b/>
          <w:lang w:val="pt-PT"/>
        </w:rPr>
        <w:tab/>
        <w:t>INFORMAÇÃO</w:t>
      </w:r>
      <w:r w:rsidRPr="007155C0">
        <w:rPr>
          <w:b/>
          <w:spacing w:val="-9"/>
          <w:lang w:val="pt-PT"/>
        </w:rPr>
        <w:t xml:space="preserve"> </w:t>
      </w:r>
      <w:r w:rsidRPr="007155C0">
        <w:rPr>
          <w:b/>
          <w:lang w:val="pt-PT"/>
        </w:rPr>
        <w:t>EM</w:t>
      </w:r>
      <w:r w:rsidRPr="007155C0">
        <w:rPr>
          <w:b/>
          <w:spacing w:val="-2"/>
          <w:lang w:val="pt-PT"/>
        </w:rPr>
        <w:t xml:space="preserve"> BRAILLE</w:t>
      </w:r>
    </w:p>
    <w:p w14:paraId="13BC52FD" w14:textId="77777777" w:rsidR="00162CE2" w:rsidRPr="002606DB" w:rsidRDefault="00162CE2" w:rsidP="003539B7">
      <w:pPr>
        <w:pStyle w:val="a3"/>
        <w:adjustRightInd w:val="0"/>
        <w:snapToGrid w:val="0"/>
        <w:rPr>
          <w:snapToGrid w:val="0"/>
          <w:lang w:val="pt-PT"/>
        </w:rPr>
      </w:pPr>
    </w:p>
    <w:p w14:paraId="3AC8734D" w14:textId="4338729B" w:rsidR="00162CE2" w:rsidRPr="002606DB" w:rsidRDefault="00162CE2" w:rsidP="003539B7">
      <w:pPr>
        <w:pStyle w:val="a3"/>
        <w:adjustRightInd w:val="0"/>
        <w:snapToGrid w:val="0"/>
        <w:rPr>
          <w:snapToGrid w:val="0"/>
          <w:lang w:val="pt-PT"/>
        </w:rPr>
      </w:pPr>
      <w:r w:rsidRPr="002606DB">
        <w:rPr>
          <w:snapToGrid w:val="0"/>
          <w:color w:val="000000"/>
          <w:shd w:val="clear" w:color="auto" w:fill="C1C1C1"/>
          <w:lang w:val="pt-PT"/>
        </w:rPr>
        <w:t>Foi aceite a justificação para não incluir a informação em Braille</w:t>
      </w:r>
    </w:p>
    <w:p w14:paraId="36FC1E13" w14:textId="77777777" w:rsidR="00162CE2" w:rsidRPr="002606DB" w:rsidRDefault="00162CE2" w:rsidP="003539B7">
      <w:pPr>
        <w:pStyle w:val="a3"/>
        <w:adjustRightInd w:val="0"/>
        <w:snapToGrid w:val="0"/>
        <w:rPr>
          <w:snapToGrid w:val="0"/>
          <w:lang w:val="pt-PT"/>
        </w:rPr>
      </w:pPr>
    </w:p>
    <w:p w14:paraId="011A9539" w14:textId="77777777" w:rsidR="00162CE2" w:rsidRPr="002606DB" w:rsidRDefault="00162CE2" w:rsidP="003539B7">
      <w:pPr>
        <w:pStyle w:val="a3"/>
        <w:adjustRightInd w:val="0"/>
        <w:snapToGrid w:val="0"/>
        <w:rPr>
          <w:snapToGrid w:val="0"/>
          <w:lang w:val="pt-PT"/>
        </w:rPr>
      </w:pPr>
    </w:p>
    <w:p w14:paraId="73DB68C5"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17.</w:t>
      </w:r>
      <w:r w:rsidRPr="007155C0">
        <w:rPr>
          <w:b/>
          <w:lang w:val="fr-CA"/>
        </w:rPr>
        <w:tab/>
        <w:t>IDENTIFICADOR</w:t>
      </w:r>
      <w:r w:rsidRPr="007155C0">
        <w:rPr>
          <w:b/>
          <w:spacing w:val="-3"/>
          <w:lang w:val="fr-CA"/>
        </w:rPr>
        <w:t xml:space="preserve"> </w:t>
      </w:r>
      <w:r w:rsidRPr="007155C0">
        <w:rPr>
          <w:b/>
          <w:lang w:val="fr-CA"/>
        </w:rPr>
        <w:t>ÚNICO</w:t>
      </w:r>
      <w:r w:rsidRPr="007155C0">
        <w:rPr>
          <w:b/>
          <w:spacing w:val="-7"/>
          <w:lang w:val="fr-CA"/>
        </w:rPr>
        <w:t xml:space="preserve"> </w:t>
      </w:r>
      <w:r w:rsidRPr="007155C0">
        <w:rPr>
          <w:b/>
          <w:lang w:val="fr-CA"/>
        </w:rPr>
        <w:t>–</w:t>
      </w:r>
      <w:r w:rsidRPr="007155C0">
        <w:rPr>
          <w:b/>
          <w:spacing w:val="-3"/>
          <w:lang w:val="fr-CA"/>
        </w:rPr>
        <w:t xml:space="preserve"> </w:t>
      </w:r>
      <w:r w:rsidRPr="007155C0">
        <w:rPr>
          <w:b/>
          <w:lang w:val="fr-CA"/>
        </w:rPr>
        <w:t>CÓDIGO</w:t>
      </w:r>
      <w:r w:rsidRPr="007155C0">
        <w:rPr>
          <w:b/>
          <w:spacing w:val="-7"/>
          <w:lang w:val="fr-CA"/>
        </w:rPr>
        <w:t xml:space="preserve"> </w:t>
      </w:r>
      <w:r w:rsidRPr="007155C0">
        <w:rPr>
          <w:b/>
          <w:lang w:val="fr-CA"/>
        </w:rPr>
        <w:t>DE</w:t>
      </w:r>
      <w:r w:rsidRPr="007155C0">
        <w:rPr>
          <w:b/>
          <w:spacing w:val="-4"/>
          <w:lang w:val="fr-CA"/>
        </w:rPr>
        <w:t xml:space="preserve"> </w:t>
      </w:r>
      <w:r w:rsidRPr="007155C0">
        <w:rPr>
          <w:b/>
          <w:lang w:val="fr-CA"/>
        </w:rPr>
        <w:t>BARRAS</w:t>
      </w:r>
      <w:r w:rsidRPr="007155C0">
        <w:rPr>
          <w:b/>
          <w:spacing w:val="-8"/>
          <w:lang w:val="fr-CA"/>
        </w:rPr>
        <w:t xml:space="preserve"> </w:t>
      </w:r>
      <w:r w:rsidRPr="007155C0">
        <w:rPr>
          <w:b/>
          <w:spacing w:val="-5"/>
          <w:lang w:val="fr-CA"/>
        </w:rPr>
        <w:t>2D</w:t>
      </w:r>
    </w:p>
    <w:p w14:paraId="434F4F32" w14:textId="77777777" w:rsidR="00162CE2" w:rsidRPr="002606DB" w:rsidRDefault="00162CE2" w:rsidP="003539B7">
      <w:pPr>
        <w:pStyle w:val="a3"/>
        <w:adjustRightInd w:val="0"/>
        <w:snapToGrid w:val="0"/>
        <w:rPr>
          <w:snapToGrid w:val="0"/>
          <w:lang w:val="pt-PT"/>
        </w:rPr>
      </w:pPr>
    </w:p>
    <w:p w14:paraId="549DF952" w14:textId="559E1296" w:rsidR="00162CE2" w:rsidRPr="002606DB" w:rsidRDefault="00162CE2" w:rsidP="003539B7">
      <w:pPr>
        <w:pStyle w:val="a3"/>
        <w:adjustRightInd w:val="0"/>
        <w:snapToGrid w:val="0"/>
        <w:rPr>
          <w:snapToGrid w:val="0"/>
          <w:lang w:val="pt-PT"/>
        </w:rPr>
      </w:pPr>
      <w:r w:rsidRPr="002606DB">
        <w:rPr>
          <w:snapToGrid w:val="0"/>
          <w:color w:val="000000"/>
          <w:shd w:val="clear" w:color="auto" w:fill="C1C1C1"/>
          <w:lang w:val="pt-PT"/>
        </w:rPr>
        <w:t>Código de barras 2D com identificador único incluído.</w:t>
      </w:r>
    </w:p>
    <w:p w14:paraId="4B72958E" w14:textId="77777777" w:rsidR="00162CE2" w:rsidRPr="002606DB" w:rsidRDefault="00162CE2" w:rsidP="003539B7">
      <w:pPr>
        <w:pStyle w:val="a3"/>
        <w:adjustRightInd w:val="0"/>
        <w:snapToGrid w:val="0"/>
        <w:rPr>
          <w:snapToGrid w:val="0"/>
          <w:lang w:val="pt-PT"/>
        </w:rPr>
      </w:pPr>
    </w:p>
    <w:p w14:paraId="05E04F77" w14:textId="77777777" w:rsidR="00162CE2" w:rsidRPr="002606DB" w:rsidRDefault="00162CE2" w:rsidP="003539B7">
      <w:pPr>
        <w:pStyle w:val="a3"/>
        <w:adjustRightInd w:val="0"/>
        <w:snapToGrid w:val="0"/>
        <w:rPr>
          <w:snapToGrid w:val="0"/>
          <w:lang w:val="pt-PT"/>
        </w:rPr>
      </w:pPr>
    </w:p>
    <w:p w14:paraId="09554AC5"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18.</w:t>
      </w:r>
      <w:r w:rsidRPr="007155C0">
        <w:rPr>
          <w:b/>
          <w:lang w:val="pt-PT"/>
        </w:rPr>
        <w:tab/>
        <w:t>IDENTIFICADOR</w:t>
      </w:r>
      <w:r w:rsidRPr="007155C0">
        <w:rPr>
          <w:b/>
          <w:spacing w:val="-6"/>
          <w:lang w:val="pt-PT"/>
        </w:rPr>
        <w:t xml:space="preserve"> </w:t>
      </w:r>
      <w:r w:rsidRPr="007155C0">
        <w:rPr>
          <w:b/>
          <w:lang w:val="pt-PT"/>
        </w:rPr>
        <w:t>ÚNICO</w:t>
      </w:r>
      <w:r w:rsidRPr="007155C0">
        <w:rPr>
          <w:b/>
          <w:spacing w:val="-8"/>
          <w:lang w:val="pt-PT"/>
        </w:rPr>
        <w:t xml:space="preserve"> </w:t>
      </w:r>
      <w:r w:rsidRPr="007155C0">
        <w:rPr>
          <w:b/>
          <w:lang w:val="pt-PT"/>
        </w:rPr>
        <w:t>-</w:t>
      </w:r>
      <w:r w:rsidRPr="007155C0">
        <w:rPr>
          <w:b/>
          <w:spacing w:val="-3"/>
          <w:lang w:val="pt-PT"/>
        </w:rPr>
        <w:t xml:space="preserve"> </w:t>
      </w:r>
      <w:r w:rsidRPr="007155C0">
        <w:rPr>
          <w:b/>
          <w:lang w:val="pt-PT"/>
        </w:rPr>
        <w:t>DADOS</w:t>
      </w:r>
      <w:r w:rsidRPr="007155C0">
        <w:rPr>
          <w:b/>
          <w:spacing w:val="-9"/>
          <w:lang w:val="pt-PT"/>
        </w:rPr>
        <w:t xml:space="preserve"> </w:t>
      </w:r>
      <w:r w:rsidRPr="007155C0">
        <w:rPr>
          <w:b/>
          <w:lang w:val="pt-PT"/>
        </w:rPr>
        <w:t>PARA</w:t>
      </w:r>
      <w:r w:rsidRPr="007155C0">
        <w:rPr>
          <w:b/>
          <w:spacing w:val="-3"/>
          <w:lang w:val="pt-PT"/>
        </w:rPr>
        <w:t xml:space="preserve"> </w:t>
      </w:r>
      <w:r w:rsidRPr="007155C0">
        <w:rPr>
          <w:b/>
          <w:lang w:val="pt-PT"/>
        </w:rPr>
        <w:t>LEITURA</w:t>
      </w:r>
      <w:r w:rsidRPr="007155C0">
        <w:rPr>
          <w:b/>
          <w:spacing w:val="-3"/>
          <w:lang w:val="pt-PT"/>
        </w:rPr>
        <w:t xml:space="preserve"> </w:t>
      </w:r>
      <w:r w:rsidRPr="007155C0">
        <w:rPr>
          <w:b/>
          <w:spacing w:val="-2"/>
          <w:lang w:val="pt-PT"/>
        </w:rPr>
        <w:t>HUMANA</w:t>
      </w:r>
    </w:p>
    <w:p w14:paraId="2822266F" w14:textId="77777777" w:rsidR="00162CE2" w:rsidRPr="002606DB" w:rsidRDefault="00162CE2" w:rsidP="003539B7">
      <w:pPr>
        <w:pStyle w:val="a3"/>
        <w:adjustRightInd w:val="0"/>
        <w:snapToGrid w:val="0"/>
        <w:rPr>
          <w:snapToGrid w:val="0"/>
          <w:lang w:val="pt-PT"/>
        </w:rPr>
      </w:pPr>
    </w:p>
    <w:p w14:paraId="41293303" w14:textId="1A98A81D" w:rsidR="00162CE2" w:rsidRPr="002606DB" w:rsidRDefault="00162CE2" w:rsidP="003539B7">
      <w:pPr>
        <w:pStyle w:val="a3"/>
        <w:adjustRightInd w:val="0"/>
        <w:snapToGrid w:val="0"/>
        <w:jc w:val="both"/>
        <w:rPr>
          <w:snapToGrid w:val="0"/>
          <w:lang w:val="pt-PT"/>
        </w:rPr>
      </w:pPr>
      <w:r w:rsidRPr="002606DB">
        <w:rPr>
          <w:snapToGrid w:val="0"/>
          <w:lang w:val="pt-PT"/>
        </w:rPr>
        <w:t>PC</w:t>
      </w:r>
    </w:p>
    <w:p w14:paraId="6496C6E4" w14:textId="2C3BDD5C" w:rsidR="00162CE2" w:rsidRPr="002606DB" w:rsidRDefault="00162CE2" w:rsidP="003539B7">
      <w:pPr>
        <w:pStyle w:val="a3"/>
        <w:adjustRightInd w:val="0"/>
        <w:snapToGrid w:val="0"/>
        <w:jc w:val="both"/>
        <w:rPr>
          <w:snapToGrid w:val="0"/>
          <w:lang w:val="pt-PT"/>
        </w:rPr>
      </w:pPr>
      <w:r w:rsidRPr="002606DB">
        <w:rPr>
          <w:snapToGrid w:val="0"/>
          <w:lang w:val="pt-PT"/>
        </w:rPr>
        <w:t>SN</w:t>
      </w:r>
    </w:p>
    <w:p w14:paraId="0758F9A4" w14:textId="77777777" w:rsidR="00162CE2" w:rsidRPr="002606DB" w:rsidRDefault="00162CE2" w:rsidP="003539B7">
      <w:pPr>
        <w:pStyle w:val="a3"/>
        <w:adjustRightInd w:val="0"/>
        <w:snapToGrid w:val="0"/>
        <w:jc w:val="both"/>
        <w:rPr>
          <w:snapToGrid w:val="0"/>
          <w:lang w:val="pt-PT"/>
        </w:rPr>
      </w:pPr>
      <w:r w:rsidRPr="002606DB">
        <w:rPr>
          <w:snapToGrid w:val="0"/>
          <w:lang w:val="pt-PT"/>
        </w:rPr>
        <w:t>NN</w:t>
      </w:r>
    </w:p>
    <w:p w14:paraId="7B6DAFC3" w14:textId="77777777" w:rsidR="00162CE2" w:rsidRPr="007155C0" w:rsidRDefault="00162CE2" w:rsidP="00032FC9">
      <w:pPr>
        <w:pBdr>
          <w:top w:val="single" w:sz="4" w:space="1" w:color="auto"/>
          <w:left w:val="single" w:sz="4" w:space="4" w:color="auto"/>
          <w:bottom w:val="single" w:sz="4" w:space="1" w:color="auto"/>
          <w:right w:val="single" w:sz="4" w:space="4" w:color="auto"/>
        </w:pBdr>
        <w:adjustRightInd w:val="0"/>
        <w:snapToGrid w:val="0"/>
        <w:rPr>
          <w:b/>
          <w:lang w:val="pt-PT"/>
        </w:rPr>
      </w:pPr>
      <w:r w:rsidRPr="002606DB">
        <w:rPr>
          <w:snapToGrid w:val="0"/>
          <w:lang w:val="pt-PT"/>
        </w:rPr>
        <w:br w:type="page"/>
      </w:r>
      <w:r w:rsidRPr="007155C0">
        <w:rPr>
          <w:b/>
          <w:lang w:val="pt-PT"/>
        </w:rPr>
        <w:lastRenderedPageBreak/>
        <w:t>INDICAÇÕES</w:t>
      </w:r>
      <w:r w:rsidRPr="007155C0">
        <w:rPr>
          <w:b/>
          <w:spacing w:val="-10"/>
          <w:lang w:val="pt-PT"/>
        </w:rPr>
        <w:t xml:space="preserve"> </w:t>
      </w:r>
      <w:r w:rsidRPr="007155C0">
        <w:rPr>
          <w:b/>
          <w:lang w:val="pt-PT"/>
        </w:rPr>
        <w:t>MÍNIMAS</w:t>
      </w:r>
      <w:r w:rsidRPr="007155C0">
        <w:rPr>
          <w:b/>
          <w:spacing w:val="-3"/>
          <w:lang w:val="pt-PT"/>
        </w:rPr>
        <w:t xml:space="preserve"> </w:t>
      </w:r>
      <w:r w:rsidRPr="007155C0">
        <w:rPr>
          <w:b/>
          <w:lang w:val="pt-PT"/>
        </w:rPr>
        <w:t>A</w:t>
      </w:r>
      <w:r w:rsidRPr="007155C0">
        <w:rPr>
          <w:b/>
          <w:spacing w:val="-4"/>
          <w:lang w:val="pt-PT"/>
        </w:rPr>
        <w:t xml:space="preserve"> </w:t>
      </w:r>
      <w:r w:rsidRPr="007155C0">
        <w:rPr>
          <w:b/>
          <w:lang w:val="pt-PT"/>
        </w:rPr>
        <w:t>INCLUIR</w:t>
      </w:r>
      <w:r w:rsidRPr="007155C0">
        <w:rPr>
          <w:b/>
          <w:spacing w:val="-11"/>
          <w:lang w:val="pt-PT"/>
        </w:rPr>
        <w:t xml:space="preserve"> </w:t>
      </w:r>
      <w:r w:rsidRPr="007155C0">
        <w:rPr>
          <w:b/>
          <w:lang w:val="pt-PT"/>
        </w:rPr>
        <w:t>EM</w:t>
      </w:r>
      <w:r w:rsidRPr="007155C0">
        <w:rPr>
          <w:b/>
          <w:spacing w:val="-3"/>
          <w:lang w:val="pt-PT"/>
        </w:rPr>
        <w:t xml:space="preserve"> </w:t>
      </w:r>
      <w:r w:rsidRPr="007155C0">
        <w:rPr>
          <w:b/>
          <w:lang w:val="pt-PT"/>
        </w:rPr>
        <w:t>PEQUENAS</w:t>
      </w:r>
      <w:r w:rsidRPr="007155C0">
        <w:rPr>
          <w:b/>
          <w:spacing w:val="-3"/>
          <w:lang w:val="pt-PT"/>
        </w:rPr>
        <w:t xml:space="preserve"> </w:t>
      </w:r>
      <w:r w:rsidRPr="007155C0">
        <w:rPr>
          <w:b/>
          <w:lang w:val="pt-PT"/>
        </w:rPr>
        <w:t>UNIDADES</w:t>
      </w:r>
      <w:r w:rsidRPr="007155C0">
        <w:rPr>
          <w:b/>
          <w:spacing w:val="-3"/>
          <w:lang w:val="pt-PT"/>
        </w:rPr>
        <w:t xml:space="preserve"> </w:t>
      </w:r>
      <w:r w:rsidRPr="007155C0">
        <w:rPr>
          <w:b/>
          <w:lang w:val="pt-PT"/>
        </w:rPr>
        <w:t>DE ACONDICIONAMENTO PRIMÁRIO</w:t>
      </w:r>
    </w:p>
    <w:p w14:paraId="39FCCBF8" w14:textId="77777777" w:rsidR="00162CE2" w:rsidRPr="007155C0" w:rsidRDefault="00162CE2" w:rsidP="003539B7">
      <w:pPr>
        <w:pStyle w:val="a3"/>
        <w:pBdr>
          <w:top w:val="single" w:sz="4" w:space="1" w:color="auto"/>
          <w:left w:val="single" w:sz="4" w:space="4" w:color="auto"/>
          <w:bottom w:val="single" w:sz="4" w:space="1" w:color="auto"/>
          <w:right w:val="single" w:sz="4" w:space="4" w:color="auto"/>
        </w:pBdr>
        <w:rPr>
          <w:b/>
          <w:sz w:val="21"/>
          <w:lang w:val="pt-PT"/>
        </w:rPr>
      </w:pPr>
    </w:p>
    <w:p w14:paraId="3229B3F3" w14:textId="0FA7D63C"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rPr>
        <w:t>FRASCO PARA</w:t>
      </w:r>
      <w:r w:rsidRPr="002606DB">
        <w:rPr>
          <w:b/>
          <w:spacing w:val="-2"/>
        </w:rPr>
        <w:t xml:space="preserve"> INJETÁVEIS</w:t>
      </w:r>
    </w:p>
    <w:p w14:paraId="04E9365D" w14:textId="77777777" w:rsidR="00162CE2" w:rsidRPr="002606DB" w:rsidRDefault="00162CE2" w:rsidP="003539B7">
      <w:pPr>
        <w:pStyle w:val="a3"/>
        <w:adjustRightInd w:val="0"/>
        <w:snapToGrid w:val="0"/>
        <w:rPr>
          <w:snapToGrid w:val="0"/>
          <w:lang w:val="pt-PT"/>
        </w:rPr>
      </w:pPr>
    </w:p>
    <w:p w14:paraId="01D75366" w14:textId="77777777" w:rsidR="00162CE2" w:rsidRPr="002606DB" w:rsidRDefault="00162CE2" w:rsidP="003539B7">
      <w:pPr>
        <w:pStyle w:val="a3"/>
        <w:adjustRightInd w:val="0"/>
        <w:snapToGrid w:val="0"/>
        <w:rPr>
          <w:snapToGrid w:val="0"/>
          <w:lang w:val="pt-PT"/>
        </w:rPr>
      </w:pPr>
    </w:p>
    <w:p w14:paraId="3CA719B7"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1.</w:t>
      </w:r>
      <w:r w:rsidRPr="002606DB">
        <w:rPr>
          <w:b/>
        </w:rPr>
        <w:tab/>
        <w:t>NOME</w:t>
      </w:r>
      <w:r w:rsidRPr="002606DB">
        <w:rPr>
          <w:b/>
          <w:spacing w:val="3"/>
        </w:rPr>
        <w:t xml:space="preserve"> </w:t>
      </w:r>
      <w:r w:rsidRPr="002606DB">
        <w:rPr>
          <w:b/>
        </w:rPr>
        <w:t>DO</w:t>
      </w:r>
      <w:r w:rsidRPr="002606DB">
        <w:rPr>
          <w:b/>
          <w:spacing w:val="-13"/>
        </w:rPr>
        <w:t xml:space="preserve"> </w:t>
      </w:r>
      <w:r w:rsidRPr="002606DB">
        <w:rPr>
          <w:b/>
        </w:rPr>
        <w:t>MEDICAMENTO</w:t>
      </w:r>
      <w:r w:rsidRPr="002606DB">
        <w:rPr>
          <w:b/>
          <w:spacing w:val="-7"/>
        </w:rPr>
        <w:t xml:space="preserve"> </w:t>
      </w:r>
      <w:r w:rsidRPr="002606DB">
        <w:rPr>
          <w:b/>
        </w:rPr>
        <w:t>E</w:t>
      </w:r>
      <w:r w:rsidRPr="002606DB">
        <w:rPr>
          <w:b/>
          <w:spacing w:val="-3"/>
        </w:rPr>
        <w:t xml:space="preserve"> </w:t>
      </w:r>
      <w:r w:rsidRPr="002606DB">
        <w:rPr>
          <w:b/>
        </w:rPr>
        <w:t>VIA(S)</w:t>
      </w:r>
      <w:r w:rsidRPr="002606DB">
        <w:rPr>
          <w:b/>
          <w:spacing w:val="-1"/>
        </w:rPr>
        <w:t xml:space="preserve"> </w:t>
      </w:r>
      <w:r w:rsidRPr="002606DB">
        <w:rPr>
          <w:b/>
        </w:rPr>
        <w:t>DE</w:t>
      </w:r>
      <w:r w:rsidRPr="002606DB">
        <w:rPr>
          <w:b/>
          <w:spacing w:val="3"/>
        </w:rPr>
        <w:t xml:space="preserve"> </w:t>
      </w:r>
      <w:r w:rsidRPr="002606DB">
        <w:rPr>
          <w:b/>
          <w:spacing w:val="-2"/>
        </w:rPr>
        <w:t>ADMINISTRAÇÃO</w:t>
      </w:r>
    </w:p>
    <w:p w14:paraId="71925B05" w14:textId="77777777" w:rsidR="00162CE2" w:rsidRPr="002606DB" w:rsidRDefault="00162CE2" w:rsidP="003539B7">
      <w:pPr>
        <w:pStyle w:val="a3"/>
        <w:adjustRightInd w:val="0"/>
        <w:snapToGrid w:val="0"/>
        <w:rPr>
          <w:snapToGrid w:val="0"/>
          <w:lang w:val="pt-PT"/>
        </w:rPr>
      </w:pPr>
    </w:p>
    <w:p w14:paraId="16BAC1FC" w14:textId="00AC3DB6" w:rsidR="00162CE2" w:rsidRPr="002606DB" w:rsidRDefault="00FB2483" w:rsidP="003539B7">
      <w:pPr>
        <w:pStyle w:val="a3"/>
        <w:adjustRightInd w:val="0"/>
        <w:snapToGrid w:val="0"/>
        <w:rPr>
          <w:snapToGrid w:val="0"/>
          <w:lang w:val="pt-PT"/>
        </w:rPr>
      </w:pPr>
      <w:r>
        <w:rPr>
          <w:noProof/>
          <w:color w:val="000000"/>
          <w:lang w:val="pt-PT"/>
        </w:rPr>
        <w:t>Vegzelma</w:t>
      </w:r>
      <w:r w:rsidR="00296E45">
        <w:rPr>
          <w:rFonts w:eastAsia="맑은 고딕" w:hint="eastAsia"/>
          <w:noProof/>
          <w:color w:val="000000"/>
          <w:lang w:val="pt-PT" w:eastAsia="ko-KR"/>
        </w:rPr>
        <w:t xml:space="preserve"> </w:t>
      </w:r>
      <w:r w:rsidR="00162CE2" w:rsidRPr="002606DB">
        <w:rPr>
          <w:snapToGrid w:val="0"/>
          <w:lang w:val="pt-PT"/>
        </w:rPr>
        <w:t xml:space="preserve">25 mg/ml, </w:t>
      </w:r>
      <w:r w:rsidR="00AE5936">
        <w:rPr>
          <w:snapToGrid w:val="0"/>
          <w:lang w:val="pt-PT"/>
        </w:rPr>
        <w:t>C</w:t>
      </w:r>
      <w:r w:rsidR="00AE5936" w:rsidRPr="002606DB">
        <w:rPr>
          <w:snapToGrid w:val="0"/>
          <w:lang w:val="pt-PT"/>
        </w:rPr>
        <w:t xml:space="preserve">oncentrado </w:t>
      </w:r>
      <w:r w:rsidR="00AE5936" w:rsidRPr="005804F8">
        <w:rPr>
          <w:snapToGrid w:val="0"/>
          <w:lang w:val="pt-PT"/>
        </w:rPr>
        <w:t>estéril</w:t>
      </w:r>
    </w:p>
    <w:p w14:paraId="15B09B12" w14:textId="77777777" w:rsidR="00162CE2" w:rsidRPr="002606DB" w:rsidRDefault="00162CE2" w:rsidP="003539B7">
      <w:pPr>
        <w:pStyle w:val="a3"/>
        <w:adjustRightInd w:val="0"/>
        <w:snapToGrid w:val="0"/>
        <w:rPr>
          <w:snapToGrid w:val="0"/>
          <w:lang w:val="pt-PT"/>
        </w:rPr>
      </w:pPr>
      <w:r w:rsidRPr="002606DB">
        <w:rPr>
          <w:snapToGrid w:val="0"/>
          <w:lang w:val="pt-PT"/>
        </w:rPr>
        <w:t>bevacizumab</w:t>
      </w:r>
    </w:p>
    <w:p w14:paraId="3339AFB2" w14:textId="77777777" w:rsidR="00162CE2" w:rsidRPr="002606DB" w:rsidRDefault="00162CE2" w:rsidP="003539B7">
      <w:pPr>
        <w:pStyle w:val="a3"/>
        <w:adjustRightInd w:val="0"/>
        <w:snapToGrid w:val="0"/>
        <w:rPr>
          <w:snapToGrid w:val="0"/>
          <w:lang w:val="pt-PT"/>
        </w:rPr>
      </w:pPr>
      <w:r w:rsidRPr="002606DB">
        <w:rPr>
          <w:snapToGrid w:val="0"/>
          <w:lang w:val="pt-PT"/>
        </w:rPr>
        <w:t>IV</w:t>
      </w:r>
    </w:p>
    <w:p w14:paraId="4716154F" w14:textId="20BD1935" w:rsidR="00162CE2" w:rsidRPr="001C687C" w:rsidRDefault="00162CE2" w:rsidP="003539B7">
      <w:pPr>
        <w:pStyle w:val="a3"/>
        <w:adjustRightInd w:val="0"/>
        <w:snapToGrid w:val="0"/>
        <w:rPr>
          <w:rFonts w:eastAsia="맑은 고딕"/>
          <w:snapToGrid w:val="0"/>
          <w:lang w:val="pt-PT" w:eastAsia="ko-KR"/>
        </w:rPr>
      </w:pPr>
    </w:p>
    <w:p w14:paraId="353C42C7" w14:textId="77777777" w:rsidR="00162CE2" w:rsidRPr="002606DB" w:rsidRDefault="00162CE2" w:rsidP="003539B7">
      <w:pPr>
        <w:pStyle w:val="a3"/>
        <w:adjustRightInd w:val="0"/>
        <w:snapToGrid w:val="0"/>
        <w:rPr>
          <w:snapToGrid w:val="0"/>
          <w:lang w:val="pt-PT"/>
        </w:rPr>
      </w:pPr>
    </w:p>
    <w:p w14:paraId="63DAA648"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2.</w:t>
      </w:r>
      <w:r w:rsidRPr="007155C0">
        <w:rPr>
          <w:b/>
          <w:lang w:val="pt-PT"/>
        </w:rPr>
        <w:tab/>
        <w:t>MODO</w:t>
      </w:r>
      <w:r w:rsidRPr="007155C0">
        <w:rPr>
          <w:b/>
          <w:spacing w:val="1"/>
          <w:lang w:val="pt-PT"/>
        </w:rPr>
        <w:t xml:space="preserve"> </w:t>
      </w:r>
      <w:r w:rsidRPr="007155C0">
        <w:rPr>
          <w:b/>
          <w:lang w:val="pt-PT"/>
        </w:rPr>
        <w:t>DE</w:t>
      </w:r>
      <w:r w:rsidRPr="007155C0">
        <w:rPr>
          <w:b/>
          <w:spacing w:val="-2"/>
          <w:lang w:val="pt-PT"/>
        </w:rPr>
        <w:t xml:space="preserve"> ADMINISTRAÇÃO</w:t>
      </w:r>
    </w:p>
    <w:p w14:paraId="5629F7C4" w14:textId="77777777" w:rsidR="00162CE2" w:rsidRPr="002606DB" w:rsidRDefault="00162CE2" w:rsidP="003539B7">
      <w:pPr>
        <w:pStyle w:val="a3"/>
        <w:adjustRightInd w:val="0"/>
        <w:snapToGrid w:val="0"/>
        <w:rPr>
          <w:snapToGrid w:val="0"/>
          <w:lang w:val="pt-PT"/>
        </w:rPr>
      </w:pPr>
    </w:p>
    <w:p w14:paraId="2312EB5A" w14:textId="6A9E154B" w:rsidR="00162CE2" w:rsidRPr="002606DB" w:rsidRDefault="00162CE2" w:rsidP="003539B7">
      <w:pPr>
        <w:pStyle w:val="a3"/>
        <w:adjustRightInd w:val="0"/>
        <w:snapToGrid w:val="0"/>
        <w:rPr>
          <w:snapToGrid w:val="0"/>
          <w:lang w:val="pt-PT"/>
        </w:rPr>
      </w:pPr>
      <w:r w:rsidRPr="002606DB">
        <w:rPr>
          <w:snapToGrid w:val="0"/>
          <w:lang w:val="pt-PT"/>
        </w:rPr>
        <w:t xml:space="preserve">Para administração </w:t>
      </w:r>
      <w:r w:rsidR="00AE5936">
        <w:rPr>
          <w:snapToGrid w:val="0"/>
          <w:lang w:val="pt-PT"/>
        </w:rPr>
        <w:t>IV</w:t>
      </w:r>
      <w:r w:rsidR="00AE5936" w:rsidRPr="002606DB">
        <w:rPr>
          <w:snapToGrid w:val="0"/>
          <w:lang w:val="pt-PT"/>
        </w:rPr>
        <w:t xml:space="preserve"> </w:t>
      </w:r>
      <w:r w:rsidRPr="002606DB">
        <w:rPr>
          <w:snapToGrid w:val="0"/>
          <w:lang w:val="pt-PT"/>
        </w:rPr>
        <w:t>após diluição</w:t>
      </w:r>
    </w:p>
    <w:p w14:paraId="27DBAAAC" w14:textId="77777777" w:rsidR="00162CE2" w:rsidRPr="002606DB" w:rsidRDefault="00162CE2" w:rsidP="003539B7">
      <w:pPr>
        <w:pStyle w:val="a3"/>
        <w:adjustRightInd w:val="0"/>
        <w:snapToGrid w:val="0"/>
        <w:rPr>
          <w:snapToGrid w:val="0"/>
          <w:lang w:val="pt-PT"/>
        </w:rPr>
      </w:pPr>
    </w:p>
    <w:p w14:paraId="312F4D32" w14:textId="77777777" w:rsidR="00162CE2" w:rsidRPr="002606DB" w:rsidRDefault="00162CE2" w:rsidP="003539B7">
      <w:pPr>
        <w:pStyle w:val="a3"/>
        <w:adjustRightInd w:val="0"/>
        <w:snapToGrid w:val="0"/>
        <w:rPr>
          <w:snapToGrid w:val="0"/>
          <w:lang w:val="pt-PT"/>
        </w:rPr>
      </w:pPr>
    </w:p>
    <w:p w14:paraId="7EB1404A"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3.</w:t>
      </w:r>
      <w:r w:rsidRPr="007155C0">
        <w:rPr>
          <w:b/>
          <w:lang w:val="pt-PT"/>
        </w:rPr>
        <w:tab/>
        <w:t>PRAZO</w:t>
      </w:r>
      <w:r w:rsidRPr="007155C0">
        <w:rPr>
          <w:b/>
          <w:spacing w:val="-1"/>
          <w:lang w:val="pt-PT"/>
        </w:rPr>
        <w:t xml:space="preserve"> </w:t>
      </w:r>
      <w:r w:rsidRPr="007155C0">
        <w:rPr>
          <w:b/>
          <w:lang w:val="pt-PT"/>
        </w:rPr>
        <w:t>DE</w:t>
      </w:r>
      <w:r w:rsidRPr="007155C0">
        <w:rPr>
          <w:b/>
          <w:spacing w:val="2"/>
          <w:lang w:val="pt-PT"/>
        </w:rPr>
        <w:t xml:space="preserve"> </w:t>
      </w:r>
      <w:r w:rsidRPr="007155C0">
        <w:rPr>
          <w:b/>
          <w:spacing w:val="-2"/>
          <w:lang w:val="pt-PT"/>
        </w:rPr>
        <w:t>VALIDADE</w:t>
      </w:r>
    </w:p>
    <w:p w14:paraId="70FC61DF" w14:textId="77777777" w:rsidR="00162CE2" w:rsidRPr="002606DB" w:rsidRDefault="00162CE2" w:rsidP="003539B7">
      <w:pPr>
        <w:pStyle w:val="a3"/>
        <w:adjustRightInd w:val="0"/>
        <w:snapToGrid w:val="0"/>
        <w:rPr>
          <w:snapToGrid w:val="0"/>
          <w:lang w:val="pt-PT"/>
        </w:rPr>
      </w:pPr>
    </w:p>
    <w:p w14:paraId="1D43A61E" w14:textId="77777777" w:rsidR="00162CE2" w:rsidRPr="002606DB" w:rsidRDefault="00162CE2" w:rsidP="003539B7">
      <w:pPr>
        <w:pStyle w:val="a3"/>
        <w:adjustRightInd w:val="0"/>
        <w:snapToGrid w:val="0"/>
        <w:rPr>
          <w:snapToGrid w:val="0"/>
          <w:lang w:val="pt-PT"/>
        </w:rPr>
      </w:pPr>
      <w:r w:rsidRPr="002606DB">
        <w:rPr>
          <w:snapToGrid w:val="0"/>
          <w:lang w:val="pt-PT"/>
        </w:rPr>
        <w:t>EXP</w:t>
      </w:r>
    </w:p>
    <w:p w14:paraId="47489B59" w14:textId="77777777" w:rsidR="00162CE2" w:rsidRPr="002606DB" w:rsidRDefault="00162CE2" w:rsidP="003539B7">
      <w:pPr>
        <w:pStyle w:val="a3"/>
        <w:adjustRightInd w:val="0"/>
        <w:snapToGrid w:val="0"/>
        <w:rPr>
          <w:snapToGrid w:val="0"/>
          <w:lang w:val="pt-PT"/>
        </w:rPr>
      </w:pPr>
    </w:p>
    <w:p w14:paraId="477C85FD" w14:textId="77777777" w:rsidR="00162CE2" w:rsidRPr="002606DB" w:rsidRDefault="00162CE2" w:rsidP="003539B7">
      <w:pPr>
        <w:pStyle w:val="a3"/>
        <w:adjustRightInd w:val="0"/>
        <w:snapToGrid w:val="0"/>
        <w:rPr>
          <w:snapToGrid w:val="0"/>
          <w:lang w:val="pt-PT"/>
        </w:rPr>
      </w:pPr>
    </w:p>
    <w:p w14:paraId="0F2D20E4"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4.</w:t>
      </w:r>
      <w:r w:rsidRPr="007155C0">
        <w:rPr>
          <w:b/>
          <w:lang w:val="pt-PT"/>
        </w:rPr>
        <w:tab/>
        <w:t>NÚMERO</w:t>
      </w:r>
      <w:r w:rsidRPr="007155C0">
        <w:rPr>
          <w:b/>
          <w:spacing w:val="1"/>
          <w:lang w:val="pt-PT"/>
        </w:rPr>
        <w:t xml:space="preserve"> </w:t>
      </w:r>
      <w:r w:rsidRPr="007155C0">
        <w:rPr>
          <w:b/>
          <w:lang w:val="pt-PT"/>
        </w:rPr>
        <w:t>DO</w:t>
      </w:r>
      <w:r w:rsidRPr="007155C0">
        <w:rPr>
          <w:b/>
          <w:spacing w:val="-5"/>
          <w:lang w:val="pt-PT"/>
        </w:rPr>
        <w:t xml:space="preserve"> </w:t>
      </w:r>
      <w:r w:rsidRPr="007155C0">
        <w:rPr>
          <w:b/>
          <w:spacing w:val="-4"/>
          <w:lang w:val="pt-PT"/>
        </w:rPr>
        <w:t>LOTE</w:t>
      </w:r>
    </w:p>
    <w:p w14:paraId="51538678" w14:textId="77777777" w:rsidR="00162CE2" w:rsidRPr="002606DB" w:rsidRDefault="00162CE2" w:rsidP="003539B7">
      <w:pPr>
        <w:pStyle w:val="a3"/>
        <w:adjustRightInd w:val="0"/>
        <w:snapToGrid w:val="0"/>
        <w:rPr>
          <w:snapToGrid w:val="0"/>
          <w:lang w:val="pt-PT"/>
        </w:rPr>
      </w:pPr>
    </w:p>
    <w:p w14:paraId="0C5A99EA" w14:textId="77777777" w:rsidR="00162CE2" w:rsidRPr="002606DB" w:rsidRDefault="00162CE2" w:rsidP="003539B7">
      <w:pPr>
        <w:pStyle w:val="a3"/>
        <w:adjustRightInd w:val="0"/>
        <w:snapToGrid w:val="0"/>
        <w:rPr>
          <w:snapToGrid w:val="0"/>
          <w:lang w:val="pt-PT"/>
        </w:rPr>
      </w:pPr>
      <w:r w:rsidRPr="002606DB">
        <w:rPr>
          <w:snapToGrid w:val="0"/>
          <w:lang w:val="pt-PT"/>
        </w:rPr>
        <w:t>Lot</w:t>
      </w:r>
    </w:p>
    <w:p w14:paraId="0ACF6434" w14:textId="77777777" w:rsidR="00162CE2" w:rsidRPr="002606DB" w:rsidRDefault="00162CE2" w:rsidP="003539B7">
      <w:pPr>
        <w:pStyle w:val="a3"/>
        <w:adjustRightInd w:val="0"/>
        <w:snapToGrid w:val="0"/>
        <w:rPr>
          <w:snapToGrid w:val="0"/>
          <w:lang w:val="pt-PT"/>
        </w:rPr>
      </w:pPr>
    </w:p>
    <w:p w14:paraId="5143C939" w14:textId="77777777" w:rsidR="00162CE2" w:rsidRPr="002606DB" w:rsidRDefault="00162CE2" w:rsidP="003539B7">
      <w:pPr>
        <w:pStyle w:val="a3"/>
        <w:adjustRightInd w:val="0"/>
        <w:snapToGrid w:val="0"/>
        <w:rPr>
          <w:snapToGrid w:val="0"/>
          <w:lang w:val="pt-PT"/>
        </w:rPr>
      </w:pPr>
    </w:p>
    <w:p w14:paraId="308B8199" w14:textId="77777777" w:rsidR="00162CE2" w:rsidRPr="00A72D1F" w:rsidRDefault="00162CE2" w:rsidP="003539B7">
      <w:pPr>
        <w:pBdr>
          <w:top w:val="single" w:sz="4" w:space="1" w:color="auto"/>
          <w:left w:val="single" w:sz="4" w:space="4" w:color="auto"/>
          <w:bottom w:val="single" w:sz="4" w:space="1" w:color="auto"/>
          <w:right w:val="single" w:sz="4" w:space="4" w:color="auto"/>
        </w:pBdr>
        <w:rPr>
          <w:b/>
        </w:rPr>
      </w:pPr>
      <w:r w:rsidRPr="00A72D1F">
        <w:rPr>
          <w:b/>
          <w:spacing w:val="-5"/>
        </w:rPr>
        <w:t>5.</w:t>
      </w:r>
      <w:r w:rsidRPr="00A72D1F">
        <w:rPr>
          <w:b/>
        </w:rPr>
        <w:tab/>
        <w:t>CONTEÚDO</w:t>
      </w:r>
      <w:r w:rsidRPr="00A72D1F">
        <w:rPr>
          <w:b/>
          <w:spacing w:val="-8"/>
        </w:rPr>
        <w:t xml:space="preserve"> </w:t>
      </w:r>
      <w:r w:rsidRPr="00A72D1F">
        <w:rPr>
          <w:b/>
        </w:rPr>
        <w:t>EM</w:t>
      </w:r>
      <w:r w:rsidRPr="00A72D1F">
        <w:rPr>
          <w:b/>
          <w:spacing w:val="-2"/>
        </w:rPr>
        <w:t xml:space="preserve"> </w:t>
      </w:r>
      <w:r w:rsidRPr="00A72D1F">
        <w:rPr>
          <w:b/>
        </w:rPr>
        <w:t>PESO,</w:t>
      </w:r>
      <w:r w:rsidRPr="00A72D1F">
        <w:rPr>
          <w:b/>
          <w:spacing w:val="1"/>
        </w:rPr>
        <w:t xml:space="preserve"> </w:t>
      </w:r>
      <w:r w:rsidRPr="00A72D1F">
        <w:rPr>
          <w:b/>
        </w:rPr>
        <w:t>VOLUME</w:t>
      </w:r>
      <w:r w:rsidRPr="00A72D1F">
        <w:rPr>
          <w:b/>
          <w:spacing w:val="-5"/>
        </w:rPr>
        <w:t xml:space="preserve"> </w:t>
      </w:r>
      <w:r w:rsidRPr="00A72D1F">
        <w:rPr>
          <w:b/>
        </w:rPr>
        <w:t>OU</w:t>
      </w:r>
      <w:r w:rsidRPr="00A72D1F">
        <w:rPr>
          <w:b/>
          <w:spacing w:val="-3"/>
        </w:rPr>
        <w:t xml:space="preserve"> </w:t>
      </w:r>
      <w:r w:rsidRPr="00A72D1F">
        <w:rPr>
          <w:b/>
          <w:spacing w:val="-2"/>
        </w:rPr>
        <w:t>UNIDADE</w:t>
      </w:r>
    </w:p>
    <w:p w14:paraId="72F7A804" w14:textId="77777777" w:rsidR="00162CE2" w:rsidRPr="002606DB" w:rsidRDefault="00162CE2" w:rsidP="003539B7">
      <w:pPr>
        <w:pStyle w:val="a3"/>
        <w:adjustRightInd w:val="0"/>
        <w:snapToGrid w:val="0"/>
        <w:rPr>
          <w:snapToGrid w:val="0"/>
          <w:lang w:val="pt-PT"/>
        </w:rPr>
      </w:pPr>
    </w:p>
    <w:p w14:paraId="21F58EB3" w14:textId="77777777" w:rsidR="00162CE2" w:rsidRPr="002606DB" w:rsidRDefault="00162CE2" w:rsidP="003539B7">
      <w:pPr>
        <w:pStyle w:val="a3"/>
        <w:adjustRightInd w:val="0"/>
        <w:snapToGrid w:val="0"/>
        <w:rPr>
          <w:snapToGrid w:val="0"/>
          <w:lang w:val="pt-PT"/>
        </w:rPr>
      </w:pPr>
      <w:r w:rsidRPr="002606DB">
        <w:rPr>
          <w:snapToGrid w:val="0"/>
          <w:lang w:val="pt-PT"/>
        </w:rPr>
        <w:t>100 mg/4 ml</w:t>
      </w:r>
    </w:p>
    <w:p w14:paraId="64703C92" w14:textId="77777777" w:rsidR="00162CE2" w:rsidRPr="002606DB" w:rsidRDefault="00162CE2" w:rsidP="003539B7">
      <w:pPr>
        <w:pStyle w:val="a3"/>
        <w:adjustRightInd w:val="0"/>
        <w:snapToGrid w:val="0"/>
        <w:rPr>
          <w:snapToGrid w:val="0"/>
          <w:lang w:val="pt-PT"/>
        </w:rPr>
      </w:pPr>
    </w:p>
    <w:p w14:paraId="40D09B2F" w14:textId="77777777" w:rsidR="00162CE2" w:rsidRPr="002606DB" w:rsidRDefault="00162CE2" w:rsidP="003539B7">
      <w:pPr>
        <w:pStyle w:val="a3"/>
        <w:adjustRightInd w:val="0"/>
        <w:snapToGrid w:val="0"/>
        <w:rPr>
          <w:snapToGrid w:val="0"/>
          <w:lang w:val="pt-PT"/>
        </w:rPr>
      </w:pPr>
    </w:p>
    <w:p w14:paraId="1DDE345D"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6.</w:t>
      </w:r>
      <w:r w:rsidRPr="002606DB">
        <w:rPr>
          <w:b/>
        </w:rPr>
        <w:tab/>
      </w:r>
      <w:r w:rsidRPr="002606DB">
        <w:rPr>
          <w:b/>
          <w:spacing w:val="-2"/>
        </w:rPr>
        <w:t>OUTRAS</w:t>
      </w:r>
    </w:p>
    <w:p w14:paraId="708BA8E7" w14:textId="77777777" w:rsidR="00162CE2" w:rsidRPr="002606DB" w:rsidRDefault="00162CE2" w:rsidP="003539B7">
      <w:pPr>
        <w:adjustRightInd w:val="0"/>
        <w:snapToGrid w:val="0"/>
        <w:rPr>
          <w:snapToGrid w:val="0"/>
          <w:lang w:val="pt-PT"/>
        </w:rPr>
      </w:pPr>
    </w:p>
    <w:p w14:paraId="38DB8CF2" w14:textId="77777777" w:rsidR="00162CE2" w:rsidRPr="002606DB" w:rsidRDefault="00162CE2" w:rsidP="003539B7">
      <w:pPr>
        <w:adjustRightInd w:val="0"/>
        <w:snapToGrid w:val="0"/>
        <w:rPr>
          <w:snapToGrid w:val="0"/>
          <w:lang w:val="pt-PT"/>
        </w:rPr>
      </w:pPr>
    </w:p>
    <w:p w14:paraId="59BAF076" w14:textId="77777777" w:rsidR="00162CE2" w:rsidRPr="002606DB" w:rsidRDefault="00162CE2" w:rsidP="003539B7">
      <w:pPr>
        <w:pBdr>
          <w:top w:val="single" w:sz="4" w:space="1" w:color="auto"/>
          <w:left w:val="single" w:sz="4" w:space="4" w:color="auto"/>
          <w:bottom w:val="single" w:sz="4" w:space="1" w:color="auto"/>
          <w:right w:val="single" w:sz="4" w:space="4" w:color="auto"/>
        </w:pBdr>
        <w:adjustRightInd w:val="0"/>
        <w:snapToGrid w:val="0"/>
        <w:rPr>
          <w:b/>
        </w:rPr>
      </w:pPr>
      <w:r w:rsidRPr="002606DB">
        <w:rPr>
          <w:snapToGrid w:val="0"/>
          <w:lang w:val="pt-PT"/>
        </w:rPr>
        <w:br w:type="page"/>
      </w:r>
      <w:r w:rsidRPr="002606DB">
        <w:rPr>
          <w:b/>
        </w:rPr>
        <w:lastRenderedPageBreak/>
        <w:t>INDICAÇÕES</w:t>
      </w:r>
      <w:r w:rsidRPr="002606DB">
        <w:rPr>
          <w:b/>
          <w:spacing w:val="-5"/>
        </w:rPr>
        <w:t xml:space="preserve"> </w:t>
      </w:r>
      <w:r w:rsidRPr="002606DB">
        <w:rPr>
          <w:b/>
        </w:rPr>
        <w:t>A</w:t>
      </w:r>
      <w:r w:rsidRPr="002606DB">
        <w:rPr>
          <w:b/>
          <w:spacing w:val="-12"/>
        </w:rPr>
        <w:t xml:space="preserve"> </w:t>
      </w:r>
      <w:r w:rsidRPr="002606DB">
        <w:rPr>
          <w:b/>
        </w:rPr>
        <w:t>INCLUIR</w:t>
      </w:r>
      <w:r w:rsidRPr="002606DB">
        <w:rPr>
          <w:b/>
          <w:spacing w:val="-5"/>
        </w:rPr>
        <w:t xml:space="preserve"> </w:t>
      </w:r>
      <w:r w:rsidRPr="002606DB">
        <w:rPr>
          <w:b/>
        </w:rPr>
        <w:t>NO</w:t>
      </w:r>
      <w:r w:rsidRPr="002606DB">
        <w:rPr>
          <w:b/>
          <w:spacing w:val="-4"/>
        </w:rPr>
        <w:t xml:space="preserve"> </w:t>
      </w:r>
      <w:r w:rsidRPr="002606DB">
        <w:rPr>
          <w:b/>
        </w:rPr>
        <w:t>ACONDICIONAMENTO</w:t>
      </w:r>
      <w:r w:rsidRPr="002606DB">
        <w:rPr>
          <w:b/>
          <w:spacing w:val="-3"/>
        </w:rPr>
        <w:t xml:space="preserve"> </w:t>
      </w:r>
      <w:r w:rsidRPr="002606DB">
        <w:rPr>
          <w:b/>
          <w:spacing w:val="-2"/>
        </w:rPr>
        <w:t>SECUNDÁRIO</w:t>
      </w:r>
    </w:p>
    <w:p w14:paraId="73A7C2D2" w14:textId="77777777" w:rsidR="00162CE2" w:rsidRPr="002606DB" w:rsidRDefault="00162CE2" w:rsidP="003539B7">
      <w:pPr>
        <w:pStyle w:val="a3"/>
        <w:pBdr>
          <w:top w:val="single" w:sz="4" w:space="1" w:color="auto"/>
          <w:left w:val="single" w:sz="4" w:space="4" w:color="auto"/>
          <w:bottom w:val="single" w:sz="4" w:space="1" w:color="auto"/>
          <w:right w:val="single" w:sz="4" w:space="4" w:color="auto"/>
        </w:pBdr>
        <w:rPr>
          <w:b/>
          <w:sz w:val="21"/>
        </w:rPr>
      </w:pPr>
    </w:p>
    <w:p w14:paraId="05E9D7F8"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rPr>
        <w:t>EMBALAGEM</w:t>
      </w:r>
      <w:r w:rsidRPr="002606DB">
        <w:rPr>
          <w:b/>
          <w:spacing w:val="-9"/>
        </w:rPr>
        <w:t xml:space="preserve"> </w:t>
      </w:r>
      <w:r w:rsidRPr="002606DB">
        <w:rPr>
          <w:b/>
          <w:spacing w:val="-2"/>
        </w:rPr>
        <w:t>EXTERIOR</w:t>
      </w:r>
    </w:p>
    <w:p w14:paraId="770F0B4C" w14:textId="77777777" w:rsidR="00162CE2" w:rsidRPr="002606DB" w:rsidRDefault="00162CE2" w:rsidP="003539B7">
      <w:pPr>
        <w:pStyle w:val="a3"/>
        <w:adjustRightInd w:val="0"/>
        <w:snapToGrid w:val="0"/>
        <w:rPr>
          <w:snapToGrid w:val="0"/>
          <w:lang w:val="pt-PT"/>
        </w:rPr>
      </w:pPr>
    </w:p>
    <w:p w14:paraId="17316A62" w14:textId="77777777" w:rsidR="00162CE2" w:rsidRPr="002606DB" w:rsidRDefault="00162CE2" w:rsidP="003539B7">
      <w:pPr>
        <w:pStyle w:val="a3"/>
        <w:adjustRightInd w:val="0"/>
        <w:snapToGrid w:val="0"/>
        <w:rPr>
          <w:snapToGrid w:val="0"/>
          <w:lang w:val="pt-PT"/>
        </w:rPr>
      </w:pPr>
    </w:p>
    <w:p w14:paraId="5DCAEA2C"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1.</w:t>
      </w:r>
      <w:r w:rsidRPr="002606DB">
        <w:rPr>
          <w:b/>
        </w:rPr>
        <w:tab/>
        <w:t>NOME</w:t>
      </w:r>
      <w:r w:rsidRPr="002606DB">
        <w:rPr>
          <w:b/>
          <w:spacing w:val="4"/>
        </w:rPr>
        <w:t xml:space="preserve"> </w:t>
      </w:r>
      <w:r w:rsidRPr="002606DB">
        <w:rPr>
          <w:b/>
        </w:rPr>
        <w:t>DO</w:t>
      </w:r>
      <w:r w:rsidRPr="002606DB">
        <w:rPr>
          <w:b/>
          <w:spacing w:val="-12"/>
        </w:rPr>
        <w:t xml:space="preserve"> </w:t>
      </w:r>
      <w:r w:rsidRPr="002606DB">
        <w:rPr>
          <w:b/>
          <w:spacing w:val="-2"/>
        </w:rPr>
        <w:t>MEDICAMENTO</w:t>
      </w:r>
    </w:p>
    <w:p w14:paraId="4C867925" w14:textId="77777777" w:rsidR="00162CE2" w:rsidRPr="002606DB" w:rsidRDefault="00162CE2" w:rsidP="003539B7">
      <w:pPr>
        <w:pStyle w:val="a3"/>
        <w:adjustRightInd w:val="0"/>
        <w:snapToGrid w:val="0"/>
        <w:rPr>
          <w:snapToGrid w:val="0"/>
          <w:lang w:val="pt-PT"/>
        </w:rPr>
      </w:pPr>
    </w:p>
    <w:p w14:paraId="5DE24E24" w14:textId="6AC82F07" w:rsidR="00162CE2" w:rsidRPr="002606DB" w:rsidRDefault="00FB2483" w:rsidP="003539B7">
      <w:pPr>
        <w:pStyle w:val="a3"/>
        <w:adjustRightInd w:val="0"/>
        <w:snapToGrid w:val="0"/>
        <w:rPr>
          <w:snapToGrid w:val="0"/>
          <w:lang w:val="pt-PT"/>
        </w:rPr>
      </w:pPr>
      <w:r>
        <w:rPr>
          <w:noProof/>
          <w:color w:val="000000"/>
          <w:lang w:val="en-GB"/>
        </w:rPr>
        <w:t>Vegzelma</w:t>
      </w:r>
      <w:r w:rsidR="00296E45">
        <w:rPr>
          <w:rFonts w:eastAsia="맑은 고딕" w:hint="eastAsia"/>
          <w:noProof/>
          <w:color w:val="000000"/>
          <w:lang w:val="en-GB" w:eastAsia="ko-KR"/>
        </w:rPr>
        <w:t xml:space="preserve"> </w:t>
      </w:r>
      <w:r w:rsidR="00162CE2" w:rsidRPr="002606DB">
        <w:rPr>
          <w:snapToGrid w:val="0"/>
          <w:lang w:val="pt-PT"/>
        </w:rPr>
        <w:t xml:space="preserve">25 mg/ml concentrado para solução para perfusão </w:t>
      </w:r>
    </w:p>
    <w:p w14:paraId="4DDCA2C7" w14:textId="77777777" w:rsidR="00162CE2" w:rsidRPr="002606DB" w:rsidRDefault="00162CE2" w:rsidP="003539B7">
      <w:pPr>
        <w:pStyle w:val="a3"/>
        <w:adjustRightInd w:val="0"/>
        <w:snapToGrid w:val="0"/>
        <w:rPr>
          <w:snapToGrid w:val="0"/>
          <w:lang w:val="pt-PT"/>
        </w:rPr>
      </w:pPr>
      <w:r w:rsidRPr="002606DB">
        <w:rPr>
          <w:snapToGrid w:val="0"/>
          <w:lang w:val="pt-PT"/>
        </w:rPr>
        <w:t>bevacizumab</w:t>
      </w:r>
    </w:p>
    <w:p w14:paraId="245D951F" w14:textId="77777777" w:rsidR="00162CE2" w:rsidRPr="002606DB" w:rsidRDefault="00162CE2" w:rsidP="003539B7">
      <w:pPr>
        <w:pStyle w:val="a3"/>
        <w:adjustRightInd w:val="0"/>
        <w:snapToGrid w:val="0"/>
        <w:rPr>
          <w:snapToGrid w:val="0"/>
          <w:lang w:val="pt-PT"/>
        </w:rPr>
      </w:pPr>
    </w:p>
    <w:p w14:paraId="352E7E29" w14:textId="77777777" w:rsidR="00162CE2" w:rsidRPr="002606DB" w:rsidRDefault="00162CE2" w:rsidP="003539B7">
      <w:pPr>
        <w:pStyle w:val="a3"/>
        <w:adjustRightInd w:val="0"/>
        <w:snapToGrid w:val="0"/>
        <w:rPr>
          <w:snapToGrid w:val="0"/>
          <w:lang w:val="pt-PT"/>
        </w:rPr>
      </w:pPr>
    </w:p>
    <w:p w14:paraId="53AAB1B3"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2.</w:t>
      </w:r>
      <w:r w:rsidRPr="002606DB">
        <w:rPr>
          <w:b/>
        </w:rPr>
        <w:tab/>
        <w:t>DESCRIÇÃO</w:t>
      </w:r>
      <w:r w:rsidRPr="002606DB">
        <w:rPr>
          <w:b/>
          <w:spacing w:val="-6"/>
        </w:rPr>
        <w:t xml:space="preserve"> </w:t>
      </w:r>
      <w:r w:rsidRPr="002606DB">
        <w:rPr>
          <w:b/>
        </w:rPr>
        <w:t>DA(S)</w:t>
      </w:r>
      <w:r w:rsidRPr="002606DB">
        <w:rPr>
          <w:b/>
          <w:spacing w:val="-6"/>
        </w:rPr>
        <w:t xml:space="preserve"> </w:t>
      </w:r>
      <w:r w:rsidRPr="002606DB">
        <w:rPr>
          <w:b/>
        </w:rPr>
        <w:t>SUBSTÂNCIA(S)</w:t>
      </w:r>
      <w:r w:rsidRPr="002606DB">
        <w:rPr>
          <w:b/>
          <w:spacing w:val="-7"/>
        </w:rPr>
        <w:t xml:space="preserve"> </w:t>
      </w:r>
      <w:r w:rsidRPr="002606DB">
        <w:rPr>
          <w:b/>
          <w:spacing w:val="-2"/>
        </w:rPr>
        <w:t>ATIVA(S)</w:t>
      </w:r>
    </w:p>
    <w:p w14:paraId="567012D1" w14:textId="77777777" w:rsidR="00162CE2" w:rsidRPr="002606DB" w:rsidRDefault="00162CE2" w:rsidP="003539B7">
      <w:pPr>
        <w:pStyle w:val="a3"/>
        <w:adjustRightInd w:val="0"/>
        <w:snapToGrid w:val="0"/>
        <w:rPr>
          <w:snapToGrid w:val="0"/>
          <w:lang w:val="pt-PT"/>
        </w:rPr>
      </w:pPr>
    </w:p>
    <w:p w14:paraId="248EC042" w14:textId="5CB1EE8D" w:rsidR="00162CE2" w:rsidRPr="002606DB" w:rsidRDefault="00162CE2" w:rsidP="003539B7">
      <w:pPr>
        <w:pStyle w:val="a3"/>
        <w:adjustRightInd w:val="0"/>
        <w:snapToGrid w:val="0"/>
        <w:rPr>
          <w:snapToGrid w:val="0"/>
          <w:lang w:val="pt-PT"/>
        </w:rPr>
      </w:pPr>
      <w:r w:rsidRPr="002606DB">
        <w:rPr>
          <w:snapToGrid w:val="0"/>
          <w:lang w:val="pt-PT"/>
        </w:rPr>
        <w:t>Cada frasco para injetáveis contém 400 mg de bevacizumab em 16</w:t>
      </w:r>
      <w:r w:rsidR="002B734A" w:rsidRPr="002606DB">
        <w:rPr>
          <w:snapToGrid w:val="0"/>
          <w:lang w:val="pt-PT"/>
        </w:rPr>
        <w:t> </w:t>
      </w:r>
      <w:r w:rsidRPr="002606DB">
        <w:rPr>
          <w:snapToGrid w:val="0"/>
          <w:lang w:val="pt-PT"/>
        </w:rPr>
        <w:t>ml de concentrado.</w:t>
      </w:r>
    </w:p>
    <w:p w14:paraId="13725FC6" w14:textId="77777777" w:rsidR="00162CE2" w:rsidRPr="002606DB" w:rsidRDefault="00162CE2" w:rsidP="003539B7">
      <w:pPr>
        <w:pStyle w:val="a3"/>
        <w:adjustRightInd w:val="0"/>
        <w:snapToGrid w:val="0"/>
        <w:rPr>
          <w:snapToGrid w:val="0"/>
          <w:lang w:val="pt-PT"/>
        </w:rPr>
      </w:pPr>
    </w:p>
    <w:p w14:paraId="25D0E076" w14:textId="77777777" w:rsidR="00162CE2" w:rsidRPr="002606DB" w:rsidRDefault="00162CE2" w:rsidP="003539B7">
      <w:pPr>
        <w:pStyle w:val="a3"/>
        <w:adjustRightInd w:val="0"/>
        <w:snapToGrid w:val="0"/>
        <w:rPr>
          <w:snapToGrid w:val="0"/>
          <w:lang w:val="pt-PT"/>
        </w:rPr>
      </w:pPr>
    </w:p>
    <w:p w14:paraId="593FC4D0"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3.</w:t>
      </w:r>
      <w:r w:rsidRPr="007155C0">
        <w:rPr>
          <w:b/>
          <w:lang w:val="fr-CA"/>
        </w:rPr>
        <w:tab/>
        <w:t>LISTA</w:t>
      </w:r>
      <w:r w:rsidRPr="007155C0">
        <w:rPr>
          <w:b/>
          <w:spacing w:val="-4"/>
          <w:lang w:val="fr-CA"/>
        </w:rPr>
        <w:t xml:space="preserve"> </w:t>
      </w:r>
      <w:r w:rsidRPr="007155C0">
        <w:rPr>
          <w:b/>
          <w:lang w:val="fr-CA"/>
        </w:rPr>
        <w:t>DOS</w:t>
      </w:r>
      <w:r w:rsidRPr="007155C0">
        <w:rPr>
          <w:b/>
          <w:spacing w:val="-3"/>
          <w:lang w:val="fr-CA"/>
        </w:rPr>
        <w:t xml:space="preserve"> </w:t>
      </w:r>
      <w:r w:rsidRPr="007155C0">
        <w:rPr>
          <w:b/>
          <w:spacing w:val="-2"/>
          <w:lang w:val="fr-CA"/>
        </w:rPr>
        <w:t>EXCIPIENTES</w:t>
      </w:r>
    </w:p>
    <w:p w14:paraId="7E6E575F" w14:textId="77777777" w:rsidR="00162CE2" w:rsidRPr="002606DB" w:rsidRDefault="00162CE2" w:rsidP="003539B7">
      <w:pPr>
        <w:pStyle w:val="a3"/>
        <w:adjustRightInd w:val="0"/>
        <w:snapToGrid w:val="0"/>
        <w:rPr>
          <w:snapToGrid w:val="0"/>
          <w:lang w:val="pt-PT"/>
        </w:rPr>
      </w:pPr>
    </w:p>
    <w:p w14:paraId="6A1AC25B" w14:textId="77777777" w:rsidR="00162CE2" w:rsidRPr="002606DB" w:rsidRDefault="00162CE2" w:rsidP="003539B7">
      <w:pPr>
        <w:pStyle w:val="a3"/>
        <w:adjustRightInd w:val="0"/>
        <w:snapToGrid w:val="0"/>
        <w:rPr>
          <w:snapToGrid w:val="0"/>
          <w:lang w:val="pt-PT"/>
        </w:rPr>
      </w:pPr>
      <w:r w:rsidRPr="002606DB">
        <w:rPr>
          <w:snapToGrid w:val="0"/>
          <w:lang w:val="pt-PT"/>
        </w:rPr>
        <w:t>Trealose dihidratada, fosfato de sódio, polissorbato 20, água para preparações injetáveis.</w:t>
      </w:r>
    </w:p>
    <w:p w14:paraId="1F9F1E2A" w14:textId="77777777" w:rsidR="00162CE2" w:rsidRPr="002606DB" w:rsidRDefault="00162CE2" w:rsidP="003539B7">
      <w:pPr>
        <w:pStyle w:val="a3"/>
        <w:adjustRightInd w:val="0"/>
        <w:snapToGrid w:val="0"/>
        <w:rPr>
          <w:snapToGrid w:val="0"/>
          <w:lang w:val="pt-PT"/>
        </w:rPr>
      </w:pPr>
    </w:p>
    <w:p w14:paraId="3654E376" w14:textId="77777777" w:rsidR="00162CE2" w:rsidRPr="002606DB" w:rsidRDefault="00162CE2" w:rsidP="003539B7">
      <w:pPr>
        <w:pStyle w:val="a3"/>
        <w:adjustRightInd w:val="0"/>
        <w:snapToGrid w:val="0"/>
        <w:rPr>
          <w:snapToGrid w:val="0"/>
          <w:lang w:val="pt-PT"/>
        </w:rPr>
      </w:pPr>
    </w:p>
    <w:p w14:paraId="71A6F42A"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4.</w:t>
      </w:r>
      <w:r w:rsidRPr="007155C0">
        <w:rPr>
          <w:b/>
          <w:lang w:val="fr-CA"/>
        </w:rPr>
        <w:tab/>
        <w:t>FORMA</w:t>
      </w:r>
      <w:r w:rsidRPr="007155C0">
        <w:rPr>
          <w:b/>
          <w:spacing w:val="-4"/>
          <w:lang w:val="fr-CA"/>
        </w:rPr>
        <w:t xml:space="preserve"> </w:t>
      </w:r>
      <w:r w:rsidRPr="007155C0">
        <w:rPr>
          <w:b/>
          <w:lang w:val="fr-CA"/>
        </w:rPr>
        <w:t>FARMACÊUTICA</w:t>
      </w:r>
      <w:r w:rsidRPr="007155C0">
        <w:rPr>
          <w:b/>
          <w:spacing w:val="-4"/>
          <w:lang w:val="fr-CA"/>
        </w:rPr>
        <w:t xml:space="preserve"> </w:t>
      </w:r>
      <w:r w:rsidRPr="007155C0">
        <w:rPr>
          <w:b/>
          <w:lang w:val="fr-CA"/>
        </w:rPr>
        <w:t>E</w:t>
      </w:r>
      <w:r w:rsidRPr="007155C0">
        <w:rPr>
          <w:b/>
          <w:spacing w:val="-6"/>
          <w:lang w:val="fr-CA"/>
        </w:rPr>
        <w:t xml:space="preserve"> </w:t>
      </w:r>
      <w:r w:rsidRPr="007155C0">
        <w:rPr>
          <w:b/>
          <w:spacing w:val="-2"/>
          <w:lang w:val="fr-CA"/>
        </w:rPr>
        <w:t>CONTEÚDO</w:t>
      </w:r>
    </w:p>
    <w:p w14:paraId="2CF1E858" w14:textId="77777777" w:rsidR="00162CE2" w:rsidRPr="002606DB" w:rsidRDefault="00162CE2" w:rsidP="003539B7">
      <w:pPr>
        <w:pStyle w:val="a3"/>
        <w:adjustRightInd w:val="0"/>
        <w:snapToGrid w:val="0"/>
        <w:rPr>
          <w:snapToGrid w:val="0"/>
          <w:lang w:val="pt-PT"/>
        </w:rPr>
      </w:pPr>
    </w:p>
    <w:p w14:paraId="576B3FD3" w14:textId="4DA3CFE9" w:rsidR="00162CE2" w:rsidRDefault="00162CE2" w:rsidP="003539B7">
      <w:pPr>
        <w:pStyle w:val="a3"/>
        <w:adjustRightInd w:val="0"/>
        <w:snapToGrid w:val="0"/>
        <w:rPr>
          <w:snapToGrid w:val="0"/>
          <w:shd w:val="pct15" w:color="auto" w:fill="FFFFFF"/>
          <w:lang w:val="pt-PT"/>
        </w:rPr>
      </w:pPr>
      <w:r w:rsidRPr="002606DB">
        <w:rPr>
          <w:snapToGrid w:val="0"/>
          <w:shd w:val="pct15" w:color="auto" w:fill="FFFFFF"/>
          <w:lang w:val="pt-PT"/>
        </w:rPr>
        <w:t>Concentrado para solução para perfusão</w:t>
      </w:r>
    </w:p>
    <w:p w14:paraId="1DE6ABA9" w14:textId="77777777" w:rsidR="00AE5936" w:rsidRPr="002606DB" w:rsidRDefault="00AE5936" w:rsidP="003539B7">
      <w:pPr>
        <w:pStyle w:val="a3"/>
        <w:adjustRightInd w:val="0"/>
        <w:snapToGrid w:val="0"/>
        <w:rPr>
          <w:snapToGrid w:val="0"/>
          <w:shd w:val="pct15" w:color="auto" w:fill="FFFFFF"/>
          <w:lang w:val="pt-PT"/>
        </w:rPr>
      </w:pPr>
    </w:p>
    <w:p w14:paraId="487C62E9" w14:textId="6C29DD60" w:rsidR="00162CE2" w:rsidRDefault="00162CE2" w:rsidP="003539B7">
      <w:pPr>
        <w:pStyle w:val="a3"/>
        <w:adjustRightInd w:val="0"/>
        <w:snapToGrid w:val="0"/>
        <w:rPr>
          <w:snapToGrid w:val="0"/>
          <w:shd w:val="pct15" w:color="auto" w:fill="FFFFFF"/>
          <w:lang w:val="pt-PT"/>
        </w:rPr>
      </w:pPr>
      <w:r w:rsidRPr="00AE5936">
        <w:rPr>
          <w:snapToGrid w:val="0"/>
          <w:lang w:val="pt-PT"/>
        </w:rPr>
        <w:t xml:space="preserve">1 </w:t>
      </w:r>
      <w:r w:rsidR="00AE5936" w:rsidRPr="002606DB">
        <w:rPr>
          <w:snapToGrid w:val="0"/>
          <w:lang w:val="pt-PT"/>
        </w:rPr>
        <w:t xml:space="preserve">frasco para injetáveis </w:t>
      </w:r>
      <w:r w:rsidRPr="002606DB">
        <w:rPr>
          <w:snapToGrid w:val="0"/>
          <w:shd w:val="pct15" w:color="auto" w:fill="FFFFFF"/>
          <w:lang w:val="pt-PT"/>
        </w:rPr>
        <w:t>de 16 ml</w:t>
      </w:r>
    </w:p>
    <w:p w14:paraId="1002A115" w14:textId="4B1B398B" w:rsidR="004C38AD" w:rsidRDefault="004C38AD" w:rsidP="004C38AD">
      <w:pPr>
        <w:pStyle w:val="a3"/>
        <w:adjustRightInd w:val="0"/>
        <w:snapToGrid w:val="0"/>
        <w:rPr>
          <w:snapToGrid w:val="0"/>
          <w:shd w:val="pct15" w:color="auto" w:fill="FFFFFF"/>
          <w:lang w:val="pt-PT"/>
        </w:rPr>
      </w:pPr>
      <w:r>
        <w:rPr>
          <w:rFonts w:eastAsia="맑은 고딕" w:hint="eastAsia"/>
          <w:snapToGrid w:val="0"/>
          <w:shd w:val="pct15" w:color="auto" w:fill="FFFFFF"/>
          <w:lang w:val="pt-PT" w:eastAsia="ko-KR"/>
        </w:rPr>
        <w:t>2</w:t>
      </w:r>
      <w:r w:rsidRPr="002606DB">
        <w:rPr>
          <w:snapToGrid w:val="0"/>
          <w:shd w:val="pct15" w:color="auto" w:fill="FFFFFF"/>
          <w:lang w:val="pt-PT"/>
        </w:rPr>
        <w:t xml:space="preserve"> frascos para injetáveis de </w:t>
      </w:r>
      <w:r>
        <w:rPr>
          <w:snapToGrid w:val="0"/>
          <w:shd w:val="pct15" w:color="auto" w:fill="FFFFFF"/>
          <w:lang w:val="pt-PT"/>
        </w:rPr>
        <w:t>16</w:t>
      </w:r>
      <w:r w:rsidRPr="002606DB">
        <w:rPr>
          <w:snapToGrid w:val="0"/>
          <w:shd w:val="pct15" w:color="auto" w:fill="FFFFFF"/>
          <w:lang w:val="pt-PT"/>
        </w:rPr>
        <w:t> ml</w:t>
      </w:r>
    </w:p>
    <w:p w14:paraId="275A2BFA" w14:textId="543AB429" w:rsidR="00AE5936" w:rsidRDefault="00AE5936" w:rsidP="00AE5936">
      <w:pPr>
        <w:pStyle w:val="a3"/>
        <w:adjustRightInd w:val="0"/>
        <w:snapToGrid w:val="0"/>
        <w:rPr>
          <w:snapToGrid w:val="0"/>
          <w:shd w:val="pct15" w:color="auto" w:fill="FFFFFF"/>
          <w:lang w:val="pt-PT"/>
        </w:rPr>
      </w:pPr>
      <w:r w:rsidRPr="002606DB">
        <w:rPr>
          <w:snapToGrid w:val="0"/>
          <w:shd w:val="pct15" w:color="auto" w:fill="FFFFFF"/>
          <w:lang w:val="pt-PT"/>
        </w:rPr>
        <w:t xml:space="preserve">10 frascos para injetáveis de </w:t>
      </w:r>
      <w:r>
        <w:rPr>
          <w:snapToGrid w:val="0"/>
          <w:shd w:val="pct15" w:color="auto" w:fill="FFFFFF"/>
          <w:lang w:val="pt-PT"/>
        </w:rPr>
        <w:t>16</w:t>
      </w:r>
      <w:r w:rsidRPr="002606DB">
        <w:rPr>
          <w:snapToGrid w:val="0"/>
          <w:shd w:val="pct15" w:color="auto" w:fill="FFFFFF"/>
          <w:lang w:val="pt-PT"/>
        </w:rPr>
        <w:t> ml</w:t>
      </w:r>
    </w:p>
    <w:p w14:paraId="60368A08" w14:textId="77777777" w:rsidR="00AE5936" w:rsidRPr="002606DB" w:rsidRDefault="00AE5936" w:rsidP="003539B7">
      <w:pPr>
        <w:pStyle w:val="a3"/>
        <w:adjustRightInd w:val="0"/>
        <w:snapToGrid w:val="0"/>
        <w:rPr>
          <w:snapToGrid w:val="0"/>
          <w:shd w:val="pct15" w:color="auto" w:fill="FFFFFF"/>
          <w:lang w:val="pt-PT"/>
        </w:rPr>
      </w:pPr>
    </w:p>
    <w:p w14:paraId="66EB55A4" w14:textId="77777777" w:rsidR="00162CE2" w:rsidRPr="002606DB" w:rsidRDefault="00162CE2" w:rsidP="003539B7">
      <w:pPr>
        <w:pStyle w:val="a3"/>
        <w:adjustRightInd w:val="0"/>
        <w:snapToGrid w:val="0"/>
        <w:rPr>
          <w:snapToGrid w:val="0"/>
          <w:lang w:val="pt-PT"/>
        </w:rPr>
      </w:pPr>
      <w:r w:rsidRPr="002606DB">
        <w:rPr>
          <w:snapToGrid w:val="0"/>
          <w:lang w:val="pt-PT"/>
        </w:rPr>
        <w:t>400 mg/16 ml</w:t>
      </w:r>
    </w:p>
    <w:p w14:paraId="6D415BFA" w14:textId="77777777" w:rsidR="00162CE2" w:rsidRPr="002606DB" w:rsidRDefault="00162CE2" w:rsidP="003539B7">
      <w:pPr>
        <w:pStyle w:val="a3"/>
        <w:adjustRightInd w:val="0"/>
        <w:snapToGrid w:val="0"/>
        <w:rPr>
          <w:snapToGrid w:val="0"/>
          <w:lang w:val="pt-PT"/>
        </w:rPr>
      </w:pPr>
    </w:p>
    <w:p w14:paraId="7F727922" w14:textId="77777777" w:rsidR="00162CE2" w:rsidRPr="002606DB" w:rsidRDefault="00162CE2" w:rsidP="003539B7">
      <w:pPr>
        <w:pStyle w:val="a3"/>
        <w:adjustRightInd w:val="0"/>
        <w:snapToGrid w:val="0"/>
        <w:rPr>
          <w:snapToGrid w:val="0"/>
          <w:lang w:val="pt-PT"/>
        </w:rPr>
      </w:pPr>
    </w:p>
    <w:p w14:paraId="659DFC2B"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5.</w:t>
      </w:r>
      <w:r w:rsidRPr="007155C0">
        <w:rPr>
          <w:b/>
          <w:lang w:val="pt-PT"/>
        </w:rPr>
        <w:tab/>
        <w:t>MODO</w:t>
      </w:r>
      <w:r w:rsidRPr="007155C0">
        <w:rPr>
          <w:b/>
          <w:spacing w:val="-7"/>
          <w:lang w:val="pt-PT"/>
        </w:rPr>
        <w:t xml:space="preserve"> </w:t>
      </w:r>
      <w:r w:rsidRPr="007155C0">
        <w:rPr>
          <w:b/>
          <w:lang w:val="pt-PT"/>
        </w:rPr>
        <w:t>E</w:t>
      </w:r>
      <w:r w:rsidRPr="007155C0">
        <w:rPr>
          <w:b/>
          <w:spacing w:val="3"/>
          <w:lang w:val="pt-PT"/>
        </w:rPr>
        <w:t xml:space="preserve"> </w:t>
      </w:r>
      <w:r w:rsidRPr="007155C0">
        <w:rPr>
          <w:b/>
          <w:lang w:val="pt-PT"/>
        </w:rPr>
        <w:t>VIA(S)</w:t>
      </w:r>
      <w:r w:rsidRPr="007155C0">
        <w:rPr>
          <w:b/>
          <w:spacing w:val="-1"/>
          <w:lang w:val="pt-PT"/>
        </w:rPr>
        <w:t xml:space="preserve"> </w:t>
      </w:r>
      <w:r w:rsidRPr="007155C0">
        <w:rPr>
          <w:b/>
          <w:lang w:val="pt-PT"/>
        </w:rPr>
        <w:t>DE</w:t>
      </w:r>
      <w:r w:rsidRPr="007155C0">
        <w:rPr>
          <w:b/>
          <w:spacing w:val="-3"/>
          <w:lang w:val="pt-PT"/>
        </w:rPr>
        <w:t xml:space="preserve"> </w:t>
      </w:r>
      <w:r w:rsidRPr="007155C0">
        <w:rPr>
          <w:b/>
          <w:spacing w:val="-2"/>
          <w:lang w:val="pt-PT"/>
        </w:rPr>
        <w:t>ADMINISTRAÇÃO</w:t>
      </w:r>
    </w:p>
    <w:p w14:paraId="78DFF055" w14:textId="77777777" w:rsidR="00162CE2" w:rsidRPr="002606DB" w:rsidRDefault="00162CE2" w:rsidP="003539B7">
      <w:pPr>
        <w:pStyle w:val="a3"/>
        <w:adjustRightInd w:val="0"/>
        <w:snapToGrid w:val="0"/>
        <w:rPr>
          <w:snapToGrid w:val="0"/>
          <w:lang w:val="pt-PT"/>
        </w:rPr>
      </w:pPr>
    </w:p>
    <w:p w14:paraId="1FF75E13" w14:textId="77777777" w:rsidR="00733F07" w:rsidRPr="002606DB" w:rsidRDefault="00162CE2" w:rsidP="003539B7">
      <w:pPr>
        <w:pStyle w:val="a3"/>
        <w:adjustRightInd w:val="0"/>
        <w:snapToGrid w:val="0"/>
        <w:rPr>
          <w:snapToGrid w:val="0"/>
          <w:lang w:val="pt-PT"/>
        </w:rPr>
      </w:pPr>
      <w:r w:rsidRPr="002606DB">
        <w:rPr>
          <w:snapToGrid w:val="0"/>
          <w:lang w:val="pt-PT"/>
        </w:rPr>
        <w:t xml:space="preserve">Para administração intravenosa após diluição </w:t>
      </w:r>
    </w:p>
    <w:p w14:paraId="4213F09A" w14:textId="75C84B22" w:rsidR="00162CE2" w:rsidRPr="002606DB" w:rsidRDefault="00162CE2" w:rsidP="003539B7">
      <w:pPr>
        <w:pStyle w:val="a3"/>
        <w:adjustRightInd w:val="0"/>
        <w:snapToGrid w:val="0"/>
        <w:rPr>
          <w:snapToGrid w:val="0"/>
          <w:lang w:val="pt-PT"/>
        </w:rPr>
      </w:pPr>
      <w:r w:rsidRPr="002606DB">
        <w:rPr>
          <w:snapToGrid w:val="0"/>
          <w:lang w:val="pt-PT"/>
        </w:rPr>
        <w:t>Consultar o folheto informativo antes de utilizar</w:t>
      </w:r>
    </w:p>
    <w:p w14:paraId="12022A60" w14:textId="77777777" w:rsidR="00162CE2" w:rsidRPr="002606DB" w:rsidRDefault="00162CE2" w:rsidP="003539B7">
      <w:pPr>
        <w:pStyle w:val="a3"/>
        <w:adjustRightInd w:val="0"/>
        <w:snapToGrid w:val="0"/>
        <w:rPr>
          <w:snapToGrid w:val="0"/>
          <w:lang w:val="pt-PT"/>
        </w:rPr>
      </w:pPr>
    </w:p>
    <w:p w14:paraId="782063F6" w14:textId="77777777" w:rsidR="00162CE2" w:rsidRPr="002606DB" w:rsidRDefault="00162CE2" w:rsidP="003539B7">
      <w:pPr>
        <w:pStyle w:val="a3"/>
        <w:adjustRightInd w:val="0"/>
        <w:snapToGrid w:val="0"/>
        <w:rPr>
          <w:snapToGrid w:val="0"/>
          <w:lang w:val="pt-PT"/>
        </w:rPr>
      </w:pPr>
    </w:p>
    <w:p w14:paraId="0DA7D253" w14:textId="77777777" w:rsidR="00162CE2" w:rsidRPr="007155C0" w:rsidRDefault="00162CE2" w:rsidP="00032FC9">
      <w:pPr>
        <w:pBdr>
          <w:top w:val="single" w:sz="4" w:space="1" w:color="auto"/>
          <w:left w:val="single" w:sz="4" w:space="4" w:color="auto"/>
          <w:bottom w:val="single" w:sz="4" w:space="1" w:color="auto"/>
          <w:right w:val="single" w:sz="4" w:space="4" w:color="auto"/>
        </w:pBdr>
        <w:ind w:left="567" w:hanging="567"/>
        <w:rPr>
          <w:b/>
          <w:lang w:val="pt-PT"/>
        </w:rPr>
      </w:pPr>
      <w:r w:rsidRPr="007155C0">
        <w:rPr>
          <w:b/>
          <w:spacing w:val="-6"/>
          <w:lang w:val="pt-PT"/>
        </w:rPr>
        <w:t>6.</w:t>
      </w:r>
      <w:r w:rsidRPr="007155C0">
        <w:rPr>
          <w:b/>
          <w:lang w:val="pt-PT"/>
        </w:rPr>
        <w:tab/>
        <w:t>ADVERTÊNCIA</w:t>
      </w:r>
      <w:r w:rsidRPr="007155C0">
        <w:rPr>
          <w:b/>
          <w:spacing w:val="-9"/>
          <w:lang w:val="pt-PT"/>
        </w:rPr>
        <w:t xml:space="preserve"> </w:t>
      </w:r>
      <w:r w:rsidRPr="007155C0">
        <w:rPr>
          <w:b/>
          <w:lang w:val="pt-PT"/>
        </w:rPr>
        <w:t>ESPECIAL DE</w:t>
      </w:r>
      <w:r w:rsidRPr="007155C0">
        <w:rPr>
          <w:b/>
          <w:spacing w:val="-4"/>
          <w:lang w:val="pt-PT"/>
        </w:rPr>
        <w:t xml:space="preserve"> </w:t>
      </w:r>
      <w:r w:rsidRPr="007155C0">
        <w:rPr>
          <w:b/>
          <w:lang w:val="pt-PT"/>
        </w:rPr>
        <w:t>QUE</w:t>
      </w:r>
      <w:r w:rsidRPr="007155C0">
        <w:rPr>
          <w:b/>
          <w:spacing w:val="-4"/>
          <w:lang w:val="pt-PT"/>
        </w:rPr>
        <w:t xml:space="preserve"> </w:t>
      </w:r>
      <w:r w:rsidRPr="007155C0">
        <w:rPr>
          <w:b/>
          <w:lang w:val="pt-PT"/>
        </w:rPr>
        <w:t>O</w:t>
      </w:r>
      <w:r w:rsidRPr="007155C0">
        <w:rPr>
          <w:b/>
          <w:spacing w:val="-7"/>
          <w:lang w:val="pt-PT"/>
        </w:rPr>
        <w:t xml:space="preserve"> </w:t>
      </w:r>
      <w:r w:rsidRPr="007155C0">
        <w:rPr>
          <w:b/>
          <w:lang w:val="pt-PT"/>
        </w:rPr>
        <w:t>MEDICAMENTO</w:t>
      </w:r>
      <w:r w:rsidRPr="007155C0">
        <w:rPr>
          <w:b/>
          <w:spacing w:val="-7"/>
          <w:lang w:val="pt-PT"/>
        </w:rPr>
        <w:t xml:space="preserve"> </w:t>
      </w:r>
      <w:r w:rsidRPr="007155C0">
        <w:rPr>
          <w:b/>
          <w:lang w:val="pt-PT"/>
        </w:rPr>
        <w:t>DEVE SER</w:t>
      </w:r>
      <w:r w:rsidRPr="007155C0">
        <w:rPr>
          <w:b/>
          <w:spacing w:val="-9"/>
          <w:lang w:val="pt-PT"/>
        </w:rPr>
        <w:t xml:space="preserve"> </w:t>
      </w:r>
      <w:r w:rsidRPr="007155C0">
        <w:rPr>
          <w:b/>
          <w:lang w:val="pt-PT"/>
        </w:rPr>
        <w:t>MANTIDO FORA DA VISTA E DO ALCANCE DAS CRIANÇAS</w:t>
      </w:r>
    </w:p>
    <w:p w14:paraId="7A3C7AAA" w14:textId="77777777" w:rsidR="00162CE2" w:rsidRPr="002606DB" w:rsidRDefault="00162CE2" w:rsidP="003539B7">
      <w:pPr>
        <w:pStyle w:val="a3"/>
        <w:adjustRightInd w:val="0"/>
        <w:snapToGrid w:val="0"/>
        <w:rPr>
          <w:snapToGrid w:val="0"/>
          <w:lang w:val="pt-PT"/>
        </w:rPr>
      </w:pPr>
    </w:p>
    <w:p w14:paraId="7D3AB4A7" w14:textId="77777777" w:rsidR="00162CE2" w:rsidRPr="002606DB" w:rsidRDefault="00162CE2" w:rsidP="003539B7">
      <w:pPr>
        <w:pStyle w:val="a3"/>
        <w:adjustRightInd w:val="0"/>
        <w:snapToGrid w:val="0"/>
        <w:rPr>
          <w:snapToGrid w:val="0"/>
          <w:lang w:val="pt-PT"/>
        </w:rPr>
      </w:pPr>
      <w:r w:rsidRPr="002606DB">
        <w:rPr>
          <w:snapToGrid w:val="0"/>
          <w:lang w:val="pt-PT"/>
        </w:rPr>
        <w:t>Manter fora da vista e do alcance das crianças</w:t>
      </w:r>
    </w:p>
    <w:p w14:paraId="50317642" w14:textId="77777777" w:rsidR="00162CE2" w:rsidRPr="002606DB" w:rsidRDefault="00162CE2" w:rsidP="003539B7">
      <w:pPr>
        <w:pStyle w:val="a3"/>
        <w:adjustRightInd w:val="0"/>
        <w:snapToGrid w:val="0"/>
        <w:rPr>
          <w:snapToGrid w:val="0"/>
          <w:lang w:val="pt-PT"/>
        </w:rPr>
      </w:pPr>
    </w:p>
    <w:p w14:paraId="1492AB1B" w14:textId="77777777" w:rsidR="00162CE2" w:rsidRPr="002606DB" w:rsidRDefault="00162CE2" w:rsidP="003539B7">
      <w:pPr>
        <w:pStyle w:val="a3"/>
        <w:adjustRightInd w:val="0"/>
        <w:snapToGrid w:val="0"/>
        <w:rPr>
          <w:snapToGrid w:val="0"/>
          <w:lang w:val="pt-PT"/>
        </w:rPr>
      </w:pPr>
    </w:p>
    <w:p w14:paraId="59BAD837"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7.</w:t>
      </w:r>
      <w:r w:rsidRPr="007155C0">
        <w:rPr>
          <w:b/>
          <w:lang w:val="fr-CA"/>
        </w:rPr>
        <w:tab/>
        <w:t>OUTRAS</w:t>
      </w:r>
      <w:r w:rsidRPr="007155C0">
        <w:rPr>
          <w:b/>
          <w:spacing w:val="-6"/>
          <w:lang w:val="fr-CA"/>
        </w:rPr>
        <w:t xml:space="preserve"> </w:t>
      </w:r>
      <w:r w:rsidRPr="007155C0">
        <w:rPr>
          <w:b/>
          <w:lang w:val="fr-CA"/>
        </w:rPr>
        <w:t>ADVERTÊNCIAS</w:t>
      </w:r>
      <w:r w:rsidRPr="007155C0">
        <w:rPr>
          <w:b/>
          <w:spacing w:val="-11"/>
          <w:lang w:val="fr-CA"/>
        </w:rPr>
        <w:t xml:space="preserve"> </w:t>
      </w:r>
      <w:r w:rsidRPr="007155C0">
        <w:rPr>
          <w:b/>
          <w:lang w:val="fr-CA"/>
        </w:rPr>
        <w:t>ESPECIAIS,</w:t>
      </w:r>
      <w:r w:rsidRPr="007155C0">
        <w:rPr>
          <w:b/>
          <w:spacing w:val="-1"/>
          <w:lang w:val="fr-CA"/>
        </w:rPr>
        <w:t xml:space="preserve"> </w:t>
      </w:r>
      <w:r w:rsidRPr="007155C0">
        <w:rPr>
          <w:b/>
          <w:lang w:val="fr-CA"/>
        </w:rPr>
        <w:t>SE</w:t>
      </w:r>
      <w:r w:rsidRPr="007155C0">
        <w:rPr>
          <w:b/>
          <w:spacing w:val="-2"/>
          <w:lang w:val="fr-CA"/>
        </w:rPr>
        <w:t xml:space="preserve"> NECESSÁRIO</w:t>
      </w:r>
    </w:p>
    <w:p w14:paraId="700592AA" w14:textId="77777777" w:rsidR="00162CE2" w:rsidRPr="002606DB" w:rsidRDefault="00162CE2" w:rsidP="003539B7">
      <w:pPr>
        <w:pStyle w:val="a3"/>
        <w:adjustRightInd w:val="0"/>
        <w:snapToGrid w:val="0"/>
        <w:rPr>
          <w:snapToGrid w:val="0"/>
          <w:lang w:val="pt-PT"/>
        </w:rPr>
      </w:pPr>
    </w:p>
    <w:p w14:paraId="3E0F0268" w14:textId="77777777" w:rsidR="00162CE2" w:rsidRPr="002606DB" w:rsidRDefault="00162CE2" w:rsidP="003539B7">
      <w:pPr>
        <w:pStyle w:val="a3"/>
        <w:adjustRightInd w:val="0"/>
        <w:snapToGrid w:val="0"/>
        <w:rPr>
          <w:snapToGrid w:val="0"/>
          <w:lang w:val="pt-PT"/>
        </w:rPr>
      </w:pPr>
    </w:p>
    <w:p w14:paraId="60DC2F2A"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8.</w:t>
      </w:r>
      <w:r w:rsidRPr="007155C0">
        <w:rPr>
          <w:b/>
          <w:lang w:val="fr-CA"/>
        </w:rPr>
        <w:tab/>
        <w:t>PRAZO</w:t>
      </w:r>
      <w:r w:rsidRPr="007155C0">
        <w:rPr>
          <w:b/>
          <w:spacing w:val="-1"/>
          <w:lang w:val="fr-CA"/>
        </w:rPr>
        <w:t xml:space="preserve"> </w:t>
      </w:r>
      <w:r w:rsidRPr="007155C0">
        <w:rPr>
          <w:b/>
          <w:lang w:val="fr-CA"/>
        </w:rPr>
        <w:t>DE</w:t>
      </w:r>
      <w:r w:rsidRPr="007155C0">
        <w:rPr>
          <w:b/>
          <w:spacing w:val="2"/>
          <w:lang w:val="fr-CA"/>
        </w:rPr>
        <w:t xml:space="preserve"> </w:t>
      </w:r>
      <w:r w:rsidRPr="007155C0">
        <w:rPr>
          <w:b/>
          <w:spacing w:val="-2"/>
          <w:lang w:val="fr-CA"/>
        </w:rPr>
        <w:t>VALIDADE</w:t>
      </w:r>
    </w:p>
    <w:p w14:paraId="7A0A40DC" w14:textId="77777777" w:rsidR="00162CE2" w:rsidRPr="002606DB" w:rsidRDefault="00162CE2" w:rsidP="003539B7">
      <w:pPr>
        <w:pStyle w:val="a3"/>
        <w:adjustRightInd w:val="0"/>
        <w:snapToGrid w:val="0"/>
        <w:rPr>
          <w:snapToGrid w:val="0"/>
          <w:lang w:val="pt-PT"/>
        </w:rPr>
      </w:pPr>
    </w:p>
    <w:p w14:paraId="7667399F" w14:textId="1D1EA483" w:rsidR="00162CE2" w:rsidRPr="002606DB" w:rsidRDefault="00AE5936" w:rsidP="003539B7">
      <w:pPr>
        <w:pStyle w:val="a3"/>
        <w:adjustRightInd w:val="0"/>
        <w:snapToGrid w:val="0"/>
        <w:rPr>
          <w:snapToGrid w:val="0"/>
          <w:lang w:val="pt-PT"/>
        </w:rPr>
      </w:pPr>
      <w:r>
        <w:rPr>
          <w:snapToGrid w:val="0"/>
          <w:lang w:val="pt-PT"/>
        </w:rPr>
        <w:t>EXP</w:t>
      </w:r>
    </w:p>
    <w:p w14:paraId="1EB263C3" w14:textId="77777777" w:rsidR="00162CE2" w:rsidRPr="002606DB" w:rsidRDefault="00162CE2" w:rsidP="003539B7">
      <w:pPr>
        <w:pStyle w:val="a3"/>
        <w:adjustRightInd w:val="0"/>
        <w:snapToGrid w:val="0"/>
        <w:rPr>
          <w:snapToGrid w:val="0"/>
          <w:lang w:val="pt-PT"/>
        </w:rPr>
      </w:pPr>
    </w:p>
    <w:p w14:paraId="3CA9E21E" w14:textId="77777777" w:rsidR="00162CE2" w:rsidRPr="002606DB" w:rsidRDefault="00162CE2" w:rsidP="003539B7">
      <w:pPr>
        <w:pStyle w:val="a3"/>
        <w:adjustRightInd w:val="0"/>
        <w:snapToGrid w:val="0"/>
        <w:rPr>
          <w:snapToGrid w:val="0"/>
          <w:lang w:val="pt-PT"/>
        </w:rPr>
      </w:pPr>
    </w:p>
    <w:p w14:paraId="5C546E2A"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9.</w:t>
      </w:r>
      <w:r w:rsidRPr="007155C0">
        <w:rPr>
          <w:b/>
          <w:lang w:val="fr-CA"/>
        </w:rPr>
        <w:tab/>
        <w:t>CONDIÇÕES</w:t>
      </w:r>
      <w:r w:rsidRPr="007155C0">
        <w:rPr>
          <w:b/>
          <w:spacing w:val="-12"/>
          <w:lang w:val="fr-CA"/>
        </w:rPr>
        <w:t xml:space="preserve"> </w:t>
      </w:r>
      <w:r w:rsidRPr="007155C0">
        <w:rPr>
          <w:b/>
          <w:lang w:val="fr-CA"/>
        </w:rPr>
        <w:t>ESPECIAIS</w:t>
      </w:r>
      <w:r w:rsidRPr="007155C0">
        <w:rPr>
          <w:b/>
          <w:spacing w:val="-3"/>
          <w:lang w:val="fr-CA"/>
        </w:rPr>
        <w:t xml:space="preserve"> </w:t>
      </w:r>
      <w:r w:rsidRPr="007155C0">
        <w:rPr>
          <w:b/>
          <w:lang w:val="fr-CA"/>
        </w:rPr>
        <w:t>DE</w:t>
      </w:r>
      <w:r w:rsidRPr="007155C0">
        <w:rPr>
          <w:b/>
          <w:spacing w:val="2"/>
          <w:lang w:val="fr-CA"/>
        </w:rPr>
        <w:t xml:space="preserve"> </w:t>
      </w:r>
      <w:r w:rsidRPr="007155C0">
        <w:rPr>
          <w:b/>
          <w:spacing w:val="-2"/>
          <w:lang w:val="fr-CA"/>
        </w:rPr>
        <w:t>CONSERVAÇÃO</w:t>
      </w:r>
    </w:p>
    <w:p w14:paraId="2E133639" w14:textId="77777777" w:rsidR="00162CE2" w:rsidRPr="002606DB" w:rsidRDefault="00162CE2" w:rsidP="003539B7">
      <w:pPr>
        <w:pStyle w:val="a3"/>
        <w:adjustRightInd w:val="0"/>
        <w:snapToGrid w:val="0"/>
        <w:rPr>
          <w:snapToGrid w:val="0"/>
          <w:lang w:val="pt-PT"/>
        </w:rPr>
      </w:pPr>
    </w:p>
    <w:p w14:paraId="3213F0F0" w14:textId="77777777" w:rsidR="00162CE2" w:rsidRPr="002606DB" w:rsidRDefault="00162CE2" w:rsidP="003539B7">
      <w:pPr>
        <w:pStyle w:val="a3"/>
        <w:adjustRightInd w:val="0"/>
        <w:snapToGrid w:val="0"/>
        <w:rPr>
          <w:snapToGrid w:val="0"/>
          <w:lang w:val="pt-PT"/>
        </w:rPr>
      </w:pPr>
      <w:r w:rsidRPr="002606DB">
        <w:rPr>
          <w:snapToGrid w:val="0"/>
          <w:lang w:val="pt-PT"/>
        </w:rPr>
        <w:t xml:space="preserve">Conservar no frigorífico (2ºC-8ºC) </w:t>
      </w:r>
    </w:p>
    <w:p w14:paraId="420F04EC" w14:textId="77777777" w:rsidR="00162CE2" w:rsidRPr="002606DB" w:rsidRDefault="00162CE2" w:rsidP="003539B7">
      <w:pPr>
        <w:pStyle w:val="a3"/>
        <w:adjustRightInd w:val="0"/>
        <w:snapToGrid w:val="0"/>
        <w:rPr>
          <w:snapToGrid w:val="0"/>
          <w:lang w:val="pt-PT"/>
        </w:rPr>
      </w:pPr>
      <w:r w:rsidRPr="002606DB">
        <w:rPr>
          <w:snapToGrid w:val="0"/>
          <w:lang w:val="pt-PT"/>
        </w:rPr>
        <w:lastRenderedPageBreak/>
        <w:t>Não congelar</w:t>
      </w:r>
    </w:p>
    <w:p w14:paraId="553CB47D" w14:textId="77777777" w:rsidR="00162CE2" w:rsidRPr="002606DB" w:rsidRDefault="00162CE2" w:rsidP="003539B7">
      <w:pPr>
        <w:pStyle w:val="a3"/>
        <w:adjustRightInd w:val="0"/>
        <w:snapToGrid w:val="0"/>
        <w:rPr>
          <w:snapToGrid w:val="0"/>
          <w:lang w:val="pt-PT"/>
        </w:rPr>
      </w:pPr>
      <w:r w:rsidRPr="002606DB">
        <w:rPr>
          <w:snapToGrid w:val="0"/>
          <w:lang w:val="pt-PT"/>
        </w:rPr>
        <w:t>Manter o frasco para injetáveis dentro da embalagem exterior para proteger da luz.</w:t>
      </w:r>
    </w:p>
    <w:p w14:paraId="14E508B0" w14:textId="77777777" w:rsidR="00162CE2" w:rsidRPr="002606DB" w:rsidRDefault="00162CE2" w:rsidP="003539B7">
      <w:pPr>
        <w:pStyle w:val="a3"/>
        <w:adjustRightInd w:val="0"/>
        <w:snapToGrid w:val="0"/>
        <w:rPr>
          <w:snapToGrid w:val="0"/>
          <w:lang w:val="pt-PT"/>
        </w:rPr>
      </w:pPr>
    </w:p>
    <w:p w14:paraId="318B0348" w14:textId="77777777" w:rsidR="00162CE2" w:rsidRPr="002606DB" w:rsidRDefault="00162CE2" w:rsidP="003539B7">
      <w:pPr>
        <w:pStyle w:val="a3"/>
        <w:adjustRightInd w:val="0"/>
        <w:snapToGrid w:val="0"/>
        <w:rPr>
          <w:snapToGrid w:val="0"/>
          <w:lang w:val="pt-PT"/>
        </w:rPr>
      </w:pPr>
    </w:p>
    <w:p w14:paraId="3D09B59A" w14:textId="77777777" w:rsidR="00162CE2" w:rsidRPr="007155C0" w:rsidRDefault="00162CE2" w:rsidP="00032FC9">
      <w:pPr>
        <w:pBdr>
          <w:top w:val="single" w:sz="4" w:space="1" w:color="auto"/>
          <w:left w:val="single" w:sz="4" w:space="4" w:color="auto"/>
          <w:bottom w:val="single" w:sz="4" w:space="1" w:color="auto"/>
          <w:right w:val="single" w:sz="4" w:space="4" w:color="auto"/>
        </w:pBdr>
        <w:ind w:left="567" w:hanging="567"/>
        <w:rPr>
          <w:b/>
          <w:lang w:val="pt-PT"/>
        </w:rPr>
      </w:pPr>
      <w:r w:rsidRPr="007155C0">
        <w:rPr>
          <w:b/>
          <w:spacing w:val="-4"/>
          <w:lang w:val="pt-PT"/>
        </w:rPr>
        <w:t>10.</w:t>
      </w:r>
      <w:r w:rsidRPr="007155C0">
        <w:rPr>
          <w:b/>
          <w:lang w:val="pt-PT"/>
        </w:rPr>
        <w:tab/>
        <w:t>CUIDADOS ESPECIAIS QUANTO À ELIMINAÇÃO DO MEDICAMENTO NÃO UTILIZADO</w:t>
      </w:r>
      <w:r w:rsidRPr="007155C0">
        <w:rPr>
          <w:b/>
          <w:spacing w:val="-6"/>
          <w:lang w:val="pt-PT"/>
        </w:rPr>
        <w:t xml:space="preserve"> </w:t>
      </w:r>
      <w:r w:rsidRPr="007155C0">
        <w:rPr>
          <w:b/>
          <w:lang w:val="pt-PT"/>
        </w:rPr>
        <w:t>OU</w:t>
      </w:r>
      <w:r w:rsidRPr="007155C0">
        <w:rPr>
          <w:b/>
          <w:spacing w:val="-1"/>
          <w:lang w:val="pt-PT"/>
        </w:rPr>
        <w:t xml:space="preserve"> </w:t>
      </w:r>
      <w:r w:rsidRPr="007155C0">
        <w:rPr>
          <w:b/>
          <w:lang w:val="pt-PT"/>
        </w:rPr>
        <w:t>DOS</w:t>
      </w:r>
      <w:r w:rsidRPr="007155C0">
        <w:rPr>
          <w:b/>
          <w:spacing w:val="-7"/>
          <w:lang w:val="pt-PT"/>
        </w:rPr>
        <w:t xml:space="preserve"> </w:t>
      </w:r>
      <w:r w:rsidRPr="007155C0">
        <w:rPr>
          <w:b/>
          <w:lang w:val="pt-PT"/>
        </w:rPr>
        <w:t>RESÍDUOS</w:t>
      </w:r>
      <w:r w:rsidRPr="007155C0">
        <w:rPr>
          <w:b/>
          <w:spacing w:val="-7"/>
          <w:lang w:val="pt-PT"/>
        </w:rPr>
        <w:t xml:space="preserve"> </w:t>
      </w:r>
      <w:r w:rsidRPr="007155C0">
        <w:rPr>
          <w:b/>
          <w:lang w:val="pt-PT"/>
        </w:rPr>
        <w:t>PROVENIENTES DESSE</w:t>
      </w:r>
      <w:r w:rsidRPr="007155C0">
        <w:rPr>
          <w:b/>
          <w:spacing w:val="-10"/>
          <w:lang w:val="pt-PT"/>
        </w:rPr>
        <w:t xml:space="preserve"> </w:t>
      </w:r>
      <w:r w:rsidRPr="007155C0">
        <w:rPr>
          <w:b/>
          <w:lang w:val="pt-PT"/>
        </w:rPr>
        <w:t>MEDICAMENTO,</w:t>
      </w:r>
      <w:r w:rsidRPr="007155C0">
        <w:rPr>
          <w:b/>
          <w:spacing w:val="-3"/>
          <w:lang w:val="pt-PT"/>
        </w:rPr>
        <w:t xml:space="preserve"> </w:t>
      </w:r>
      <w:r w:rsidRPr="007155C0">
        <w:rPr>
          <w:b/>
          <w:lang w:val="pt-PT"/>
        </w:rPr>
        <w:t xml:space="preserve">SE </w:t>
      </w:r>
      <w:r w:rsidRPr="007155C0">
        <w:rPr>
          <w:b/>
          <w:spacing w:val="-2"/>
          <w:lang w:val="pt-PT"/>
        </w:rPr>
        <w:t>APLICÁVEL</w:t>
      </w:r>
    </w:p>
    <w:p w14:paraId="3888A39F" w14:textId="77777777" w:rsidR="00162CE2" w:rsidRPr="007155C0" w:rsidRDefault="00162CE2" w:rsidP="003539B7">
      <w:pPr>
        <w:rPr>
          <w:b/>
          <w:spacing w:val="-4"/>
          <w:lang w:val="pt-PT"/>
        </w:rPr>
      </w:pPr>
    </w:p>
    <w:p w14:paraId="6CF9D9F5" w14:textId="77777777" w:rsidR="00162CE2" w:rsidRPr="007155C0" w:rsidRDefault="00162CE2" w:rsidP="003539B7">
      <w:pPr>
        <w:rPr>
          <w:b/>
          <w:spacing w:val="-4"/>
          <w:lang w:val="pt-PT"/>
        </w:rPr>
      </w:pPr>
    </w:p>
    <w:p w14:paraId="482B8BFB" w14:textId="77777777" w:rsidR="00162CE2" w:rsidRPr="002606DB" w:rsidRDefault="00162CE2" w:rsidP="00733F07">
      <w:pPr>
        <w:pBdr>
          <w:top w:val="single" w:sz="4" w:space="1" w:color="auto"/>
          <w:left w:val="single" w:sz="4" w:space="4" w:color="auto"/>
          <w:bottom w:val="single" w:sz="4" w:space="1" w:color="auto"/>
          <w:right w:val="single" w:sz="4" w:space="4" w:color="auto"/>
        </w:pBdr>
        <w:ind w:left="567" w:hanging="567"/>
        <w:rPr>
          <w:b/>
        </w:rPr>
      </w:pPr>
      <w:r w:rsidRPr="002606DB">
        <w:rPr>
          <w:b/>
          <w:spacing w:val="-4"/>
        </w:rPr>
        <w:t>11.</w:t>
      </w:r>
      <w:r w:rsidRPr="002606DB">
        <w:rPr>
          <w:b/>
        </w:rPr>
        <w:tab/>
        <w:t>NOME</w:t>
      </w:r>
      <w:r w:rsidRPr="002606DB">
        <w:rPr>
          <w:b/>
          <w:spacing w:val="-6"/>
        </w:rPr>
        <w:t xml:space="preserve"> </w:t>
      </w:r>
      <w:r w:rsidRPr="002606DB">
        <w:rPr>
          <w:b/>
        </w:rPr>
        <w:t>E</w:t>
      </w:r>
      <w:r w:rsidRPr="002606DB">
        <w:rPr>
          <w:b/>
          <w:spacing w:val="-6"/>
        </w:rPr>
        <w:t xml:space="preserve"> </w:t>
      </w:r>
      <w:r w:rsidRPr="002606DB">
        <w:rPr>
          <w:b/>
        </w:rPr>
        <w:t>ENDEREÇO</w:t>
      </w:r>
      <w:r w:rsidRPr="002606DB">
        <w:rPr>
          <w:b/>
          <w:spacing w:val="-9"/>
        </w:rPr>
        <w:t xml:space="preserve"> </w:t>
      </w:r>
      <w:r w:rsidRPr="002606DB">
        <w:rPr>
          <w:b/>
        </w:rPr>
        <w:t>DO</w:t>
      </w:r>
      <w:r w:rsidRPr="002606DB">
        <w:rPr>
          <w:b/>
          <w:spacing w:val="-9"/>
        </w:rPr>
        <w:t xml:space="preserve"> </w:t>
      </w:r>
      <w:r w:rsidRPr="002606DB">
        <w:rPr>
          <w:b/>
        </w:rPr>
        <w:t>TITULAR</w:t>
      </w:r>
      <w:r w:rsidRPr="002606DB">
        <w:rPr>
          <w:b/>
          <w:spacing w:val="-4"/>
        </w:rPr>
        <w:t xml:space="preserve"> </w:t>
      </w:r>
      <w:r w:rsidRPr="002606DB">
        <w:rPr>
          <w:b/>
        </w:rPr>
        <w:t>DA</w:t>
      </w:r>
      <w:r w:rsidRPr="002606DB">
        <w:rPr>
          <w:b/>
          <w:spacing w:val="-4"/>
        </w:rPr>
        <w:t xml:space="preserve"> </w:t>
      </w:r>
      <w:r w:rsidRPr="002606DB">
        <w:rPr>
          <w:b/>
        </w:rPr>
        <w:t>AUTORIZAÇÃO</w:t>
      </w:r>
      <w:r w:rsidRPr="002606DB">
        <w:rPr>
          <w:b/>
          <w:spacing w:val="-2"/>
        </w:rPr>
        <w:t xml:space="preserve"> </w:t>
      </w:r>
      <w:r w:rsidRPr="002606DB">
        <w:rPr>
          <w:b/>
        </w:rPr>
        <w:t>DE INTRODUÇÃO</w:t>
      </w:r>
      <w:r w:rsidRPr="002606DB">
        <w:rPr>
          <w:b/>
          <w:spacing w:val="-2"/>
        </w:rPr>
        <w:t xml:space="preserve"> </w:t>
      </w:r>
      <w:r w:rsidRPr="002606DB">
        <w:rPr>
          <w:b/>
        </w:rPr>
        <w:t xml:space="preserve">NO </w:t>
      </w:r>
      <w:r w:rsidRPr="002606DB">
        <w:rPr>
          <w:b/>
          <w:spacing w:val="-2"/>
        </w:rPr>
        <w:t>MERCADO</w:t>
      </w:r>
    </w:p>
    <w:p w14:paraId="49A5FF50" w14:textId="77777777" w:rsidR="00162CE2" w:rsidRPr="002606DB" w:rsidRDefault="00162CE2" w:rsidP="003539B7">
      <w:pPr>
        <w:pStyle w:val="a3"/>
        <w:adjustRightInd w:val="0"/>
        <w:snapToGrid w:val="0"/>
        <w:rPr>
          <w:snapToGrid w:val="0"/>
          <w:lang w:val="pt-PT"/>
        </w:rPr>
      </w:pPr>
    </w:p>
    <w:p w14:paraId="004085D2" w14:textId="77777777" w:rsidR="00162CE2" w:rsidRPr="002606DB" w:rsidRDefault="00162CE2" w:rsidP="00927581">
      <w:pPr>
        <w:widowControl/>
        <w:adjustRightInd w:val="0"/>
        <w:snapToGrid w:val="0"/>
        <w:rPr>
          <w:color w:val="000000"/>
          <w:lang w:val="en-GB" w:eastAsia="ko-KR"/>
        </w:rPr>
      </w:pPr>
      <w:r w:rsidRPr="002606DB">
        <w:rPr>
          <w:color w:val="000000"/>
          <w:lang w:val="en-GB" w:eastAsia="ko-KR"/>
        </w:rPr>
        <w:t xml:space="preserve">Celltrion Healthcare Hungary Kft. </w:t>
      </w:r>
    </w:p>
    <w:p w14:paraId="465A7007" w14:textId="77777777" w:rsidR="00162CE2" w:rsidRPr="002606DB" w:rsidRDefault="00162CE2" w:rsidP="00927581">
      <w:pPr>
        <w:widowControl/>
        <w:adjustRightInd w:val="0"/>
        <w:snapToGrid w:val="0"/>
        <w:rPr>
          <w:color w:val="000000"/>
          <w:lang w:val="en-GB" w:eastAsia="ko-KR"/>
        </w:rPr>
      </w:pPr>
      <w:r w:rsidRPr="002606DB">
        <w:rPr>
          <w:rFonts w:eastAsia="바탕"/>
          <w:color w:val="000000"/>
          <w:lang w:val="en-GB"/>
        </w:rPr>
        <w:t xml:space="preserve">1062 </w:t>
      </w:r>
      <w:r w:rsidRPr="002606DB">
        <w:rPr>
          <w:color w:val="000000"/>
          <w:lang w:val="en-GB" w:eastAsia="ko-KR"/>
        </w:rPr>
        <w:t>Budapest</w:t>
      </w:r>
    </w:p>
    <w:p w14:paraId="168892DD" w14:textId="77777777" w:rsidR="00162CE2" w:rsidRPr="002606DB" w:rsidRDefault="00162CE2" w:rsidP="00927581">
      <w:pPr>
        <w:widowControl/>
        <w:adjustRightInd w:val="0"/>
        <w:snapToGrid w:val="0"/>
        <w:rPr>
          <w:rFonts w:eastAsia="바탕"/>
          <w:color w:val="000000"/>
          <w:lang w:val="en-GB"/>
        </w:rPr>
      </w:pPr>
      <w:r w:rsidRPr="002606DB">
        <w:rPr>
          <w:rFonts w:eastAsia="바탕"/>
          <w:color w:val="000000"/>
          <w:lang w:val="en-GB"/>
        </w:rPr>
        <w:t xml:space="preserve">Váci </w:t>
      </w:r>
      <w:proofErr w:type="spellStart"/>
      <w:r w:rsidRPr="002606DB">
        <w:rPr>
          <w:rFonts w:eastAsia="바탕"/>
          <w:color w:val="000000"/>
          <w:lang w:val="en-GB"/>
        </w:rPr>
        <w:t>út</w:t>
      </w:r>
      <w:proofErr w:type="spellEnd"/>
      <w:r w:rsidRPr="002606DB">
        <w:rPr>
          <w:rFonts w:eastAsia="바탕"/>
          <w:color w:val="000000"/>
          <w:lang w:val="en-GB"/>
        </w:rPr>
        <w:t xml:space="preserve"> 1-3. </w:t>
      </w:r>
      <w:proofErr w:type="spellStart"/>
      <w:r w:rsidRPr="002606DB">
        <w:rPr>
          <w:rFonts w:eastAsia="바탕"/>
          <w:color w:val="000000"/>
          <w:lang w:val="en-GB"/>
        </w:rPr>
        <w:t>WestEnd</w:t>
      </w:r>
      <w:proofErr w:type="spellEnd"/>
      <w:r w:rsidRPr="002606DB">
        <w:rPr>
          <w:rFonts w:eastAsia="바탕"/>
          <w:color w:val="000000"/>
          <w:lang w:val="en-GB"/>
        </w:rPr>
        <w:t xml:space="preserve"> Office Building B </w:t>
      </w:r>
      <w:proofErr w:type="spellStart"/>
      <w:r w:rsidRPr="002606DB">
        <w:rPr>
          <w:rFonts w:eastAsia="바탕"/>
          <w:color w:val="000000"/>
          <w:lang w:val="en-GB"/>
        </w:rPr>
        <w:t>torony</w:t>
      </w:r>
      <w:proofErr w:type="spellEnd"/>
    </w:p>
    <w:p w14:paraId="20A66A47" w14:textId="77777777" w:rsidR="00061F26" w:rsidRPr="002606DB" w:rsidRDefault="00162CE2" w:rsidP="00927581">
      <w:pPr>
        <w:pStyle w:val="a3"/>
        <w:adjustRightInd w:val="0"/>
        <w:snapToGrid w:val="0"/>
        <w:rPr>
          <w:color w:val="000000"/>
          <w:lang w:val="en-GB" w:eastAsia="ko-KR"/>
        </w:rPr>
      </w:pPr>
      <w:r w:rsidRPr="002606DB">
        <w:rPr>
          <w:color w:val="000000"/>
          <w:lang w:val="en-GB" w:eastAsia="ko-KR"/>
        </w:rPr>
        <w:t>Hungria</w:t>
      </w:r>
    </w:p>
    <w:p w14:paraId="4EB663FA" w14:textId="77777777" w:rsidR="00162CE2" w:rsidRPr="002606DB" w:rsidRDefault="00162CE2" w:rsidP="003539B7">
      <w:pPr>
        <w:pStyle w:val="a3"/>
        <w:adjustRightInd w:val="0"/>
        <w:snapToGrid w:val="0"/>
        <w:rPr>
          <w:snapToGrid w:val="0"/>
          <w:lang w:val="pt-PT"/>
        </w:rPr>
      </w:pPr>
    </w:p>
    <w:p w14:paraId="46263E98" w14:textId="77777777" w:rsidR="00162CE2" w:rsidRPr="002606DB" w:rsidRDefault="00162CE2" w:rsidP="003539B7">
      <w:pPr>
        <w:pStyle w:val="a3"/>
        <w:adjustRightInd w:val="0"/>
        <w:snapToGrid w:val="0"/>
        <w:rPr>
          <w:snapToGrid w:val="0"/>
          <w:lang w:val="pt-PT"/>
        </w:rPr>
      </w:pPr>
    </w:p>
    <w:p w14:paraId="443C1FB7"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12.</w:t>
      </w:r>
      <w:r w:rsidRPr="002606DB">
        <w:rPr>
          <w:b/>
        </w:rPr>
        <w:tab/>
        <w:t>NÚMERO(S)</w:t>
      </w:r>
      <w:r w:rsidRPr="002606DB">
        <w:rPr>
          <w:b/>
          <w:spacing w:val="-7"/>
        </w:rPr>
        <w:t xml:space="preserve"> </w:t>
      </w:r>
      <w:r w:rsidRPr="002606DB">
        <w:rPr>
          <w:b/>
        </w:rPr>
        <w:t>DA</w:t>
      </w:r>
      <w:r w:rsidRPr="002606DB">
        <w:rPr>
          <w:b/>
          <w:spacing w:val="-6"/>
        </w:rPr>
        <w:t xml:space="preserve"> </w:t>
      </w:r>
      <w:r w:rsidRPr="002606DB">
        <w:rPr>
          <w:b/>
        </w:rPr>
        <w:t>AUTORIZAÇÃO</w:t>
      </w:r>
      <w:r w:rsidRPr="002606DB">
        <w:rPr>
          <w:b/>
          <w:spacing w:val="-3"/>
        </w:rPr>
        <w:t xml:space="preserve"> </w:t>
      </w:r>
      <w:r w:rsidRPr="002606DB">
        <w:rPr>
          <w:b/>
        </w:rPr>
        <w:t>DE</w:t>
      </w:r>
      <w:r w:rsidRPr="002606DB">
        <w:rPr>
          <w:b/>
          <w:spacing w:val="-7"/>
        </w:rPr>
        <w:t xml:space="preserve"> </w:t>
      </w:r>
      <w:r w:rsidRPr="002606DB">
        <w:rPr>
          <w:b/>
        </w:rPr>
        <w:t>INTRODUÇÃO</w:t>
      </w:r>
      <w:r w:rsidRPr="002606DB">
        <w:rPr>
          <w:b/>
          <w:spacing w:val="-3"/>
        </w:rPr>
        <w:t xml:space="preserve"> </w:t>
      </w:r>
      <w:r w:rsidRPr="002606DB">
        <w:rPr>
          <w:b/>
        </w:rPr>
        <w:t>NO</w:t>
      </w:r>
      <w:r w:rsidRPr="002606DB">
        <w:rPr>
          <w:b/>
          <w:spacing w:val="-14"/>
        </w:rPr>
        <w:t xml:space="preserve"> </w:t>
      </w:r>
      <w:r w:rsidRPr="002606DB">
        <w:rPr>
          <w:b/>
          <w:spacing w:val="-2"/>
        </w:rPr>
        <w:t>MERCADO</w:t>
      </w:r>
    </w:p>
    <w:p w14:paraId="519988CB" w14:textId="77777777" w:rsidR="00162CE2" w:rsidRPr="002606DB" w:rsidRDefault="00162CE2" w:rsidP="003539B7">
      <w:pPr>
        <w:pStyle w:val="a3"/>
        <w:adjustRightInd w:val="0"/>
        <w:snapToGrid w:val="0"/>
        <w:rPr>
          <w:snapToGrid w:val="0"/>
          <w:lang w:val="pt-PT"/>
        </w:rPr>
      </w:pPr>
    </w:p>
    <w:p w14:paraId="0A21C15F" w14:textId="24A1A0C0" w:rsidR="00162CE2" w:rsidRPr="002606DB" w:rsidRDefault="00986DCE" w:rsidP="00927581">
      <w:pPr>
        <w:pStyle w:val="a3"/>
        <w:adjustRightInd w:val="0"/>
        <w:snapToGrid w:val="0"/>
        <w:rPr>
          <w:snapToGrid w:val="0"/>
          <w:shd w:val="pct15" w:color="auto" w:fill="FFFFFF"/>
          <w:lang w:val="pt-PT"/>
        </w:rPr>
      </w:pPr>
      <w:bookmarkStart w:id="17" w:name="_Hlk107231072"/>
      <w:r w:rsidRPr="007155C0">
        <w:rPr>
          <w:rFonts w:eastAsia="바탕"/>
          <w:lang w:val="fr-CA"/>
        </w:rPr>
        <w:t>E</w:t>
      </w:r>
      <w:bookmarkStart w:id="18" w:name="_Hlk107294143"/>
      <w:r w:rsidRPr="007155C0">
        <w:rPr>
          <w:rFonts w:eastAsia="바탕"/>
          <w:lang w:val="fr-CA"/>
        </w:rPr>
        <w:t>U</w:t>
      </w:r>
      <w:bookmarkStart w:id="19" w:name="_Hlk107293242"/>
      <w:r w:rsidRPr="007155C0">
        <w:rPr>
          <w:rFonts w:eastAsia="바탕"/>
          <w:lang w:val="fr-CA"/>
        </w:rPr>
        <w:t>/</w:t>
      </w:r>
      <w:bookmarkStart w:id="20" w:name="_Hlk107293709"/>
      <w:r w:rsidRPr="007155C0">
        <w:rPr>
          <w:rFonts w:eastAsia="바탕"/>
          <w:lang w:val="fr-CA"/>
        </w:rPr>
        <w:t xml:space="preserve">1/22/1667/002 </w:t>
      </w:r>
      <w:bookmarkEnd w:id="17"/>
      <w:bookmarkEnd w:id="18"/>
      <w:bookmarkEnd w:id="19"/>
      <w:bookmarkEnd w:id="20"/>
      <w:r w:rsidR="00162CE2" w:rsidRPr="002606DB">
        <w:rPr>
          <w:snapToGrid w:val="0"/>
          <w:shd w:val="pct15" w:color="auto" w:fill="FFFFFF"/>
          <w:lang w:val="pt-PT"/>
        </w:rPr>
        <w:t>1 frasco para injetáveis</w:t>
      </w:r>
    </w:p>
    <w:p w14:paraId="4C040306" w14:textId="1A4DB346" w:rsidR="00162CE2" w:rsidRPr="002606DB" w:rsidRDefault="00986DCE" w:rsidP="00927581">
      <w:pPr>
        <w:pStyle w:val="a3"/>
        <w:adjustRightInd w:val="0"/>
        <w:snapToGrid w:val="0"/>
        <w:rPr>
          <w:snapToGrid w:val="0"/>
          <w:shd w:val="pct15" w:color="auto" w:fill="FFFFFF"/>
          <w:lang w:val="pt-PT"/>
        </w:rPr>
      </w:pPr>
      <w:r w:rsidRPr="00986DCE">
        <w:rPr>
          <w:snapToGrid w:val="0"/>
          <w:shd w:val="pct15" w:color="auto" w:fill="FFFFFF"/>
          <w:lang w:val="pt-PT"/>
        </w:rPr>
        <w:t xml:space="preserve">EU/1/22/1667/004 </w:t>
      </w:r>
      <w:r w:rsidR="00162CE2" w:rsidRPr="002606DB">
        <w:rPr>
          <w:snapToGrid w:val="0"/>
          <w:shd w:val="pct15" w:color="auto" w:fill="FFFFFF"/>
          <w:lang w:val="pt-PT"/>
        </w:rPr>
        <w:t xml:space="preserve">10 frascos para injetáveis </w:t>
      </w:r>
    </w:p>
    <w:p w14:paraId="506D1BF4" w14:textId="78119A63" w:rsidR="004C38AD" w:rsidRPr="002606DB" w:rsidRDefault="004C38AD" w:rsidP="004C38AD">
      <w:pPr>
        <w:pStyle w:val="a3"/>
        <w:adjustRightInd w:val="0"/>
        <w:snapToGrid w:val="0"/>
        <w:rPr>
          <w:snapToGrid w:val="0"/>
          <w:shd w:val="pct15" w:color="auto" w:fill="FFFFFF"/>
          <w:lang w:val="pt-PT"/>
        </w:rPr>
      </w:pPr>
      <w:r w:rsidRPr="00986DCE">
        <w:rPr>
          <w:snapToGrid w:val="0"/>
          <w:shd w:val="pct15" w:color="auto" w:fill="FFFFFF"/>
          <w:lang w:val="pt-PT"/>
        </w:rPr>
        <w:t>EU/1/22/1667/00</w:t>
      </w:r>
      <w:r>
        <w:rPr>
          <w:rFonts w:eastAsia="맑은 고딕" w:hint="eastAsia"/>
          <w:snapToGrid w:val="0"/>
          <w:shd w:val="pct15" w:color="auto" w:fill="FFFFFF"/>
          <w:lang w:val="pt-PT" w:eastAsia="ko-KR"/>
        </w:rPr>
        <w:t>5</w:t>
      </w:r>
      <w:r w:rsidRPr="00986DCE">
        <w:rPr>
          <w:snapToGrid w:val="0"/>
          <w:shd w:val="pct15" w:color="auto" w:fill="FFFFFF"/>
          <w:lang w:val="pt-PT"/>
        </w:rPr>
        <w:t xml:space="preserve"> </w:t>
      </w:r>
      <w:r>
        <w:rPr>
          <w:rFonts w:eastAsia="맑은 고딕" w:hint="eastAsia"/>
          <w:snapToGrid w:val="0"/>
          <w:shd w:val="pct15" w:color="auto" w:fill="FFFFFF"/>
          <w:lang w:val="pt-PT" w:eastAsia="ko-KR"/>
        </w:rPr>
        <w:t>2</w:t>
      </w:r>
      <w:r w:rsidRPr="002606DB">
        <w:rPr>
          <w:snapToGrid w:val="0"/>
          <w:shd w:val="pct15" w:color="auto" w:fill="FFFFFF"/>
          <w:lang w:val="pt-PT"/>
        </w:rPr>
        <w:t xml:space="preserve"> frascos para injetáveis </w:t>
      </w:r>
    </w:p>
    <w:p w14:paraId="50F4C8C8" w14:textId="77777777" w:rsidR="00162CE2" w:rsidRPr="002606DB" w:rsidRDefault="00162CE2" w:rsidP="003539B7">
      <w:pPr>
        <w:pStyle w:val="a3"/>
        <w:adjustRightInd w:val="0"/>
        <w:snapToGrid w:val="0"/>
        <w:rPr>
          <w:snapToGrid w:val="0"/>
          <w:lang w:val="pt-PT"/>
        </w:rPr>
      </w:pPr>
    </w:p>
    <w:p w14:paraId="59C7850F" w14:textId="77777777" w:rsidR="00162CE2" w:rsidRPr="002606DB" w:rsidRDefault="00162CE2" w:rsidP="003539B7">
      <w:pPr>
        <w:pStyle w:val="a3"/>
        <w:adjustRightInd w:val="0"/>
        <w:snapToGrid w:val="0"/>
        <w:rPr>
          <w:snapToGrid w:val="0"/>
          <w:lang w:val="pt-PT"/>
        </w:rPr>
      </w:pPr>
    </w:p>
    <w:p w14:paraId="56487993"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13.</w:t>
      </w:r>
      <w:r w:rsidRPr="007155C0">
        <w:rPr>
          <w:b/>
          <w:lang w:val="fr-CA"/>
        </w:rPr>
        <w:tab/>
        <w:t>NÚMERO</w:t>
      </w:r>
      <w:r w:rsidRPr="007155C0">
        <w:rPr>
          <w:b/>
          <w:spacing w:val="1"/>
          <w:lang w:val="fr-CA"/>
        </w:rPr>
        <w:t xml:space="preserve"> </w:t>
      </w:r>
      <w:r w:rsidRPr="007155C0">
        <w:rPr>
          <w:b/>
          <w:lang w:val="fr-CA"/>
        </w:rPr>
        <w:t>DO</w:t>
      </w:r>
      <w:r w:rsidRPr="007155C0">
        <w:rPr>
          <w:b/>
          <w:spacing w:val="-5"/>
          <w:lang w:val="fr-CA"/>
        </w:rPr>
        <w:t xml:space="preserve"> </w:t>
      </w:r>
      <w:r w:rsidRPr="007155C0">
        <w:rPr>
          <w:b/>
          <w:spacing w:val="-4"/>
          <w:lang w:val="fr-CA"/>
        </w:rPr>
        <w:t>LOTE</w:t>
      </w:r>
    </w:p>
    <w:p w14:paraId="356CD02C" w14:textId="77777777" w:rsidR="00162CE2" w:rsidRPr="002606DB" w:rsidRDefault="00162CE2" w:rsidP="003539B7">
      <w:pPr>
        <w:pStyle w:val="a3"/>
        <w:adjustRightInd w:val="0"/>
        <w:snapToGrid w:val="0"/>
        <w:rPr>
          <w:snapToGrid w:val="0"/>
          <w:lang w:val="pt-PT"/>
        </w:rPr>
      </w:pPr>
    </w:p>
    <w:p w14:paraId="2A7B04AC" w14:textId="77777777" w:rsidR="00162CE2" w:rsidRPr="002606DB" w:rsidRDefault="00162CE2" w:rsidP="003539B7">
      <w:pPr>
        <w:pStyle w:val="a3"/>
        <w:adjustRightInd w:val="0"/>
        <w:snapToGrid w:val="0"/>
        <w:rPr>
          <w:snapToGrid w:val="0"/>
          <w:lang w:val="pt-PT"/>
        </w:rPr>
      </w:pPr>
      <w:r w:rsidRPr="002606DB">
        <w:rPr>
          <w:snapToGrid w:val="0"/>
          <w:lang w:val="pt-PT"/>
        </w:rPr>
        <w:t>Lote</w:t>
      </w:r>
    </w:p>
    <w:p w14:paraId="4C6F0869" w14:textId="77777777" w:rsidR="00162CE2" w:rsidRPr="002606DB" w:rsidRDefault="00162CE2" w:rsidP="003539B7">
      <w:pPr>
        <w:pStyle w:val="a3"/>
        <w:adjustRightInd w:val="0"/>
        <w:snapToGrid w:val="0"/>
        <w:rPr>
          <w:snapToGrid w:val="0"/>
          <w:lang w:val="pt-PT"/>
        </w:rPr>
      </w:pPr>
    </w:p>
    <w:p w14:paraId="5AA27A63" w14:textId="77777777" w:rsidR="00162CE2" w:rsidRPr="002606DB" w:rsidRDefault="00162CE2" w:rsidP="003539B7">
      <w:pPr>
        <w:pStyle w:val="a3"/>
        <w:adjustRightInd w:val="0"/>
        <w:snapToGrid w:val="0"/>
        <w:rPr>
          <w:snapToGrid w:val="0"/>
          <w:lang w:val="pt-PT"/>
        </w:rPr>
      </w:pPr>
    </w:p>
    <w:p w14:paraId="263E046E"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14.</w:t>
      </w:r>
      <w:r w:rsidRPr="007155C0">
        <w:rPr>
          <w:b/>
          <w:lang w:val="fr-CA"/>
        </w:rPr>
        <w:tab/>
        <w:t>CLASSIFICAÇÃO</w:t>
      </w:r>
      <w:r w:rsidRPr="007155C0">
        <w:rPr>
          <w:b/>
          <w:spacing w:val="-8"/>
          <w:lang w:val="fr-CA"/>
        </w:rPr>
        <w:t xml:space="preserve"> </w:t>
      </w:r>
      <w:r w:rsidRPr="007155C0">
        <w:rPr>
          <w:b/>
          <w:lang w:val="fr-CA"/>
        </w:rPr>
        <w:t>QUANTO</w:t>
      </w:r>
      <w:r w:rsidRPr="007155C0">
        <w:rPr>
          <w:b/>
          <w:spacing w:val="-7"/>
          <w:lang w:val="fr-CA"/>
        </w:rPr>
        <w:t xml:space="preserve"> </w:t>
      </w:r>
      <w:r w:rsidRPr="007155C0">
        <w:rPr>
          <w:b/>
          <w:lang w:val="fr-CA"/>
        </w:rPr>
        <w:t>À</w:t>
      </w:r>
      <w:r w:rsidRPr="007155C0">
        <w:rPr>
          <w:b/>
          <w:spacing w:val="-2"/>
          <w:lang w:val="fr-CA"/>
        </w:rPr>
        <w:t xml:space="preserve"> </w:t>
      </w:r>
      <w:r w:rsidRPr="007155C0">
        <w:rPr>
          <w:b/>
          <w:lang w:val="fr-CA"/>
        </w:rPr>
        <w:t>DISPENSA</w:t>
      </w:r>
      <w:r w:rsidRPr="007155C0">
        <w:rPr>
          <w:b/>
          <w:spacing w:val="-2"/>
          <w:lang w:val="fr-CA"/>
        </w:rPr>
        <w:t xml:space="preserve"> </w:t>
      </w:r>
      <w:r w:rsidRPr="007155C0">
        <w:rPr>
          <w:b/>
          <w:lang w:val="fr-CA"/>
        </w:rPr>
        <w:t>AO</w:t>
      </w:r>
      <w:r w:rsidRPr="007155C0">
        <w:rPr>
          <w:b/>
          <w:spacing w:val="-7"/>
          <w:lang w:val="fr-CA"/>
        </w:rPr>
        <w:t xml:space="preserve"> </w:t>
      </w:r>
      <w:r w:rsidRPr="007155C0">
        <w:rPr>
          <w:b/>
          <w:spacing w:val="-2"/>
          <w:lang w:val="fr-CA"/>
        </w:rPr>
        <w:t>PÚBLICO</w:t>
      </w:r>
    </w:p>
    <w:p w14:paraId="343CA8FB" w14:textId="77777777" w:rsidR="00162CE2" w:rsidRPr="002606DB" w:rsidRDefault="00162CE2" w:rsidP="003539B7">
      <w:pPr>
        <w:pStyle w:val="a3"/>
        <w:adjustRightInd w:val="0"/>
        <w:snapToGrid w:val="0"/>
        <w:rPr>
          <w:snapToGrid w:val="0"/>
          <w:lang w:val="pt-PT"/>
        </w:rPr>
      </w:pPr>
    </w:p>
    <w:p w14:paraId="162B87CB" w14:textId="77777777" w:rsidR="00162CE2" w:rsidRPr="002606DB" w:rsidRDefault="00162CE2" w:rsidP="003539B7">
      <w:pPr>
        <w:pStyle w:val="a3"/>
        <w:adjustRightInd w:val="0"/>
        <w:snapToGrid w:val="0"/>
        <w:rPr>
          <w:snapToGrid w:val="0"/>
          <w:lang w:val="pt-PT"/>
        </w:rPr>
      </w:pPr>
      <w:r w:rsidRPr="002606DB">
        <w:rPr>
          <w:snapToGrid w:val="0"/>
          <w:lang w:val="pt-PT"/>
        </w:rPr>
        <w:t>Medicamento sujeito a receita médica</w:t>
      </w:r>
    </w:p>
    <w:p w14:paraId="1F052BB9" w14:textId="77777777" w:rsidR="00162CE2" w:rsidRPr="002606DB" w:rsidRDefault="00162CE2" w:rsidP="003539B7">
      <w:pPr>
        <w:pStyle w:val="a3"/>
        <w:adjustRightInd w:val="0"/>
        <w:snapToGrid w:val="0"/>
        <w:rPr>
          <w:snapToGrid w:val="0"/>
          <w:lang w:val="pt-PT"/>
        </w:rPr>
      </w:pPr>
    </w:p>
    <w:p w14:paraId="246B1BCB" w14:textId="77777777" w:rsidR="00162CE2" w:rsidRPr="002606DB" w:rsidRDefault="00162CE2" w:rsidP="003539B7">
      <w:pPr>
        <w:pStyle w:val="a3"/>
        <w:adjustRightInd w:val="0"/>
        <w:snapToGrid w:val="0"/>
        <w:rPr>
          <w:snapToGrid w:val="0"/>
          <w:lang w:val="pt-PT"/>
        </w:rPr>
      </w:pPr>
    </w:p>
    <w:p w14:paraId="3C160E71"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15.</w:t>
      </w:r>
      <w:r w:rsidRPr="007155C0">
        <w:rPr>
          <w:b/>
          <w:lang w:val="pt-PT"/>
        </w:rPr>
        <w:tab/>
        <w:t>INSTRUÇÕES</w:t>
      </w:r>
      <w:r w:rsidRPr="007155C0">
        <w:rPr>
          <w:b/>
          <w:spacing w:val="-6"/>
          <w:lang w:val="pt-PT"/>
        </w:rPr>
        <w:t xml:space="preserve"> </w:t>
      </w:r>
      <w:r w:rsidRPr="007155C0">
        <w:rPr>
          <w:b/>
          <w:lang w:val="pt-PT"/>
        </w:rPr>
        <w:t>DE</w:t>
      </w:r>
      <w:r w:rsidRPr="007155C0">
        <w:rPr>
          <w:b/>
          <w:spacing w:val="-2"/>
          <w:lang w:val="pt-PT"/>
        </w:rPr>
        <w:t xml:space="preserve"> UTILIZAÇÃO</w:t>
      </w:r>
    </w:p>
    <w:p w14:paraId="3534DAC5" w14:textId="77777777" w:rsidR="00162CE2" w:rsidRPr="002606DB" w:rsidRDefault="00162CE2" w:rsidP="003539B7">
      <w:pPr>
        <w:pStyle w:val="a3"/>
        <w:adjustRightInd w:val="0"/>
        <w:snapToGrid w:val="0"/>
        <w:rPr>
          <w:snapToGrid w:val="0"/>
          <w:lang w:val="pt-PT"/>
        </w:rPr>
      </w:pPr>
    </w:p>
    <w:p w14:paraId="47B9899D" w14:textId="77777777" w:rsidR="00162CE2" w:rsidRPr="002606DB" w:rsidRDefault="00162CE2" w:rsidP="003539B7">
      <w:pPr>
        <w:pStyle w:val="a3"/>
        <w:adjustRightInd w:val="0"/>
        <w:snapToGrid w:val="0"/>
        <w:rPr>
          <w:snapToGrid w:val="0"/>
          <w:lang w:val="pt-PT"/>
        </w:rPr>
      </w:pPr>
    </w:p>
    <w:p w14:paraId="33E121E7"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16.</w:t>
      </w:r>
      <w:r w:rsidRPr="007155C0">
        <w:rPr>
          <w:b/>
          <w:lang w:val="pt-PT"/>
        </w:rPr>
        <w:tab/>
        <w:t>INFORMAÇÃO</w:t>
      </w:r>
      <w:r w:rsidRPr="007155C0">
        <w:rPr>
          <w:b/>
          <w:spacing w:val="-9"/>
          <w:lang w:val="pt-PT"/>
        </w:rPr>
        <w:t xml:space="preserve"> </w:t>
      </w:r>
      <w:r w:rsidRPr="007155C0">
        <w:rPr>
          <w:b/>
          <w:lang w:val="pt-PT"/>
        </w:rPr>
        <w:t>EM</w:t>
      </w:r>
      <w:r w:rsidRPr="007155C0">
        <w:rPr>
          <w:b/>
          <w:spacing w:val="-2"/>
          <w:lang w:val="pt-PT"/>
        </w:rPr>
        <w:t xml:space="preserve"> BRAILLE</w:t>
      </w:r>
    </w:p>
    <w:p w14:paraId="5EDE7AE6" w14:textId="77777777" w:rsidR="00162CE2" w:rsidRPr="002606DB" w:rsidRDefault="00162CE2" w:rsidP="003539B7">
      <w:pPr>
        <w:pStyle w:val="a3"/>
        <w:adjustRightInd w:val="0"/>
        <w:snapToGrid w:val="0"/>
        <w:rPr>
          <w:snapToGrid w:val="0"/>
          <w:lang w:val="pt-PT"/>
        </w:rPr>
      </w:pPr>
    </w:p>
    <w:p w14:paraId="181DBD8C" w14:textId="1D1E655D" w:rsidR="00162CE2" w:rsidRPr="002606DB" w:rsidRDefault="00162CE2" w:rsidP="003539B7">
      <w:pPr>
        <w:pStyle w:val="a3"/>
        <w:adjustRightInd w:val="0"/>
        <w:snapToGrid w:val="0"/>
        <w:rPr>
          <w:snapToGrid w:val="0"/>
          <w:lang w:val="pt-PT"/>
        </w:rPr>
      </w:pPr>
      <w:r w:rsidRPr="002606DB">
        <w:rPr>
          <w:snapToGrid w:val="0"/>
          <w:color w:val="000000"/>
          <w:shd w:val="clear" w:color="auto" w:fill="C1C1C1"/>
          <w:lang w:val="pt-PT"/>
        </w:rPr>
        <w:t>Foi aceite a justificação para não incluir a informação em Braille</w:t>
      </w:r>
    </w:p>
    <w:p w14:paraId="47FD5E3A" w14:textId="77777777" w:rsidR="00162CE2" w:rsidRPr="002606DB" w:rsidRDefault="00162CE2" w:rsidP="003539B7">
      <w:pPr>
        <w:pStyle w:val="a3"/>
        <w:adjustRightInd w:val="0"/>
        <w:snapToGrid w:val="0"/>
        <w:rPr>
          <w:snapToGrid w:val="0"/>
          <w:lang w:val="pt-PT"/>
        </w:rPr>
      </w:pPr>
    </w:p>
    <w:p w14:paraId="5E14C404" w14:textId="77777777" w:rsidR="00162CE2" w:rsidRPr="002606DB" w:rsidRDefault="00162CE2" w:rsidP="003539B7">
      <w:pPr>
        <w:pStyle w:val="a3"/>
        <w:adjustRightInd w:val="0"/>
        <w:snapToGrid w:val="0"/>
        <w:rPr>
          <w:snapToGrid w:val="0"/>
          <w:lang w:val="pt-PT"/>
        </w:rPr>
      </w:pPr>
    </w:p>
    <w:p w14:paraId="5DB0AB56"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fr-CA"/>
        </w:rPr>
      </w:pPr>
      <w:r w:rsidRPr="007155C0">
        <w:rPr>
          <w:b/>
          <w:spacing w:val="-5"/>
          <w:lang w:val="fr-CA"/>
        </w:rPr>
        <w:t>17.</w:t>
      </w:r>
      <w:r w:rsidRPr="007155C0">
        <w:rPr>
          <w:b/>
          <w:lang w:val="fr-CA"/>
        </w:rPr>
        <w:tab/>
        <w:t>IDENTIFICADOR</w:t>
      </w:r>
      <w:r w:rsidRPr="007155C0">
        <w:rPr>
          <w:b/>
          <w:spacing w:val="-3"/>
          <w:lang w:val="fr-CA"/>
        </w:rPr>
        <w:t xml:space="preserve"> </w:t>
      </w:r>
      <w:r w:rsidRPr="007155C0">
        <w:rPr>
          <w:b/>
          <w:lang w:val="fr-CA"/>
        </w:rPr>
        <w:t>ÚNICO</w:t>
      </w:r>
      <w:r w:rsidRPr="007155C0">
        <w:rPr>
          <w:b/>
          <w:spacing w:val="-7"/>
          <w:lang w:val="fr-CA"/>
        </w:rPr>
        <w:t xml:space="preserve"> </w:t>
      </w:r>
      <w:r w:rsidRPr="007155C0">
        <w:rPr>
          <w:b/>
          <w:lang w:val="fr-CA"/>
        </w:rPr>
        <w:t>–</w:t>
      </w:r>
      <w:r w:rsidRPr="007155C0">
        <w:rPr>
          <w:b/>
          <w:spacing w:val="-3"/>
          <w:lang w:val="fr-CA"/>
        </w:rPr>
        <w:t xml:space="preserve"> </w:t>
      </w:r>
      <w:r w:rsidRPr="007155C0">
        <w:rPr>
          <w:b/>
          <w:lang w:val="fr-CA"/>
        </w:rPr>
        <w:t>CÓDIGO</w:t>
      </w:r>
      <w:r w:rsidRPr="007155C0">
        <w:rPr>
          <w:b/>
          <w:spacing w:val="-7"/>
          <w:lang w:val="fr-CA"/>
        </w:rPr>
        <w:t xml:space="preserve"> </w:t>
      </w:r>
      <w:r w:rsidRPr="007155C0">
        <w:rPr>
          <w:b/>
          <w:lang w:val="fr-CA"/>
        </w:rPr>
        <w:t>DE</w:t>
      </w:r>
      <w:r w:rsidRPr="007155C0">
        <w:rPr>
          <w:b/>
          <w:spacing w:val="-4"/>
          <w:lang w:val="fr-CA"/>
        </w:rPr>
        <w:t xml:space="preserve"> </w:t>
      </w:r>
      <w:r w:rsidRPr="007155C0">
        <w:rPr>
          <w:b/>
          <w:lang w:val="fr-CA"/>
        </w:rPr>
        <w:t>BARRAS</w:t>
      </w:r>
      <w:r w:rsidRPr="007155C0">
        <w:rPr>
          <w:b/>
          <w:spacing w:val="-8"/>
          <w:lang w:val="fr-CA"/>
        </w:rPr>
        <w:t xml:space="preserve"> </w:t>
      </w:r>
      <w:r w:rsidRPr="007155C0">
        <w:rPr>
          <w:b/>
          <w:spacing w:val="-5"/>
          <w:lang w:val="fr-CA"/>
        </w:rPr>
        <w:t>2D</w:t>
      </w:r>
    </w:p>
    <w:p w14:paraId="5DA9F2EF" w14:textId="77777777" w:rsidR="00162CE2" w:rsidRPr="002606DB" w:rsidRDefault="00162CE2" w:rsidP="003539B7">
      <w:pPr>
        <w:pStyle w:val="a3"/>
        <w:adjustRightInd w:val="0"/>
        <w:snapToGrid w:val="0"/>
        <w:rPr>
          <w:snapToGrid w:val="0"/>
          <w:lang w:val="pt-PT"/>
        </w:rPr>
      </w:pPr>
    </w:p>
    <w:p w14:paraId="5BD99BDB" w14:textId="133E7F2A" w:rsidR="00162CE2" w:rsidRPr="002606DB" w:rsidRDefault="00162CE2" w:rsidP="003539B7">
      <w:pPr>
        <w:pStyle w:val="a3"/>
        <w:adjustRightInd w:val="0"/>
        <w:snapToGrid w:val="0"/>
        <w:rPr>
          <w:snapToGrid w:val="0"/>
          <w:lang w:val="pt-PT"/>
        </w:rPr>
      </w:pPr>
      <w:r w:rsidRPr="002606DB">
        <w:rPr>
          <w:snapToGrid w:val="0"/>
          <w:color w:val="000000"/>
          <w:shd w:val="clear" w:color="auto" w:fill="C1C1C1"/>
          <w:lang w:val="pt-PT"/>
        </w:rPr>
        <w:t>Código de barras 2D com identificador único incluído</w:t>
      </w:r>
    </w:p>
    <w:p w14:paraId="463D0304" w14:textId="77777777" w:rsidR="00162CE2" w:rsidRPr="002606DB" w:rsidRDefault="00162CE2" w:rsidP="003539B7">
      <w:pPr>
        <w:pStyle w:val="a3"/>
        <w:adjustRightInd w:val="0"/>
        <w:snapToGrid w:val="0"/>
        <w:rPr>
          <w:snapToGrid w:val="0"/>
          <w:lang w:val="pt-PT"/>
        </w:rPr>
      </w:pPr>
    </w:p>
    <w:p w14:paraId="2DA97DDB" w14:textId="77777777" w:rsidR="00162CE2" w:rsidRPr="002606DB" w:rsidRDefault="00162CE2" w:rsidP="003539B7">
      <w:pPr>
        <w:pStyle w:val="a3"/>
        <w:adjustRightInd w:val="0"/>
        <w:snapToGrid w:val="0"/>
        <w:rPr>
          <w:snapToGrid w:val="0"/>
          <w:lang w:val="pt-PT"/>
        </w:rPr>
      </w:pPr>
    </w:p>
    <w:p w14:paraId="5A4E0662"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18.</w:t>
      </w:r>
      <w:r w:rsidRPr="007155C0">
        <w:rPr>
          <w:b/>
          <w:lang w:val="pt-PT"/>
        </w:rPr>
        <w:tab/>
        <w:t>IDENTIFICADOR</w:t>
      </w:r>
      <w:r w:rsidRPr="007155C0">
        <w:rPr>
          <w:b/>
          <w:spacing w:val="-6"/>
          <w:lang w:val="pt-PT"/>
        </w:rPr>
        <w:t xml:space="preserve"> </w:t>
      </w:r>
      <w:r w:rsidRPr="007155C0">
        <w:rPr>
          <w:b/>
          <w:lang w:val="pt-PT"/>
        </w:rPr>
        <w:t>ÚNICO</w:t>
      </w:r>
      <w:r w:rsidRPr="007155C0">
        <w:rPr>
          <w:b/>
          <w:spacing w:val="-8"/>
          <w:lang w:val="pt-PT"/>
        </w:rPr>
        <w:t xml:space="preserve"> </w:t>
      </w:r>
      <w:r w:rsidRPr="007155C0">
        <w:rPr>
          <w:b/>
          <w:lang w:val="pt-PT"/>
        </w:rPr>
        <w:t>-</w:t>
      </w:r>
      <w:r w:rsidRPr="007155C0">
        <w:rPr>
          <w:b/>
          <w:spacing w:val="-2"/>
          <w:lang w:val="pt-PT"/>
        </w:rPr>
        <w:t xml:space="preserve"> </w:t>
      </w:r>
      <w:r w:rsidRPr="007155C0">
        <w:rPr>
          <w:b/>
          <w:lang w:val="pt-PT"/>
        </w:rPr>
        <w:t>DADOS</w:t>
      </w:r>
      <w:r w:rsidRPr="007155C0">
        <w:rPr>
          <w:b/>
          <w:spacing w:val="-9"/>
          <w:lang w:val="pt-PT"/>
        </w:rPr>
        <w:t xml:space="preserve"> </w:t>
      </w:r>
      <w:r w:rsidRPr="007155C0">
        <w:rPr>
          <w:b/>
          <w:lang w:val="pt-PT"/>
        </w:rPr>
        <w:t>PARA</w:t>
      </w:r>
      <w:r w:rsidRPr="007155C0">
        <w:rPr>
          <w:b/>
          <w:spacing w:val="-3"/>
          <w:lang w:val="pt-PT"/>
        </w:rPr>
        <w:t xml:space="preserve"> </w:t>
      </w:r>
      <w:r w:rsidRPr="007155C0">
        <w:rPr>
          <w:b/>
          <w:lang w:val="pt-PT"/>
        </w:rPr>
        <w:t>LEITURA</w:t>
      </w:r>
      <w:r w:rsidRPr="007155C0">
        <w:rPr>
          <w:b/>
          <w:spacing w:val="-3"/>
          <w:lang w:val="pt-PT"/>
        </w:rPr>
        <w:t xml:space="preserve"> </w:t>
      </w:r>
      <w:r w:rsidRPr="007155C0">
        <w:rPr>
          <w:b/>
          <w:spacing w:val="-2"/>
          <w:lang w:val="pt-PT"/>
        </w:rPr>
        <w:t>HUMANA</w:t>
      </w:r>
    </w:p>
    <w:p w14:paraId="7E57D6E8" w14:textId="77777777" w:rsidR="00162CE2" w:rsidRPr="002606DB" w:rsidRDefault="00162CE2" w:rsidP="003539B7">
      <w:pPr>
        <w:pStyle w:val="a3"/>
        <w:adjustRightInd w:val="0"/>
        <w:snapToGrid w:val="0"/>
        <w:rPr>
          <w:snapToGrid w:val="0"/>
          <w:lang w:val="pt-PT"/>
        </w:rPr>
      </w:pPr>
    </w:p>
    <w:p w14:paraId="0ADC8569" w14:textId="5FA13CB5" w:rsidR="00162CE2" w:rsidRPr="002606DB" w:rsidRDefault="00162CE2" w:rsidP="003539B7">
      <w:pPr>
        <w:pStyle w:val="a3"/>
        <w:adjustRightInd w:val="0"/>
        <w:snapToGrid w:val="0"/>
        <w:jc w:val="both"/>
        <w:rPr>
          <w:snapToGrid w:val="0"/>
          <w:lang w:val="pt-PT"/>
        </w:rPr>
      </w:pPr>
      <w:r w:rsidRPr="002606DB">
        <w:rPr>
          <w:snapToGrid w:val="0"/>
          <w:lang w:val="pt-PT"/>
        </w:rPr>
        <w:t>PC</w:t>
      </w:r>
    </w:p>
    <w:p w14:paraId="48F6BBD3" w14:textId="47A2CC69" w:rsidR="00162CE2" w:rsidRPr="002606DB" w:rsidRDefault="00162CE2" w:rsidP="003539B7">
      <w:pPr>
        <w:pStyle w:val="a3"/>
        <w:adjustRightInd w:val="0"/>
        <w:snapToGrid w:val="0"/>
        <w:jc w:val="both"/>
        <w:rPr>
          <w:snapToGrid w:val="0"/>
          <w:lang w:val="pt-PT"/>
        </w:rPr>
      </w:pPr>
      <w:r w:rsidRPr="002606DB">
        <w:rPr>
          <w:snapToGrid w:val="0"/>
          <w:lang w:val="pt-PT"/>
        </w:rPr>
        <w:t>SN</w:t>
      </w:r>
    </w:p>
    <w:p w14:paraId="3C906DB6" w14:textId="77777777" w:rsidR="00162CE2" w:rsidRPr="002606DB" w:rsidRDefault="00162CE2" w:rsidP="003539B7">
      <w:pPr>
        <w:pStyle w:val="a3"/>
        <w:adjustRightInd w:val="0"/>
        <w:snapToGrid w:val="0"/>
        <w:jc w:val="both"/>
        <w:rPr>
          <w:snapToGrid w:val="0"/>
          <w:lang w:val="pt-PT"/>
        </w:rPr>
      </w:pPr>
      <w:r w:rsidRPr="002606DB">
        <w:rPr>
          <w:snapToGrid w:val="0"/>
          <w:lang w:val="pt-PT"/>
        </w:rPr>
        <w:t>NN</w:t>
      </w:r>
    </w:p>
    <w:p w14:paraId="0BCDB3B7" w14:textId="77777777" w:rsidR="00162CE2" w:rsidRPr="002606DB" w:rsidRDefault="00162CE2" w:rsidP="003539B7">
      <w:pPr>
        <w:adjustRightInd w:val="0"/>
        <w:snapToGrid w:val="0"/>
        <w:jc w:val="both"/>
        <w:rPr>
          <w:snapToGrid w:val="0"/>
          <w:lang w:val="pt-PT"/>
        </w:rPr>
      </w:pPr>
    </w:p>
    <w:p w14:paraId="6D7429BA"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2606DB">
        <w:rPr>
          <w:snapToGrid w:val="0"/>
          <w:lang w:val="pt-PT"/>
        </w:rPr>
        <w:br w:type="page"/>
      </w:r>
      <w:r w:rsidRPr="007155C0">
        <w:rPr>
          <w:b/>
          <w:lang w:val="pt-PT"/>
        </w:rPr>
        <w:lastRenderedPageBreak/>
        <w:t>INDICAÇÕES</w:t>
      </w:r>
      <w:r w:rsidRPr="007155C0">
        <w:rPr>
          <w:b/>
          <w:spacing w:val="-10"/>
          <w:lang w:val="pt-PT"/>
        </w:rPr>
        <w:t xml:space="preserve"> </w:t>
      </w:r>
      <w:r w:rsidRPr="007155C0">
        <w:rPr>
          <w:b/>
          <w:lang w:val="pt-PT"/>
        </w:rPr>
        <w:t>MÍNIMAS</w:t>
      </w:r>
      <w:r w:rsidRPr="007155C0">
        <w:rPr>
          <w:b/>
          <w:spacing w:val="-3"/>
          <w:lang w:val="pt-PT"/>
        </w:rPr>
        <w:t xml:space="preserve"> </w:t>
      </w:r>
      <w:r w:rsidRPr="007155C0">
        <w:rPr>
          <w:b/>
          <w:lang w:val="pt-PT"/>
        </w:rPr>
        <w:t>A</w:t>
      </w:r>
      <w:r w:rsidRPr="007155C0">
        <w:rPr>
          <w:b/>
          <w:spacing w:val="-4"/>
          <w:lang w:val="pt-PT"/>
        </w:rPr>
        <w:t xml:space="preserve"> </w:t>
      </w:r>
      <w:r w:rsidRPr="007155C0">
        <w:rPr>
          <w:b/>
          <w:lang w:val="pt-PT"/>
        </w:rPr>
        <w:t>INCLUIR</w:t>
      </w:r>
      <w:r w:rsidRPr="007155C0">
        <w:rPr>
          <w:b/>
          <w:spacing w:val="-11"/>
          <w:lang w:val="pt-PT"/>
        </w:rPr>
        <w:t xml:space="preserve"> </w:t>
      </w:r>
      <w:r w:rsidRPr="007155C0">
        <w:rPr>
          <w:b/>
          <w:lang w:val="pt-PT"/>
        </w:rPr>
        <w:t>EM</w:t>
      </w:r>
      <w:r w:rsidRPr="007155C0">
        <w:rPr>
          <w:b/>
          <w:spacing w:val="-3"/>
          <w:lang w:val="pt-PT"/>
        </w:rPr>
        <w:t xml:space="preserve"> </w:t>
      </w:r>
      <w:r w:rsidRPr="007155C0">
        <w:rPr>
          <w:b/>
          <w:lang w:val="pt-PT"/>
        </w:rPr>
        <w:t>PEQUENAS</w:t>
      </w:r>
      <w:r w:rsidRPr="007155C0">
        <w:rPr>
          <w:b/>
          <w:spacing w:val="-3"/>
          <w:lang w:val="pt-PT"/>
        </w:rPr>
        <w:t xml:space="preserve"> </w:t>
      </w:r>
      <w:r w:rsidRPr="007155C0">
        <w:rPr>
          <w:b/>
          <w:lang w:val="pt-PT"/>
        </w:rPr>
        <w:t>UNIDADES</w:t>
      </w:r>
      <w:r w:rsidRPr="007155C0">
        <w:rPr>
          <w:b/>
          <w:spacing w:val="-3"/>
          <w:lang w:val="pt-PT"/>
        </w:rPr>
        <w:t xml:space="preserve"> </w:t>
      </w:r>
      <w:r w:rsidRPr="007155C0">
        <w:rPr>
          <w:b/>
          <w:lang w:val="pt-PT"/>
        </w:rPr>
        <w:t>DE ACONDICIONAMENTO PRIMÁRIO</w:t>
      </w:r>
    </w:p>
    <w:p w14:paraId="1C71B1E5" w14:textId="77777777" w:rsidR="00162CE2" w:rsidRPr="007155C0" w:rsidRDefault="00162CE2" w:rsidP="003539B7">
      <w:pPr>
        <w:pStyle w:val="a3"/>
        <w:pBdr>
          <w:top w:val="single" w:sz="4" w:space="1" w:color="auto"/>
          <w:left w:val="single" w:sz="4" w:space="4" w:color="auto"/>
          <w:bottom w:val="single" w:sz="4" w:space="1" w:color="auto"/>
          <w:right w:val="single" w:sz="4" w:space="4" w:color="auto"/>
        </w:pBdr>
        <w:rPr>
          <w:b/>
          <w:sz w:val="21"/>
          <w:lang w:val="pt-PT"/>
        </w:rPr>
      </w:pPr>
    </w:p>
    <w:p w14:paraId="50C25244"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rPr>
        <w:t>FRASCO PARA</w:t>
      </w:r>
      <w:r w:rsidRPr="002606DB">
        <w:rPr>
          <w:b/>
          <w:spacing w:val="-2"/>
        </w:rPr>
        <w:t xml:space="preserve"> INJETÁVEIS</w:t>
      </w:r>
    </w:p>
    <w:p w14:paraId="49DADDC2" w14:textId="77777777" w:rsidR="00162CE2" w:rsidRPr="002606DB" w:rsidRDefault="00162CE2" w:rsidP="003539B7">
      <w:pPr>
        <w:pStyle w:val="a3"/>
        <w:adjustRightInd w:val="0"/>
        <w:snapToGrid w:val="0"/>
        <w:rPr>
          <w:snapToGrid w:val="0"/>
          <w:lang w:val="pt-PT"/>
        </w:rPr>
      </w:pPr>
    </w:p>
    <w:p w14:paraId="6C7A3A42" w14:textId="77777777" w:rsidR="00162CE2" w:rsidRPr="002606DB" w:rsidRDefault="00162CE2" w:rsidP="003539B7">
      <w:pPr>
        <w:pStyle w:val="a3"/>
        <w:adjustRightInd w:val="0"/>
        <w:snapToGrid w:val="0"/>
        <w:rPr>
          <w:snapToGrid w:val="0"/>
          <w:lang w:val="pt-PT"/>
        </w:rPr>
      </w:pPr>
    </w:p>
    <w:p w14:paraId="2819ED90" w14:textId="77777777" w:rsidR="00162CE2" w:rsidRPr="002606DB" w:rsidRDefault="00162CE2" w:rsidP="003539B7">
      <w:pPr>
        <w:pBdr>
          <w:top w:val="single" w:sz="4" w:space="1" w:color="auto"/>
          <w:left w:val="single" w:sz="4" w:space="4" w:color="auto"/>
          <w:bottom w:val="single" w:sz="4" w:space="1" w:color="auto"/>
          <w:right w:val="single" w:sz="4" w:space="4" w:color="auto"/>
        </w:pBdr>
        <w:rPr>
          <w:b/>
        </w:rPr>
      </w:pPr>
      <w:r w:rsidRPr="002606DB">
        <w:rPr>
          <w:b/>
          <w:spacing w:val="-5"/>
        </w:rPr>
        <w:t>1.</w:t>
      </w:r>
      <w:r w:rsidRPr="002606DB">
        <w:rPr>
          <w:b/>
        </w:rPr>
        <w:tab/>
        <w:t>NOME</w:t>
      </w:r>
      <w:r w:rsidRPr="002606DB">
        <w:rPr>
          <w:b/>
          <w:spacing w:val="3"/>
        </w:rPr>
        <w:t xml:space="preserve"> </w:t>
      </w:r>
      <w:r w:rsidRPr="002606DB">
        <w:rPr>
          <w:b/>
        </w:rPr>
        <w:t>DO</w:t>
      </w:r>
      <w:r w:rsidRPr="002606DB">
        <w:rPr>
          <w:b/>
          <w:spacing w:val="-13"/>
        </w:rPr>
        <w:t xml:space="preserve"> </w:t>
      </w:r>
      <w:r w:rsidRPr="002606DB">
        <w:rPr>
          <w:b/>
        </w:rPr>
        <w:t>MEDICAMENTO</w:t>
      </w:r>
      <w:r w:rsidRPr="002606DB">
        <w:rPr>
          <w:b/>
          <w:spacing w:val="-7"/>
        </w:rPr>
        <w:t xml:space="preserve"> </w:t>
      </w:r>
      <w:r w:rsidRPr="002606DB">
        <w:rPr>
          <w:b/>
        </w:rPr>
        <w:t>E</w:t>
      </w:r>
      <w:r w:rsidRPr="002606DB">
        <w:rPr>
          <w:b/>
          <w:spacing w:val="-3"/>
        </w:rPr>
        <w:t xml:space="preserve"> </w:t>
      </w:r>
      <w:r w:rsidRPr="002606DB">
        <w:rPr>
          <w:b/>
        </w:rPr>
        <w:t>VIA(S)</w:t>
      </w:r>
      <w:r w:rsidRPr="002606DB">
        <w:rPr>
          <w:b/>
          <w:spacing w:val="-1"/>
        </w:rPr>
        <w:t xml:space="preserve"> </w:t>
      </w:r>
      <w:r w:rsidRPr="002606DB">
        <w:rPr>
          <w:b/>
        </w:rPr>
        <w:t>DE</w:t>
      </w:r>
      <w:r w:rsidRPr="002606DB">
        <w:rPr>
          <w:b/>
          <w:spacing w:val="3"/>
        </w:rPr>
        <w:t xml:space="preserve"> </w:t>
      </w:r>
      <w:r w:rsidRPr="002606DB">
        <w:rPr>
          <w:b/>
          <w:spacing w:val="-2"/>
        </w:rPr>
        <w:t>ADMINISTRAÇÃO</w:t>
      </w:r>
    </w:p>
    <w:p w14:paraId="05BB8342" w14:textId="77777777" w:rsidR="00162CE2" w:rsidRPr="002606DB" w:rsidRDefault="00162CE2" w:rsidP="003539B7">
      <w:pPr>
        <w:pStyle w:val="a3"/>
        <w:adjustRightInd w:val="0"/>
        <w:snapToGrid w:val="0"/>
        <w:rPr>
          <w:snapToGrid w:val="0"/>
          <w:lang w:val="pt-PT"/>
        </w:rPr>
      </w:pPr>
    </w:p>
    <w:p w14:paraId="05A73B92" w14:textId="1CC11D6D" w:rsidR="00162CE2" w:rsidRPr="00AE5936" w:rsidRDefault="00FB2483" w:rsidP="003539B7">
      <w:pPr>
        <w:pStyle w:val="a3"/>
        <w:adjustRightInd w:val="0"/>
        <w:snapToGrid w:val="0"/>
        <w:rPr>
          <w:snapToGrid w:val="0"/>
          <w:lang w:val="pt-PT"/>
        </w:rPr>
      </w:pPr>
      <w:r>
        <w:rPr>
          <w:color w:val="000000"/>
          <w:lang w:val="pt-PT"/>
        </w:rPr>
        <w:t>Vegzelma</w:t>
      </w:r>
      <w:r w:rsidR="00296E45">
        <w:rPr>
          <w:rFonts w:eastAsia="맑은 고딕" w:hint="eastAsia"/>
          <w:color w:val="000000"/>
          <w:lang w:val="pt-PT" w:eastAsia="ko-KR"/>
        </w:rPr>
        <w:t xml:space="preserve"> </w:t>
      </w:r>
      <w:r w:rsidR="00162CE2" w:rsidRPr="00AE5936">
        <w:rPr>
          <w:snapToGrid w:val="0"/>
          <w:lang w:val="pt-PT"/>
        </w:rPr>
        <w:t xml:space="preserve">25 mg/ml </w:t>
      </w:r>
      <w:r w:rsidR="00F16E69" w:rsidRPr="00AE5936">
        <w:rPr>
          <w:snapToGrid w:val="0"/>
          <w:lang w:val="pt-PT"/>
        </w:rPr>
        <w:t>C</w:t>
      </w:r>
      <w:r w:rsidR="00162CE2" w:rsidRPr="00AE5936">
        <w:rPr>
          <w:snapToGrid w:val="0"/>
          <w:lang w:val="pt-PT"/>
        </w:rPr>
        <w:t xml:space="preserve">oncentrado </w:t>
      </w:r>
      <w:r w:rsidR="00C77771" w:rsidRPr="00AE5936">
        <w:rPr>
          <w:snapToGrid w:val="0"/>
          <w:lang w:val="pt-PT"/>
        </w:rPr>
        <w:t>estéril</w:t>
      </w:r>
      <w:r w:rsidR="00162CE2" w:rsidRPr="00AE5936">
        <w:rPr>
          <w:snapToGrid w:val="0"/>
          <w:lang w:val="pt-PT"/>
        </w:rPr>
        <w:t xml:space="preserve"> </w:t>
      </w:r>
    </w:p>
    <w:p w14:paraId="7BA4F32D" w14:textId="77777777" w:rsidR="00162CE2" w:rsidRPr="00AE5936" w:rsidRDefault="00162CE2" w:rsidP="003539B7">
      <w:pPr>
        <w:pStyle w:val="a3"/>
        <w:adjustRightInd w:val="0"/>
        <w:snapToGrid w:val="0"/>
        <w:rPr>
          <w:snapToGrid w:val="0"/>
          <w:lang w:val="pt-PT"/>
        </w:rPr>
      </w:pPr>
      <w:r w:rsidRPr="00AE5936">
        <w:rPr>
          <w:snapToGrid w:val="0"/>
          <w:lang w:val="pt-PT"/>
        </w:rPr>
        <w:t>bevacizumab</w:t>
      </w:r>
    </w:p>
    <w:p w14:paraId="02120CD2" w14:textId="77777777" w:rsidR="00162CE2" w:rsidRPr="00AE5936" w:rsidRDefault="00162CE2" w:rsidP="003539B7">
      <w:pPr>
        <w:pStyle w:val="a3"/>
        <w:adjustRightInd w:val="0"/>
        <w:snapToGrid w:val="0"/>
        <w:rPr>
          <w:snapToGrid w:val="0"/>
          <w:lang w:val="pt-PT"/>
        </w:rPr>
      </w:pPr>
      <w:r w:rsidRPr="00AE5936">
        <w:rPr>
          <w:snapToGrid w:val="0"/>
          <w:lang w:val="pt-PT"/>
        </w:rPr>
        <w:t>IV</w:t>
      </w:r>
    </w:p>
    <w:p w14:paraId="0982975B" w14:textId="77777777" w:rsidR="00162CE2" w:rsidRPr="002606DB" w:rsidRDefault="00162CE2" w:rsidP="003539B7">
      <w:pPr>
        <w:pStyle w:val="a3"/>
        <w:adjustRightInd w:val="0"/>
        <w:snapToGrid w:val="0"/>
        <w:rPr>
          <w:snapToGrid w:val="0"/>
          <w:lang w:val="pt-PT"/>
        </w:rPr>
      </w:pPr>
    </w:p>
    <w:p w14:paraId="71F520FA" w14:textId="77777777" w:rsidR="00162CE2" w:rsidRPr="002606DB" w:rsidRDefault="00162CE2" w:rsidP="003539B7">
      <w:pPr>
        <w:pStyle w:val="a3"/>
        <w:adjustRightInd w:val="0"/>
        <w:snapToGrid w:val="0"/>
        <w:rPr>
          <w:snapToGrid w:val="0"/>
          <w:lang w:val="pt-PT"/>
        </w:rPr>
      </w:pPr>
    </w:p>
    <w:p w14:paraId="63FEFA04"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2.</w:t>
      </w:r>
      <w:r w:rsidRPr="007155C0">
        <w:rPr>
          <w:b/>
          <w:lang w:val="pt-PT"/>
        </w:rPr>
        <w:tab/>
        <w:t>MODO</w:t>
      </w:r>
      <w:r w:rsidRPr="007155C0">
        <w:rPr>
          <w:b/>
          <w:spacing w:val="1"/>
          <w:lang w:val="pt-PT"/>
        </w:rPr>
        <w:t xml:space="preserve"> </w:t>
      </w:r>
      <w:r w:rsidRPr="007155C0">
        <w:rPr>
          <w:b/>
          <w:lang w:val="pt-PT"/>
        </w:rPr>
        <w:t>DE</w:t>
      </w:r>
      <w:r w:rsidRPr="007155C0">
        <w:rPr>
          <w:b/>
          <w:spacing w:val="-2"/>
          <w:lang w:val="pt-PT"/>
        </w:rPr>
        <w:t xml:space="preserve"> ADMINISTRAÇÃO</w:t>
      </w:r>
    </w:p>
    <w:p w14:paraId="47CA490A" w14:textId="77777777" w:rsidR="00162CE2" w:rsidRPr="002606DB" w:rsidRDefault="00162CE2" w:rsidP="003539B7">
      <w:pPr>
        <w:pStyle w:val="a3"/>
        <w:adjustRightInd w:val="0"/>
        <w:snapToGrid w:val="0"/>
        <w:rPr>
          <w:snapToGrid w:val="0"/>
          <w:lang w:val="pt-PT"/>
        </w:rPr>
      </w:pPr>
    </w:p>
    <w:p w14:paraId="3660D974" w14:textId="0F225A06" w:rsidR="00162CE2" w:rsidRPr="002606DB" w:rsidRDefault="00162CE2" w:rsidP="003539B7">
      <w:pPr>
        <w:pStyle w:val="a3"/>
        <w:adjustRightInd w:val="0"/>
        <w:snapToGrid w:val="0"/>
        <w:rPr>
          <w:snapToGrid w:val="0"/>
          <w:lang w:val="pt-PT"/>
        </w:rPr>
      </w:pPr>
      <w:r w:rsidRPr="002606DB">
        <w:rPr>
          <w:snapToGrid w:val="0"/>
          <w:lang w:val="pt-PT"/>
        </w:rPr>
        <w:t xml:space="preserve">Para administração </w:t>
      </w:r>
      <w:r w:rsidR="00AE5936">
        <w:rPr>
          <w:snapToGrid w:val="0"/>
          <w:lang w:val="pt-PT"/>
        </w:rPr>
        <w:t>IV</w:t>
      </w:r>
      <w:r w:rsidR="00AE5936" w:rsidRPr="002606DB">
        <w:rPr>
          <w:snapToGrid w:val="0"/>
          <w:lang w:val="pt-PT"/>
        </w:rPr>
        <w:t xml:space="preserve"> </w:t>
      </w:r>
      <w:r w:rsidRPr="002606DB">
        <w:rPr>
          <w:snapToGrid w:val="0"/>
          <w:lang w:val="pt-PT"/>
        </w:rPr>
        <w:t>após diluição</w:t>
      </w:r>
    </w:p>
    <w:p w14:paraId="3C83024B" w14:textId="77777777" w:rsidR="00162CE2" w:rsidRPr="002606DB" w:rsidRDefault="00162CE2" w:rsidP="003539B7">
      <w:pPr>
        <w:pStyle w:val="a3"/>
        <w:adjustRightInd w:val="0"/>
        <w:snapToGrid w:val="0"/>
        <w:rPr>
          <w:snapToGrid w:val="0"/>
          <w:lang w:val="pt-PT"/>
        </w:rPr>
      </w:pPr>
    </w:p>
    <w:p w14:paraId="08FBD835" w14:textId="77777777" w:rsidR="00162CE2" w:rsidRPr="002606DB" w:rsidRDefault="00162CE2" w:rsidP="003539B7">
      <w:pPr>
        <w:pStyle w:val="a3"/>
        <w:adjustRightInd w:val="0"/>
        <w:snapToGrid w:val="0"/>
        <w:rPr>
          <w:snapToGrid w:val="0"/>
          <w:lang w:val="pt-PT"/>
        </w:rPr>
      </w:pPr>
    </w:p>
    <w:p w14:paraId="40A21E61"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3.</w:t>
      </w:r>
      <w:r w:rsidRPr="007155C0">
        <w:rPr>
          <w:b/>
          <w:lang w:val="pt-PT"/>
        </w:rPr>
        <w:tab/>
        <w:t>PRAZO</w:t>
      </w:r>
      <w:r w:rsidRPr="007155C0">
        <w:rPr>
          <w:b/>
          <w:spacing w:val="-1"/>
          <w:lang w:val="pt-PT"/>
        </w:rPr>
        <w:t xml:space="preserve"> </w:t>
      </w:r>
      <w:r w:rsidRPr="007155C0">
        <w:rPr>
          <w:b/>
          <w:lang w:val="pt-PT"/>
        </w:rPr>
        <w:t>DE</w:t>
      </w:r>
      <w:r w:rsidRPr="007155C0">
        <w:rPr>
          <w:b/>
          <w:spacing w:val="2"/>
          <w:lang w:val="pt-PT"/>
        </w:rPr>
        <w:t xml:space="preserve"> </w:t>
      </w:r>
      <w:r w:rsidRPr="007155C0">
        <w:rPr>
          <w:b/>
          <w:spacing w:val="-2"/>
          <w:lang w:val="pt-PT"/>
        </w:rPr>
        <w:t>VALIDADE</w:t>
      </w:r>
    </w:p>
    <w:p w14:paraId="267440C3" w14:textId="77777777" w:rsidR="00162CE2" w:rsidRPr="002606DB" w:rsidRDefault="00162CE2" w:rsidP="003539B7">
      <w:pPr>
        <w:pStyle w:val="a3"/>
        <w:adjustRightInd w:val="0"/>
        <w:snapToGrid w:val="0"/>
        <w:rPr>
          <w:snapToGrid w:val="0"/>
          <w:lang w:val="pt-PT"/>
        </w:rPr>
      </w:pPr>
    </w:p>
    <w:p w14:paraId="54E5444B" w14:textId="77777777" w:rsidR="00162CE2" w:rsidRPr="002606DB" w:rsidRDefault="00162CE2" w:rsidP="003539B7">
      <w:pPr>
        <w:pStyle w:val="a3"/>
        <w:adjustRightInd w:val="0"/>
        <w:snapToGrid w:val="0"/>
        <w:rPr>
          <w:snapToGrid w:val="0"/>
          <w:lang w:val="pt-PT"/>
        </w:rPr>
      </w:pPr>
      <w:r w:rsidRPr="002606DB">
        <w:rPr>
          <w:snapToGrid w:val="0"/>
          <w:lang w:val="pt-PT"/>
        </w:rPr>
        <w:t>EXP</w:t>
      </w:r>
    </w:p>
    <w:p w14:paraId="7A79C7B6" w14:textId="77777777" w:rsidR="00162CE2" w:rsidRPr="002606DB" w:rsidRDefault="00162CE2" w:rsidP="003539B7">
      <w:pPr>
        <w:pStyle w:val="a3"/>
        <w:adjustRightInd w:val="0"/>
        <w:snapToGrid w:val="0"/>
        <w:rPr>
          <w:snapToGrid w:val="0"/>
          <w:lang w:val="pt-PT"/>
        </w:rPr>
      </w:pPr>
    </w:p>
    <w:p w14:paraId="2CEF827C" w14:textId="77777777" w:rsidR="00162CE2" w:rsidRPr="002606DB" w:rsidRDefault="00162CE2" w:rsidP="003539B7">
      <w:pPr>
        <w:pStyle w:val="a3"/>
        <w:adjustRightInd w:val="0"/>
        <w:snapToGrid w:val="0"/>
        <w:rPr>
          <w:snapToGrid w:val="0"/>
          <w:lang w:val="pt-PT"/>
        </w:rPr>
      </w:pPr>
    </w:p>
    <w:p w14:paraId="7B6DA224"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4.</w:t>
      </w:r>
      <w:r w:rsidRPr="007155C0">
        <w:rPr>
          <w:b/>
          <w:lang w:val="pt-PT"/>
        </w:rPr>
        <w:tab/>
        <w:t>NÚMERO</w:t>
      </w:r>
      <w:r w:rsidRPr="007155C0">
        <w:rPr>
          <w:b/>
          <w:spacing w:val="1"/>
          <w:lang w:val="pt-PT"/>
        </w:rPr>
        <w:t xml:space="preserve"> </w:t>
      </w:r>
      <w:r w:rsidRPr="007155C0">
        <w:rPr>
          <w:b/>
          <w:lang w:val="pt-PT"/>
        </w:rPr>
        <w:t>DO</w:t>
      </w:r>
      <w:r w:rsidRPr="007155C0">
        <w:rPr>
          <w:b/>
          <w:spacing w:val="-5"/>
          <w:lang w:val="pt-PT"/>
        </w:rPr>
        <w:t xml:space="preserve"> </w:t>
      </w:r>
      <w:r w:rsidRPr="007155C0">
        <w:rPr>
          <w:b/>
          <w:spacing w:val="-4"/>
          <w:lang w:val="pt-PT"/>
        </w:rPr>
        <w:t>LOTE</w:t>
      </w:r>
    </w:p>
    <w:p w14:paraId="37F229C7" w14:textId="77777777" w:rsidR="00162CE2" w:rsidRPr="002606DB" w:rsidRDefault="00162CE2" w:rsidP="003539B7">
      <w:pPr>
        <w:pStyle w:val="a3"/>
        <w:adjustRightInd w:val="0"/>
        <w:snapToGrid w:val="0"/>
        <w:rPr>
          <w:snapToGrid w:val="0"/>
          <w:lang w:val="pt-PT"/>
        </w:rPr>
      </w:pPr>
    </w:p>
    <w:p w14:paraId="603983F1" w14:textId="77777777" w:rsidR="00162CE2" w:rsidRPr="002606DB" w:rsidRDefault="00162CE2" w:rsidP="003539B7">
      <w:pPr>
        <w:pStyle w:val="a3"/>
        <w:adjustRightInd w:val="0"/>
        <w:snapToGrid w:val="0"/>
        <w:rPr>
          <w:snapToGrid w:val="0"/>
          <w:lang w:val="pt-PT"/>
        </w:rPr>
      </w:pPr>
      <w:r w:rsidRPr="002606DB">
        <w:rPr>
          <w:snapToGrid w:val="0"/>
          <w:lang w:val="pt-PT"/>
        </w:rPr>
        <w:t>Lot</w:t>
      </w:r>
    </w:p>
    <w:p w14:paraId="1987ADCA" w14:textId="77777777" w:rsidR="00162CE2" w:rsidRPr="002606DB" w:rsidRDefault="00162CE2" w:rsidP="003539B7">
      <w:pPr>
        <w:pStyle w:val="a3"/>
        <w:adjustRightInd w:val="0"/>
        <w:snapToGrid w:val="0"/>
        <w:rPr>
          <w:snapToGrid w:val="0"/>
          <w:lang w:val="pt-PT"/>
        </w:rPr>
      </w:pPr>
    </w:p>
    <w:p w14:paraId="0522CDD1" w14:textId="77777777" w:rsidR="00162CE2" w:rsidRPr="002606DB" w:rsidRDefault="00162CE2" w:rsidP="003539B7">
      <w:pPr>
        <w:pStyle w:val="a3"/>
        <w:adjustRightInd w:val="0"/>
        <w:snapToGrid w:val="0"/>
        <w:rPr>
          <w:snapToGrid w:val="0"/>
          <w:lang w:val="pt-PT"/>
        </w:rPr>
      </w:pPr>
    </w:p>
    <w:p w14:paraId="233E7D94"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5.</w:t>
      </w:r>
      <w:r w:rsidRPr="007155C0">
        <w:rPr>
          <w:b/>
          <w:lang w:val="pt-PT"/>
        </w:rPr>
        <w:tab/>
        <w:t>CONTEÚDO</w:t>
      </w:r>
      <w:r w:rsidRPr="007155C0">
        <w:rPr>
          <w:b/>
          <w:spacing w:val="-8"/>
          <w:lang w:val="pt-PT"/>
        </w:rPr>
        <w:t xml:space="preserve"> </w:t>
      </w:r>
      <w:r w:rsidRPr="007155C0">
        <w:rPr>
          <w:b/>
          <w:lang w:val="pt-PT"/>
        </w:rPr>
        <w:t>EM</w:t>
      </w:r>
      <w:r w:rsidRPr="007155C0">
        <w:rPr>
          <w:b/>
          <w:spacing w:val="-2"/>
          <w:lang w:val="pt-PT"/>
        </w:rPr>
        <w:t xml:space="preserve"> </w:t>
      </w:r>
      <w:r w:rsidRPr="007155C0">
        <w:rPr>
          <w:b/>
          <w:lang w:val="pt-PT"/>
        </w:rPr>
        <w:t>PESO,</w:t>
      </w:r>
      <w:r w:rsidRPr="007155C0">
        <w:rPr>
          <w:b/>
          <w:spacing w:val="1"/>
          <w:lang w:val="pt-PT"/>
        </w:rPr>
        <w:t xml:space="preserve"> </w:t>
      </w:r>
      <w:r w:rsidRPr="007155C0">
        <w:rPr>
          <w:b/>
          <w:lang w:val="pt-PT"/>
        </w:rPr>
        <w:t>VOLUME</w:t>
      </w:r>
      <w:r w:rsidRPr="007155C0">
        <w:rPr>
          <w:b/>
          <w:spacing w:val="-5"/>
          <w:lang w:val="pt-PT"/>
        </w:rPr>
        <w:t xml:space="preserve"> </w:t>
      </w:r>
      <w:r w:rsidRPr="007155C0">
        <w:rPr>
          <w:b/>
          <w:lang w:val="pt-PT"/>
        </w:rPr>
        <w:t>OU</w:t>
      </w:r>
      <w:r w:rsidRPr="007155C0">
        <w:rPr>
          <w:b/>
          <w:spacing w:val="-3"/>
          <w:lang w:val="pt-PT"/>
        </w:rPr>
        <w:t xml:space="preserve"> </w:t>
      </w:r>
      <w:r w:rsidRPr="007155C0">
        <w:rPr>
          <w:b/>
          <w:spacing w:val="-2"/>
          <w:lang w:val="pt-PT"/>
        </w:rPr>
        <w:t>UNIDADE</w:t>
      </w:r>
    </w:p>
    <w:p w14:paraId="2F646884" w14:textId="77777777" w:rsidR="00162CE2" w:rsidRPr="002606DB" w:rsidRDefault="00162CE2" w:rsidP="003539B7">
      <w:pPr>
        <w:pStyle w:val="a3"/>
        <w:adjustRightInd w:val="0"/>
        <w:snapToGrid w:val="0"/>
        <w:rPr>
          <w:snapToGrid w:val="0"/>
          <w:lang w:val="pt-PT"/>
        </w:rPr>
      </w:pPr>
    </w:p>
    <w:p w14:paraId="3A0A49F3" w14:textId="77777777" w:rsidR="00162CE2" w:rsidRPr="002606DB" w:rsidRDefault="00162CE2" w:rsidP="003539B7">
      <w:pPr>
        <w:pStyle w:val="a3"/>
        <w:adjustRightInd w:val="0"/>
        <w:snapToGrid w:val="0"/>
        <w:rPr>
          <w:snapToGrid w:val="0"/>
          <w:lang w:val="pt-PT"/>
        </w:rPr>
      </w:pPr>
      <w:r w:rsidRPr="002606DB">
        <w:rPr>
          <w:snapToGrid w:val="0"/>
          <w:lang w:val="pt-PT"/>
        </w:rPr>
        <w:t>400 mg/16 ml</w:t>
      </w:r>
    </w:p>
    <w:p w14:paraId="37C3B962" w14:textId="77777777" w:rsidR="00162CE2" w:rsidRPr="002606DB" w:rsidRDefault="00162CE2" w:rsidP="003539B7">
      <w:pPr>
        <w:pStyle w:val="a3"/>
        <w:adjustRightInd w:val="0"/>
        <w:snapToGrid w:val="0"/>
        <w:rPr>
          <w:snapToGrid w:val="0"/>
          <w:lang w:val="pt-PT"/>
        </w:rPr>
      </w:pPr>
    </w:p>
    <w:p w14:paraId="6AABB0BA" w14:textId="77777777" w:rsidR="00162CE2" w:rsidRPr="002606DB" w:rsidRDefault="00162CE2" w:rsidP="003539B7">
      <w:pPr>
        <w:pStyle w:val="a3"/>
        <w:adjustRightInd w:val="0"/>
        <w:snapToGrid w:val="0"/>
        <w:rPr>
          <w:snapToGrid w:val="0"/>
          <w:lang w:val="pt-PT"/>
        </w:rPr>
      </w:pPr>
    </w:p>
    <w:p w14:paraId="57A7BE63" w14:textId="77777777" w:rsidR="00162CE2" w:rsidRPr="007155C0" w:rsidRDefault="00162CE2" w:rsidP="003539B7">
      <w:pPr>
        <w:pBdr>
          <w:top w:val="single" w:sz="4" w:space="1" w:color="auto"/>
          <w:left w:val="single" w:sz="4" w:space="4" w:color="auto"/>
          <w:bottom w:val="single" w:sz="4" w:space="1" w:color="auto"/>
          <w:right w:val="single" w:sz="4" w:space="4" w:color="auto"/>
        </w:pBdr>
        <w:rPr>
          <w:b/>
          <w:lang w:val="pt-PT"/>
        </w:rPr>
      </w:pPr>
      <w:r w:rsidRPr="007155C0">
        <w:rPr>
          <w:b/>
          <w:spacing w:val="-5"/>
          <w:lang w:val="pt-PT"/>
        </w:rPr>
        <w:t>6.</w:t>
      </w:r>
      <w:r w:rsidRPr="007155C0">
        <w:rPr>
          <w:b/>
          <w:lang w:val="pt-PT"/>
        </w:rPr>
        <w:tab/>
      </w:r>
      <w:r w:rsidRPr="007155C0">
        <w:rPr>
          <w:b/>
          <w:spacing w:val="-2"/>
          <w:lang w:val="pt-PT"/>
        </w:rPr>
        <w:t>OUTRAS</w:t>
      </w:r>
    </w:p>
    <w:p w14:paraId="593FCE9B" w14:textId="77777777" w:rsidR="00162CE2" w:rsidRPr="002606DB" w:rsidRDefault="00162CE2" w:rsidP="003539B7">
      <w:pPr>
        <w:adjustRightInd w:val="0"/>
        <w:snapToGrid w:val="0"/>
        <w:rPr>
          <w:snapToGrid w:val="0"/>
          <w:lang w:val="pt-PT"/>
        </w:rPr>
      </w:pPr>
    </w:p>
    <w:p w14:paraId="7FE5E6B3" w14:textId="77777777" w:rsidR="00162CE2" w:rsidRPr="002606DB" w:rsidRDefault="00162CE2" w:rsidP="00056F35">
      <w:pPr>
        <w:adjustRightInd w:val="0"/>
        <w:snapToGrid w:val="0"/>
        <w:rPr>
          <w:snapToGrid w:val="0"/>
          <w:lang w:val="pt-PT"/>
        </w:rPr>
      </w:pPr>
    </w:p>
    <w:p w14:paraId="31D04B6D" w14:textId="77777777" w:rsidR="00162CE2" w:rsidRPr="002606DB" w:rsidRDefault="00162CE2" w:rsidP="00056F35">
      <w:pPr>
        <w:adjustRightInd w:val="0"/>
        <w:snapToGrid w:val="0"/>
        <w:rPr>
          <w:snapToGrid w:val="0"/>
          <w:lang w:val="pt-PT"/>
        </w:rPr>
      </w:pPr>
      <w:r w:rsidRPr="002606DB">
        <w:rPr>
          <w:snapToGrid w:val="0"/>
          <w:lang w:val="pt-PT"/>
        </w:rPr>
        <w:br w:type="page"/>
      </w:r>
    </w:p>
    <w:p w14:paraId="1EEA6BBE" w14:textId="77777777" w:rsidR="00162CE2" w:rsidRPr="002606DB" w:rsidRDefault="00162CE2" w:rsidP="00056F35">
      <w:pPr>
        <w:pStyle w:val="a3"/>
        <w:adjustRightInd w:val="0"/>
        <w:snapToGrid w:val="0"/>
        <w:rPr>
          <w:snapToGrid w:val="0"/>
          <w:lang w:val="pt-PT"/>
        </w:rPr>
      </w:pPr>
    </w:p>
    <w:p w14:paraId="22341504" w14:textId="77777777" w:rsidR="00162CE2" w:rsidRPr="002606DB" w:rsidRDefault="00162CE2" w:rsidP="00056F35">
      <w:pPr>
        <w:pStyle w:val="a3"/>
        <w:adjustRightInd w:val="0"/>
        <w:snapToGrid w:val="0"/>
        <w:rPr>
          <w:snapToGrid w:val="0"/>
          <w:lang w:val="pt-PT"/>
        </w:rPr>
      </w:pPr>
    </w:p>
    <w:p w14:paraId="43170EBF" w14:textId="77777777" w:rsidR="00162CE2" w:rsidRPr="002606DB" w:rsidRDefault="00162CE2" w:rsidP="00056F35">
      <w:pPr>
        <w:pStyle w:val="a3"/>
        <w:adjustRightInd w:val="0"/>
        <w:snapToGrid w:val="0"/>
        <w:rPr>
          <w:snapToGrid w:val="0"/>
          <w:lang w:val="pt-PT"/>
        </w:rPr>
      </w:pPr>
    </w:p>
    <w:p w14:paraId="669D9C7C" w14:textId="77777777" w:rsidR="00162CE2" w:rsidRPr="002606DB" w:rsidRDefault="00162CE2" w:rsidP="00056F35">
      <w:pPr>
        <w:pStyle w:val="a3"/>
        <w:adjustRightInd w:val="0"/>
        <w:snapToGrid w:val="0"/>
        <w:rPr>
          <w:snapToGrid w:val="0"/>
          <w:lang w:val="pt-PT"/>
        </w:rPr>
      </w:pPr>
    </w:p>
    <w:p w14:paraId="47893EDA" w14:textId="77777777" w:rsidR="00162CE2" w:rsidRPr="002606DB" w:rsidRDefault="00162CE2" w:rsidP="00056F35">
      <w:pPr>
        <w:pStyle w:val="a3"/>
        <w:adjustRightInd w:val="0"/>
        <w:snapToGrid w:val="0"/>
        <w:rPr>
          <w:snapToGrid w:val="0"/>
          <w:lang w:val="pt-PT"/>
        </w:rPr>
      </w:pPr>
    </w:p>
    <w:p w14:paraId="773D0A0F" w14:textId="77777777" w:rsidR="00162CE2" w:rsidRPr="002606DB" w:rsidRDefault="00162CE2" w:rsidP="00056F35">
      <w:pPr>
        <w:pStyle w:val="a3"/>
        <w:adjustRightInd w:val="0"/>
        <w:snapToGrid w:val="0"/>
        <w:rPr>
          <w:snapToGrid w:val="0"/>
          <w:lang w:val="pt-PT"/>
        </w:rPr>
      </w:pPr>
    </w:p>
    <w:p w14:paraId="7BB7CB9F" w14:textId="77777777" w:rsidR="00162CE2" w:rsidRPr="002606DB" w:rsidRDefault="00162CE2" w:rsidP="00056F35">
      <w:pPr>
        <w:pStyle w:val="a3"/>
        <w:adjustRightInd w:val="0"/>
        <w:snapToGrid w:val="0"/>
        <w:rPr>
          <w:snapToGrid w:val="0"/>
          <w:lang w:val="pt-PT"/>
        </w:rPr>
      </w:pPr>
    </w:p>
    <w:p w14:paraId="550B7B70" w14:textId="77777777" w:rsidR="00162CE2" w:rsidRPr="002606DB" w:rsidRDefault="00162CE2" w:rsidP="00056F35">
      <w:pPr>
        <w:pStyle w:val="a3"/>
        <w:adjustRightInd w:val="0"/>
        <w:snapToGrid w:val="0"/>
        <w:rPr>
          <w:snapToGrid w:val="0"/>
          <w:lang w:val="pt-PT"/>
        </w:rPr>
      </w:pPr>
    </w:p>
    <w:p w14:paraId="348B4816" w14:textId="77777777" w:rsidR="00162CE2" w:rsidRPr="002606DB" w:rsidRDefault="00162CE2" w:rsidP="00056F35">
      <w:pPr>
        <w:pStyle w:val="a3"/>
        <w:adjustRightInd w:val="0"/>
        <w:snapToGrid w:val="0"/>
        <w:rPr>
          <w:snapToGrid w:val="0"/>
          <w:lang w:val="pt-PT"/>
        </w:rPr>
      </w:pPr>
    </w:p>
    <w:p w14:paraId="5E594A02" w14:textId="77777777" w:rsidR="00162CE2" w:rsidRPr="002606DB" w:rsidRDefault="00162CE2" w:rsidP="00056F35">
      <w:pPr>
        <w:pStyle w:val="a3"/>
        <w:adjustRightInd w:val="0"/>
        <w:snapToGrid w:val="0"/>
        <w:rPr>
          <w:snapToGrid w:val="0"/>
          <w:lang w:val="pt-PT"/>
        </w:rPr>
      </w:pPr>
    </w:p>
    <w:p w14:paraId="22791CA6" w14:textId="77777777" w:rsidR="00162CE2" w:rsidRPr="002606DB" w:rsidRDefault="00162CE2" w:rsidP="00056F35">
      <w:pPr>
        <w:pStyle w:val="a3"/>
        <w:adjustRightInd w:val="0"/>
        <w:snapToGrid w:val="0"/>
        <w:rPr>
          <w:snapToGrid w:val="0"/>
          <w:lang w:val="pt-PT"/>
        </w:rPr>
      </w:pPr>
    </w:p>
    <w:p w14:paraId="1B4CD1B1" w14:textId="77777777" w:rsidR="00162CE2" w:rsidRPr="002606DB" w:rsidRDefault="00162CE2" w:rsidP="00056F35">
      <w:pPr>
        <w:pStyle w:val="a3"/>
        <w:adjustRightInd w:val="0"/>
        <w:snapToGrid w:val="0"/>
        <w:rPr>
          <w:snapToGrid w:val="0"/>
          <w:lang w:val="pt-PT"/>
        </w:rPr>
      </w:pPr>
    </w:p>
    <w:p w14:paraId="6D152E6B" w14:textId="77777777" w:rsidR="00162CE2" w:rsidRPr="002606DB" w:rsidRDefault="00162CE2" w:rsidP="00056F35">
      <w:pPr>
        <w:pStyle w:val="a3"/>
        <w:adjustRightInd w:val="0"/>
        <w:snapToGrid w:val="0"/>
        <w:rPr>
          <w:snapToGrid w:val="0"/>
          <w:lang w:val="pt-PT"/>
        </w:rPr>
      </w:pPr>
    </w:p>
    <w:p w14:paraId="60A2A4C6" w14:textId="77777777" w:rsidR="00162CE2" w:rsidRPr="002606DB" w:rsidRDefault="00162CE2" w:rsidP="00056F35">
      <w:pPr>
        <w:pStyle w:val="a3"/>
        <w:adjustRightInd w:val="0"/>
        <w:snapToGrid w:val="0"/>
        <w:rPr>
          <w:snapToGrid w:val="0"/>
          <w:lang w:val="pt-PT"/>
        </w:rPr>
      </w:pPr>
    </w:p>
    <w:p w14:paraId="5A981AF7" w14:textId="77777777" w:rsidR="00162CE2" w:rsidRPr="002606DB" w:rsidRDefault="00162CE2" w:rsidP="00056F35">
      <w:pPr>
        <w:pStyle w:val="a3"/>
        <w:adjustRightInd w:val="0"/>
        <w:snapToGrid w:val="0"/>
        <w:rPr>
          <w:snapToGrid w:val="0"/>
          <w:lang w:val="pt-PT"/>
        </w:rPr>
      </w:pPr>
    </w:p>
    <w:p w14:paraId="184F6A2C" w14:textId="77777777" w:rsidR="00162CE2" w:rsidRPr="002606DB" w:rsidRDefault="00162CE2" w:rsidP="00056F35">
      <w:pPr>
        <w:pStyle w:val="a3"/>
        <w:adjustRightInd w:val="0"/>
        <w:snapToGrid w:val="0"/>
        <w:rPr>
          <w:snapToGrid w:val="0"/>
          <w:lang w:val="pt-PT"/>
        </w:rPr>
      </w:pPr>
    </w:p>
    <w:p w14:paraId="39A8D7CD" w14:textId="77777777" w:rsidR="00162CE2" w:rsidRPr="002606DB" w:rsidRDefault="00162CE2" w:rsidP="00056F35">
      <w:pPr>
        <w:pStyle w:val="a3"/>
        <w:adjustRightInd w:val="0"/>
        <w:snapToGrid w:val="0"/>
        <w:rPr>
          <w:snapToGrid w:val="0"/>
          <w:lang w:val="pt-PT"/>
        </w:rPr>
      </w:pPr>
    </w:p>
    <w:p w14:paraId="1D6BA7B2" w14:textId="77777777" w:rsidR="00162CE2" w:rsidRPr="002606DB" w:rsidRDefault="00162CE2" w:rsidP="00056F35">
      <w:pPr>
        <w:pStyle w:val="a3"/>
        <w:adjustRightInd w:val="0"/>
        <w:snapToGrid w:val="0"/>
        <w:rPr>
          <w:snapToGrid w:val="0"/>
          <w:lang w:val="pt-PT"/>
        </w:rPr>
      </w:pPr>
    </w:p>
    <w:p w14:paraId="460D116F" w14:textId="77777777" w:rsidR="00162CE2" w:rsidRPr="002606DB" w:rsidRDefault="00162CE2" w:rsidP="00056F35">
      <w:pPr>
        <w:pStyle w:val="a3"/>
        <w:adjustRightInd w:val="0"/>
        <w:snapToGrid w:val="0"/>
        <w:rPr>
          <w:snapToGrid w:val="0"/>
          <w:lang w:val="pt-PT"/>
        </w:rPr>
      </w:pPr>
    </w:p>
    <w:p w14:paraId="7E62AAE2" w14:textId="77777777" w:rsidR="00162CE2" w:rsidRPr="002606DB" w:rsidRDefault="00162CE2" w:rsidP="00056F35">
      <w:pPr>
        <w:pStyle w:val="a3"/>
        <w:adjustRightInd w:val="0"/>
        <w:snapToGrid w:val="0"/>
        <w:rPr>
          <w:snapToGrid w:val="0"/>
          <w:lang w:val="pt-PT"/>
        </w:rPr>
      </w:pPr>
    </w:p>
    <w:p w14:paraId="2A429EF5" w14:textId="77777777" w:rsidR="00162CE2" w:rsidRPr="002606DB" w:rsidRDefault="00162CE2" w:rsidP="00056F35">
      <w:pPr>
        <w:pStyle w:val="a3"/>
        <w:adjustRightInd w:val="0"/>
        <w:snapToGrid w:val="0"/>
        <w:rPr>
          <w:snapToGrid w:val="0"/>
          <w:lang w:val="pt-PT"/>
        </w:rPr>
      </w:pPr>
    </w:p>
    <w:p w14:paraId="58D8E469" w14:textId="77777777" w:rsidR="00162CE2" w:rsidRPr="002606DB" w:rsidRDefault="00162CE2" w:rsidP="00056F35">
      <w:pPr>
        <w:pStyle w:val="a3"/>
        <w:adjustRightInd w:val="0"/>
        <w:snapToGrid w:val="0"/>
        <w:rPr>
          <w:snapToGrid w:val="0"/>
          <w:lang w:val="pt-PT"/>
        </w:rPr>
      </w:pPr>
    </w:p>
    <w:p w14:paraId="13BF6DF5" w14:textId="77777777" w:rsidR="00162CE2" w:rsidRPr="002606DB" w:rsidRDefault="00162CE2" w:rsidP="00A149AF">
      <w:pPr>
        <w:pStyle w:val="TitleA"/>
        <w:outlineLvl w:val="0"/>
        <w:rPr>
          <w:lang w:val="pt-PT"/>
        </w:rPr>
      </w:pPr>
      <w:bookmarkStart w:id="21" w:name="B._FOLHETO_INFORMATIVO"/>
      <w:bookmarkEnd w:id="21"/>
      <w:r w:rsidRPr="007155C0">
        <w:rPr>
          <w:spacing w:val="-3"/>
          <w:w w:val="101"/>
          <w:lang w:val="pt-PT"/>
        </w:rPr>
        <w:t xml:space="preserve">B. </w:t>
      </w:r>
      <w:r w:rsidRPr="002606DB">
        <w:rPr>
          <w:lang w:val="pt-PT"/>
        </w:rPr>
        <w:t>FOLHETO INFORMATIVO</w:t>
      </w:r>
    </w:p>
    <w:p w14:paraId="31EA135E" w14:textId="77777777" w:rsidR="00162CE2" w:rsidRPr="002606DB" w:rsidRDefault="00162CE2" w:rsidP="00032FC9">
      <w:pPr>
        <w:adjustRightInd w:val="0"/>
        <w:snapToGrid w:val="0"/>
        <w:jc w:val="center"/>
        <w:rPr>
          <w:b/>
          <w:bCs/>
          <w:snapToGrid w:val="0"/>
          <w:lang w:val="pt-PT"/>
        </w:rPr>
      </w:pPr>
      <w:r w:rsidRPr="002606DB">
        <w:rPr>
          <w:snapToGrid w:val="0"/>
          <w:lang w:val="pt-PT"/>
        </w:rPr>
        <w:br w:type="page"/>
      </w:r>
      <w:r w:rsidRPr="002606DB">
        <w:rPr>
          <w:b/>
          <w:bCs/>
          <w:snapToGrid w:val="0"/>
          <w:lang w:val="pt-PT"/>
        </w:rPr>
        <w:lastRenderedPageBreak/>
        <w:t>Folheto informativo: Informação para o utilizador</w:t>
      </w:r>
    </w:p>
    <w:p w14:paraId="7BF5BBEF" w14:textId="77777777" w:rsidR="00162CE2" w:rsidRPr="002606DB" w:rsidRDefault="00162CE2" w:rsidP="00056F35">
      <w:pPr>
        <w:pStyle w:val="a3"/>
        <w:adjustRightInd w:val="0"/>
        <w:snapToGrid w:val="0"/>
        <w:rPr>
          <w:b/>
          <w:snapToGrid w:val="0"/>
          <w:lang w:val="pt-PT"/>
        </w:rPr>
      </w:pPr>
    </w:p>
    <w:p w14:paraId="1D37C845" w14:textId="3792A39C" w:rsidR="00162CE2" w:rsidRPr="002606DB" w:rsidRDefault="00FB2483" w:rsidP="00056F35">
      <w:pPr>
        <w:adjustRightInd w:val="0"/>
        <w:snapToGrid w:val="0"/>
        <w:jc w:val="center"/>
        <w:rPr>
          <w:b/>
          <w:snapToGrid w:val="0"/>
          <w:lang w:val="pt-PT"/>
        </w:rPr>
      </w:pPr>
      <w:r>
        <w:rPr>
          <w:b/>
          <w:color w:val="000000"/>
          <w:lang w:val="pt-PT" w:eastAsia="ko-KR"/>
        </w:rPr>
        <w:t>Vegzelma</w:t>
      </w:r>
      <w:r w:rsidR="00162CE2" w:rsidRPr="007155C0">
        <w:rPr>
          <w:b/>
          <w:color w:val="000000"/>
          <w:lang w:val="pt-PT" w:eastAsia="ko-KR"/>
        </w:rPr>
        <w:t xml:space="preserve"> </w:t>
      </w:r>
      <w:r w:rsidR="00162CE2" w:rsidRPr="002606DB">
        <w:rPr>
          <w:b/>
          <w:snapToGrid w:val="0"/>
          <w:lang w:val="pt-PT"/>
        </w:rPr>
        <w:t>25 mg/ml concentrado para solução para perfusão</w:t>
      </w:r>
    </w:p>
    <w:p w14:paraId="000AD011" w14:textId="77777777" w:rsidR="00162CE2" w:rsidRPr="002606DB" w:rsidRDefault="00162CE2" w:rsidP="00056F35">
      <w:pPr>
        <w:pStyle w:val="a3"/>
        <w:adjustRightInd w:val="0"/>
        <w:snapToGrid w:val="0"/>
        <w:jc w:val="center"/>
        <w:rPr>
          <w:snapToGrid w:val="0"/>
          <w:lang w:val="pt-PT"/>
        </w:rPr>
      </w:pPr>
      <w:r w:rsidRPr="002606DB">
        <w:rPr>
          <w:snapToGrid w:val="0"/>
          <w:lang w:val="pt-PT"/>
        </w:rPr>
        <w:t>bevacizumab</w:t>
      </w:r>
    </w:p>
    <w:p w14:paraId="39DCDD37" w14:textId="77777777" w:rsidR="00162CE2" w:rsidRPr="002606DB" w:rsidRDefault="00162CE2" w:rsidP="00056F35">
      <w:pPr>
        <w:pStyle w:val="a3"/>
        <w:adjustRightInd w:val="0"/>
        <w:snapToGrid w:val="0"/>
        <w:rPr>
          <w:snapToGrid w:val="0"/>
          <w:lang w:val="pt-PT"/>
        </w:rPr>
      </w:pPr>
    </w:p>
    <w:p w14:paraId="6EEA6389" w14:textId="2DFB16F0" w:rsidR="00061F26" w:rsidRPr="002606DB" w:rsidRDefault="00136A34" w:rsidP="00730741">
      <w:pPr>
        <w:rPr>
          <w:b/>
          <w:color w:val="000000"/>
          <w:lang w:val="pt-PT" w:eastAsia="ko-KR"/>
        </w:rPr>
      </w:pPr>
      <w:r>
        <w:rPr>
          <w:b/>
          <w:noProof/>
          <w:lang w:val="pt-PT" w:eastAsia="pt-PT"/>
        </w:rPr>
        <w:drawing>
          <wp:inline distT="0" distB="0" distL="0" distR="0" wp14:anchorId="3F8C1D36" wp14:editId="7813E312">
            <wp:extent cx="190500" cy="177800"/>
            <wp:effectExtent l="0" t="0" r="0" b="0"/>
            <wp:docPr id="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00162CE2" w:rsidRPr="002606DB">
        <w:rPr>
          <w:lang w:val="pt-PT"/>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691F53EE" w14:textId="29180692" w:rsidR="00162CE2" w:rsidRPr="002606DB" w:rsidRDefault="00162CE2" w:rsidP="00730741">
      <w:pPr>
        <w:rPr>
          <w:b/>
          <w:snapToGrid w:val="0"/>
          <w:lang w:val="pt-PT"/>
        </w:rPr>
      </w:pPr>
    </w:p>
    <w:p w14:paraId="71E3CDD7" w14:textId="7CD7A3E5" w:rsidR="00162CE2" w:rsidRPr="00730741" w:rsidRDefault="0036440E" w:rsidP="00730741">
      <w:pPr>
        <w:rPr>
          <w:b/>
          <w:bCs/>
          <w:snapToGrid w:val="0"/>
          <w:lang w:val="pt-PT"/>
        </w:rPr>
      </w:pPr>
      <w:r w:rsidRPr="00730741">
        <w:rPr>
          <w:b/>
          <w:bCs/>
          <w:snapToGrid w:val="0"/>
          <w:lang w:val="pt-PT"/>
        </w:rPr>
        <w:t>Leia com atenção todo este folheto an</w:t>
      </w:r>
      <w:r w:rsidR="003A6824" w:rsidRPr="00730741">
        <w:rPr>
          <w:b/>
          <w:bCs/>
          <w:snapToGrid w:val="0"/>
          <w:lang w:val="pt-PT"/>
        </w:rPr>
        <w:t>t</w:t>
      </w:r>
      <w:r w:rsidRPr="00730741">
        <w:rPr>
          <w:b/>
          <w:bCs/>
          <w:snapToGrid w:val="0"/>
          <w:lang w:val="pt-PT"/>
        </w:rPr>
        <w:t>es de começar a utilizar este medicamento, pois contém informação importante para si.</w:t>
      </w:r>
    </w:p>
    <w:p w14:paraId="5CA71F80" w14:textId="77777777" w:rsidR="0036440E" w:rsidRPr="002606DB" w:rsidRDefault="0036440E" w:rsidP="00730741">
      <w:pPr>
        <w:rPr>
          <w:snapToGrid w:val="0"/>
          <w:lang w:val="pt-PT"/>
        </w:rPr>
      </w:pPr>
    </w:p>
    <w:p w14:paraId="4B5C9F06"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Conserve este folheto. Pode ter necessidade de o ler novamente.</w:t>
      </w:r>
    </w:p>
    <w:p w14:paraId="3B4D9501"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Caso ainda tenha dúvidas, fale com o seu médico, farmacêutico ou enfermeiro.</w:t>
      </w:r>
    </w:p>
    <w:p w14:paraId="2A5A0974" w14:textId="0DAE2AA9"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DD6A90">
        <w:rPr>
          <w:rFonts w:ascii="Symbol" w:hAnsi="Symbol" w:cs="Symbol"/>
          <w:snapToGrid w:val="0"/>
          <w:w w:val="101"/>
          <w:lang w:val="pt-PT"/>
        </w:rPr>
        <w:tab/>
      </w:r>
      <w:r w:rsidRPr="002606DB">
        <w:rPr>
          <w:snapToGrid w:val="0"/>
          <w:lang w:val="pt-PT"/>
        </w:rPr>
        <w:t xml:space="preserve">Se tiver quaisquer efeitos </w:t>
      </w:r>
      <w:r w:rsidR="00077DF0" w:rsidRPr="00077DF0">
        <w:rPr>
          <w:snapToGrid w:val="0"/>
          <w:lang w:val="pt-PT"/>
        </w:rPr>
        <w:t>indesejávei</w:t>
      </w:r>
      <w:r w:rsidR="005A2C14">
        <w:rPr>
          <w:snapToGrid w:val="0"/>
          <w:lang w:val="pt-PT"/>
        </w:rPr>
        <w:t>s</w:t>
      </w:r>
      <w:r w:rsidRPr="002606DB">
        <w:rPr>
          <w:snapToGrid w:val="0"/>
          <w:lang w:val="pt-PT"/>
        </w:rPr>
        <w:t xml:space="preserve">, incluindo possíveis efeitos </w:t>
      </w:r>
      <w:r w:rsidR="00077DF0" w:rsidRPr="00077DF0">
        <w:rPr>
          <w:snapToGrid w:val="0"/>
          <w:lang w:val="pt-PT"/>
        </w:rPr>
        <w:t>indesejávei</w:t>
      </w:r>
      <w:r w:rsidR="005A2C14">
        <w:rPr>
          <w:snapToGrid w:val="0"/>
          <w:lang w:val="pt-PT"/>
        </w:rPr>
        <w:t>s</w:t>
      </w:r>
      <w:r w:rsidRPr="002606DB">
        <w:rPr>
          <w:snapToGrid w:val="0"/>
          <w:lang w:val="pt-PT"/>
        </w:rPr>
        <w:t xml:space="preserve"> não indicados neste folheto, informe o seu médico, farmacêutico ou enfermeiro. </w:t>
      </w:r>
      <w:r w:rsidRPr="002606DB">
        <w:rPr>
          <w:lang w:val="pt-PT"/>
        </w:rPr>
        <w:t>Ver secção 4.</w:t>
      </w:r>
    </w:p>
    <w:p w14:paraId="5B29628F" w14:textId="77777777" w:rsidR="00162CE2" w:rsidRPr="002606DB" w:rsidRDefault="00162CE2" w:rsidP="00056F35">
      <w:pPr>
        <w:pStyle w:val="a3"/>
        <w:adjustRightInd w:val="0"/>
        <w:snapToGrid w:val="0"/>
        <w:rPr>
          <w:snapToGrid w:val="0"/>
          <w:lang w:val="pt-PT"/>
        </w:rPr>
      </w:pPr>
    </w:p>
    <w:p w14:paraId="5DB6E35C" w14:textId="77777777" w:rsidR="00162CE2" w:rsidRPr="00730741" w:rsidRDefault="00162CE2" w:rsidP="00730741">
      <w:pPr>
        <w:rPr>
          <w:b/>
          <w:bCs/>
          <w:snapToGrid w:val="0"/>
          <w:lang w:val="pt-PT"/>
        </w:rPr>
      </w:pPr>
      <w:r w:rsidRPr="00730741">
        <w:rPr>
          <w:b/>
          <w:bCs/>
          <w:snapToGrid w:val="0"/>
          <w:lang w:val="pt-PT"/>
        </w:rPr>
        <w:t>O que contém este folheto:</w:t>
      </w:r>
    </w:p>
    <w:p w14:paraId="4C3D3157" w14:textId="77777777" w:rsidR="00162CE2" w:rsidRPr="002606DB" w:rsidRDefault="00162CE2" w:rsidP="00056F35">
      <w:pPr>
        <w:pStyle w:val="a3"/>
        <w:adjustRightInd w:val="0"/>
        <w:snapToGrid w:val="0"/>
        <w:rPr>
          <w:b/>
          <w:snapToGrid w:val="0"/>
          <w:lang w:val="pt-PT"/>
        </w:rPr>
      </w:pPr>
    </w:p>
    <w:p w14:paraId="629AA62D" w14:textId="0F9B5651" w:rsidR="00162CE2" w:rsidRPr="002606DB" w:rsidRDefault="00162CE2" w:rsidP="00552771">
      <w:pPr>
        <w:pStyle w:val="a4"/>
        <w:adjustRightInd w:val="0"/>
        <w:snapToGrid w:val="0"/>
        <w:ind w:left="0" w:firstLine="0"/>
        <w:rPr>
          <w:snapToGrid w:val="0"/>
          <w:lang w:val="pt-PT"/>
        </w:rPr>
      </w:pPr>
      <w:r w:rsidRPr="007155C0">
        <w:rPr>
          <w:snapToGrid w:val="0"/>
          <w:w w:val="101"/>
          <w:lang w:val="fr-CA"/>
        </w:rPr>
        <w:t>1.</w:t>
      </w:r>
      <w:r w:rsidRPr="007155C0">
        <w:rPr>
          <w:snapToGrid w:val="0"/>
          <w:w w:val="101"/>
          <w:lang w:val="fr-CA"/>
        </w:rPr>
        <w:tab/>
      </w:r>
      <w:r w:rsidRPr="002606DB">
        <w:rPr>
          <w:snapToGrid w:val="0"/>
          <w:lang w:val="pt-PT"/>
        </w:rPr>
        <w:t xml:space="preserve">O que é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e para que é utilizado</w:t>
      </w:r>
    </w:p>
    <w:p w14:paraId="61E608CD" w14:textId="554B0F35" w:rsidR="00162CE2" w:rsidRPr="002606DB" w:rsidRDefault="00162CE2" w:rsidP="00552771">
      <w:pPr>
        <w:pStyle w:val="a4"/>
        <w:adjustRightInd w:val="0"/>
        <w:snapToGrid w:val="0"/>
        <w:ind w:left="0" w:firstLine="0"/>
        <w:rPr>
          <w:snapToGrid w:val="0"/>
          <w:lang w:val="pt-PT"/>
        </w:rPr>
      </w:pPr>
      <w:r w:rsidRPr="007155C0">
        <w:rPr>
          <w:snapToGrid w:val="0"/>
          <w:w w:val="101"/>
          <w:lang w:val="fr-CA"/>
        </w:rPr>
        <w:t>2.</w:t>
      </w:r>
      <w:r w:rsidRPr="007155C0">
        <w:rPr>
          <w:snapToGrid w:val="0"/>
          <w:w w:val="101"/>
          <w:lang w:val="fr-CA"/>
        </w:rPr>
        <w:tab/>
      </w:r>
      <w:r w:rsidRPr="002606DB">
        <w:rPr>
          <w:snapToGrid w:val="0"/>
          <w:lang w:val="pt-PT"/>
        </w:rPr>
        <w:t xml:space="preserve">O que precisa de saber antes de utilizar </w:t>
      </w:r>
      <w:r w:rsidR="00FB2483">
        <w:rPr>
          <w:noProof/>
          <w:color w:val="000000"/>
          <w:lang w:val="fr-CA" w:eastAsia="ko-KR"/>
        </w:rPr>
        <w:t>Vegzelma</w:t>
      </w:r>
    </w:p>
    <w:p w14:paraId="50EC955C" w14:textId="3B933D6B" w:rsidR="00162CE2" w:rsidRPr="002606DB" w:rsidRDefault="00162CE2" w:rsidP="00552771">
      <w:pPr>
        <w:pStyle w:val="a4"/>
        <w:adjustRightInd w:val="0"/>
        <w:snapToGrid w:val="0"/>
        <w:ind w:left="0" w:firstLine="0"/>
        <w:rPr>
          <w:snapToGrid w:val="0"/>
          <w:lang w:val="pt-PT"/>
        </w:rPr>
      </w:pPr>
      <w:r w:rsidRPr="007155C0">
        <w:rPr>
          <w:snapToGrid w:val="0"/>
          <w:w w:val="101"/>
          <w:lang w:val="pt-PT"/>
        </w:rPr>
        <w:t>3.</w:t>
      </w:r>
      <w:r w:rsidRPr="007155C0">
        <w:rPr>
          <w:snapToGrid w:val="0"/>
          <w:w w:val="101"/>
          <w:lang w:val="pt-PT"/>
        </w:rPr>
        <w:tab/>
      </w:r>
      <w:r w:rsidRPr="002606DB">
        <w:rPr>
          <w:snapToGrid w:val="0"/>
          <w:lang w:val="pt-PT"/>
        </w:rPr>
        <w:t xml:space="preserve">Como utilizar </w:t>
      </w:r>
      <w:r w:rsidR="00FB2483">
        <w:rPr>
          <w:noProof/>
          <w:color w:val="000000"/>
          <w:lang w:val="pt-PT" w:eastAsia="ko-KR"/>
        </w:rPr>
        <w:t>Vegzelma</w:t>
      </w:r>
    </w:p>
    <w:p w14:paraId="1F2AD20D" w14:textId="6DA749C4" w:rsidR="00162CE2" w:rsidRPr="002606DB" w:rsidRDefault="00162CE2" w:rsidP="00552771">
      <w:pPr>
        <w:pStyle w:val="a4"/>
        <w:adjustRightInd w:val="0"/>
        <w:snapToGrid w:val="0"/>
        <w:ind w:left="0" w:firstLine="0"/>
        <w:rPr>
          <w:snapToGrid w:val="0"/>
          <w:lang w:val="pt-PT"/>
        </w:rPr>
      </w:pPr>
      <w:r w:rsidRPr="007155C0">
        <w:rPr>
          <w:snapToGrid w:val="0"/>
          <w:w w:val="101"/>
          <w:lang w:val="pt-PT"/>
        </w:rPr>
        <w:t>4.</w:t>
      </w:r>
      <w:r w:rsidRPr="007155C0">
        <w:rPr>
          <w:snapToGrid w:val="0"/>
          <w:w w:val="101"/>
          <w:lang w:val="pt-PT"/>
        </w:rPr>
        <w:tab/>
      </w:r>
      <w:r w:rsidRPr="002606DB">
        <w:rPr>
          <w:snapToGrid w:val="0"/>
          <w:lang w:val="pt-PT"/>
        </w:rPr>
        <w:t xml:space="preserve">Efeitos </w:t>
      </w:r>
      <w:r w:rsidR="00F11F6D" w:rsidRPr="00F11F6D">
        <w:rPr>
          <w:snapToGrid w:val="0"/>
          <w:lang w:val="pt-PT"/>
        </w:rPr>
        <w:t>indesejáveis</w:t>
      </w:r>
      <w:r w:rsidRPr="002606DB">
        <w:rPr>
          <w:snapToGrid w:val="0"/>
          <w:lang w:val="pt-PT"/>
        </w:rPr>
        <w:t xml:space="preserve"> possíveis</w:t>
      </w:r>
    </w:p>
    <w:p w14:paraId="48C8F837" w14:textId="1AA8118F" w:rsidR="00162CE2" w:rsidRPr="002606DB" w:rsidRDefault="00162CE2" w:rsidP="00552771">
      <w:pPr>
        <w:pStyle w:val="a4"/>
        <w:adjustRightInd w:val="0"/>
        <w:snapToGrid w:val="0"/>
        <w:ind w:left="0" w:firstLine="0"/>
        <w:rPr>
          <w:snapToGrid w:val="0"/>
          <w:lang w:val="pt-PT"/>
        </w:rPr>
      </w:pPr>
      <w:r w:rsidRPr="007155C0">
        <w:rPr>
          <w:snapToGrid w:val="0"/>
          <w:w w:val="101"/>
          <w:lang w:val="pt-PT"/>
        </w:rPr>
        <w:t>5.</w:t>
      </w:r>
      <w:r w:rsidRPr="007155C0">
        <w:rPr>
          <w:snapToGrid w:val="0"/>
          <w:w w:val="101"/>
          <w:lang w:val="pt-PT"/>
        </w:rPr>
        <w:tab/>
      </w:r>
      <w:r w:rsidRPr="002606DB">
        <w:rPr>
          <w:snapToGrid w:val="0"/>
          <w:lang w:val="pt-PT"/>
        </w:rPr>
        <w:t xml:space="preserve">Como conservar </w:t>
      </w:r>
      <w:r w:rsidR="00FB2483">
        <w:rPr>
          <w:noProof/>
          <w:color w:val="000000"/>
          <w:lang w:val="pt-PT" w:eastAsia="ko-KR"/>
        </w:rPr>
        <w:t>Vegzelma</w:t>
      </w:r>
    </w:p>
    <w:p w14:paraId="60E7385C" w14:textId="77777777" w:rsidR="00162CE2" w:rsidRPr="002606DB" w:rsidRDefault="00162CE2" w:rsidP="00552771">
      <w:pPr>
        <w:pStyle w:val="a4"/>
        <w:adjustRightInd w:val="0"/>
        <w:snapToGrid w:val="0"/>
        <w:ind w:left="0" w:firstLine="0"/>
        <w:rPr>
          <w:snapToGrid w:val="0"/>
          <w:lang w:val="pt-PT"/>
        </w:rPr>
      </w:pPr>
      <w:r w:rsidRPr="00A45F3F">
        <w:rPr>
          <w:snapToGrid w:val="0"/>
          <w:w w:val="101"/>
          <w:lang w:val="pt-PT"/>
        </w:rPr>
        <w:t>6.</w:t>
      </w:r>
      <w:r w:rsidRPr="00A45F3F">
        <w:rPr>
          <w:snapToGrid w:val="0"/>
          <w:w w:val="101"/>
          <w:lang w:val="pt-PT"/>
        </w:rPr>
        <w:tab/>
      </w:r>
      <w:r w:rsidRPr="002606DB">
        <w:rPr>
          <w:snapToGrid w:val="0"/>
          <w:lang w:val="pt-PT"/>
        </w:rPr>
        <w:t>Conteúdo da embalagem e outras informações</w:t>
      </w:r>
    </w:p>
    <w:p w14:paraId="216A0E38" w14:textId="77777777" w:rsidR="00162CE2" w:rsidRPr="002606DB" w:rsidRDefault="00162CE2" w:rsidP="00056F35">
      <w:pPr>
        <w:pStyle w:val="a3"/>
        <w:adjustRightInd w:val="0"/>
        <w:snapToGrid w:val="0"/>
        <w:rPr>
          <w:snapToGrid w:val="0"/>
          <w:lang w:val="pt-PT"/>
        </w:rPr>
      </w:pPr>
    </w:p>
    <w:p w14:paraId="7CB04A4A" w14:textId="77777777" w:rsidR="00162CE2" w:rsidRPr="002606DB" w:rsidRDefault="00162CE2" w:rsidP="00056F35">
      <w:pPr>
        <w:pStyle w:val="a3"/>
        <w:adjustRightInd w:val="0"/>
        <w:snapToGrid w:val="0"/>
        <w:rPr>
          <w:snapToGrid w:val="0"/>
          <w:lang w:val="pt-PT"/>
        </w:rPr>
      </w:pPr>
    </w:p>
    <w:p w14:paraId="121EF1D2" w14:textId="3CB64CB4" w:rsidR="00162CE2" w:rsidRPr="00730741" w:rsidRDefault="00162CE2" w:rsidP="00730741">
      <w:pPr>
        <w:rPr>
          <w:b/>
          <w:bCs/>
          <w:snapToGrid w:val="0"/>
          <w:lang w:val="pt-PT"/>
        </w:rPr>
      </w:pPr>
      <w:r w:rsidRPr="00730741">
        <w:rPr>
          <w:b/>
          <w:bCs/>
          <w:snapToGrid w:val="0"/>
          <w:w w:val="101"/>
          <w:lang w:val="fr-CA"/>
        </w:rPr>
        <w:t>1.</w:t>
      </w:r>
      <w:r w:rsidRPr="00730741">
        <w:rPr>
          <w:b/>
          <w:bCs/>
          <w:snapToGrid w:val="0"/>
          <w:w w:val="101"/>
          <w:lang w:val="fr-CA"/>
        </w:rPr>
        <w:tab/>
      </w:r>
      <w:r w:rsidRPr="00730741">
        <w:rPr>
          <w:b/>
          <w:bCs/>
          <w:snapToGrid w:val="0"/>
          <w:lang w:val="pt-PT"/>
        </w:rPr>
        <w:t xml:space="preserve">O que é </w:t>
      </w:r>
      <w:r w:rsidR="00FB2483" w:rsidRPr="00730741">
        <w:rPr>
          <w:b/>
          <w:bCs/>
          <w:noProof/>
          <w:color w:val="000000"/>
          <w:lang w:val="fr-CA" w:eastAsia="ko-KR"/>
        </w:rPr>
        <w:t>Vegzelma</w:t>
      </w:r>
      <w:r w:rsidRPr="00730741">
        <w:rPr>
          <w:b/>
          <w:bCs/>
          <w:noProof/>
          <w:color w:val="000000"/>
          <w:lang w:val="fr-CA" w:eastAsia="ko-KR"/>
        </w:rPr>
        <w:t xml:space="preserve"> </w:t>
      </w:r>
      <w:r w:rsidRPr="00730741">
        <w:rPr>
          <w:b/>
          <w:bCs/>
          <w:snapToGrid w:val="0"/>
          <w:lang w:val="pt-PT"/>
        </w:rPr>
        <w:t>e para que é utilizado</w:t>
      </w:r>
    </w:p>
    <w:p w14:paraId="482FBF5C" w14:textId="77777777" w:rsidR="00162CE2" w:rsidRPr="002606DB" w:rsidRDefault="00162CE2" w:rsidP="00056F35">
      <w:pPr>
        <w:pStyle w:val="a3"/>
        <w:adjustRightInd w:val="0"/>
        <w:snapToGrid w:val="0"/>
        <w:rPr>
          <w:b/>
          <w:snapToGrid w:val="0"/>
          <w:lang w:val="pt-PT"/>
        </w:rPr>
      </w:pPr>
    </w:p>
    <w:p w14:paraId="6ACCFD7E" w14:textId="38A9603F"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contém a substância ativa bevacizumab, que é um anticorpo monoclonal humanizado (um tipo de proteína que é normalmente produzido pelo sistema imunitário para ajudar a defender o organismo de infeção e cancro). O bevacizumab liga-se seletivamente a uma proteína designada por fator de crescimento do endotélio vascular humano (VEGF), que se encontra no revestimento dos vasos sanguíneos e linfáticos do organismo. A proteína VEGF causa o crescimento dos vasos sanguíneos nos tumores</w:t>
      </w:r>
      <w:r w:rsidR="003131F6" w:rsidRPr="007155C0">
        <w:rPr>
          <w:lang w:val="fr-CA"/>
        </w:rPr>
        <w:t>;</w:t>
      </w:r>
      <w:r w:rsidR="00162CE2" w:rsidRPr="002606DB">
        <w:rPr>
          <w:snapToGrid w:val="0"/>
          <w:lang w:val="pt-PT"/>
        </w:rPr>
        <w:t xml:space="preserve"> estes vasos sanguíneos abastecem o tumor de nutrientes e oxigénio. Quando o bevacizumab se liga ao VEGF, impede o crescimento do tumor através do bloqueio do crescimento dos vasos sanguíneos que fornecem nutrientes e oxigénio ao tumor.</w:t>
      </w:r>
    </w:p>
    <w:p w14:paraId="5525B924" w14:textId="77777777" w:rsidR="00162CE2" w:rsidRPr="002606DB" w:rsidRDefault="00162CE2" w:rsidP="00056F35">
      <w:pPr>
        <w:pStyle w:val="a3"/>
        <w:adjustRightInd w:val="0"/>
        <w:snapToGrid w:val="0"/>
        <w:rPr>
          <w:snapToGrid w:val="0"/>
          <w:lang w:val="pt-PT"/>
        </w:rPr>
      </w:pPr>
    </w:p>
    <w:p w14:paraId="233C8959" w14:textId="66FDB710" w:rsidR="00162CE2" w:rsidRPr="002606DB" w:rsidRDefault="00FB2483" w:rsidP="00056F35">
      <w:pPr>
        <w:pStyle w:val="a3"/>
        <w:adjustRightInd w:val="0"/>
        <w:snapToGrid w:val="0"/>
        <w:rPr>
          <w:snapToGrid w:val="0"/>
          <w:lang w:val="pt-PT"/>
        </w:rPr>
      </w:pPr>
      <w:r>
        <w:rPr>
          <w:noProof/>
          <w:color w:val="000000"/>
          <w:lang w:val="en-GB" w:eastAsia="ko-KR"/>
        </w:rPr>
        <w:t>Vegzelma</w:t>
      </w:r>
      <w:r w:rsidR="00162CE2" w:rsidRPr="002606DB">
        <w:rPr>
          <w:noProof/>
          <w:color w:val="000000"/>
          <w:lang w:val="en-GB" w:eastAsia="ko-KR"/>
        </w:rPr>
        <w:t xml:space="preserve"> </w:t>
      </w:r>
      <w:r w:rsidR="00162CE2" w:rsidRPr="002606DB">
        <w:rPr>
          <w:snapToGrid w:val="0"/>
          <w:lang w:val="pt-PT"/>
        </w:rPr>
        <w:t xml:space="preserve">é um medicamento utilizado para o tratamento de doentes adultos com cancro avançado do intestino grosso, isto é, do cólon ou reto. </w:t>
      </w: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será administrado juntamente com quimioterapia que contém medicamentos com fluoropirimidinas.</w:t>
      </w:r>
    </w:p>
    <w:p w14:paraId="646DEB0E" w14:textId="77777777" w:rsidR="00162CE2" w:rsidRPr="002606DB" w:rsidRDefault="00162CE2" w:rsidP="00056F35">
      <w:pPr>
        <w:pStyle w:val="a3"/>
        <w:adjustRightInd w:val="0"/>
        <w:snapToGrid w:val="0"/>
        <w:rPr>
          <w:snapToGrid w:val="0"/>
          <w:lang w:val="pt-PT"/>
        </w:rPr>
      </w:pPr>
    </w:p>
    <w:p w14:paraId="67DF5C1D" w14:textId="2E64D733"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também é utilizado para o tratamento de doentes adultos com cancro da mama metastizado. Quando utilizado em doentes com cancro da mama, será administrado com um medicamento para quimioterapia denominado paclitaxel ou capecitabina.</w:t>
      </w:r>
    </w:p>
    <w:p w14:paraId="7EDDB12D" w14:textId="77777777" w:rsidR="00162CE2" w:rsidRPr="002606DB" w:rsidRDefault="00162CE2" w:rsidP="00056F35">
      <w:pPr>
        <w:pStyle w:val="a3"/>
        <w:adjustRightInd w:val="0"/>
        <w:snapToGrid w:val="0"/>
        <w:rPr>
          <w:snapToGrid w:val="0"/>
          <w:lang w:val="pt-PT"/>
        </w:rPr>
      </w:pPr>
    </w:p>
    <w:p w14:paraId="19E31A17" w14:textId="451CFD56"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 xml:space="preserve">também é utilizado para o tratamento de doentes adultos com cancro do pulmão de células não pequenas avançado. </w:t>
      </w: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será administrado em associação com um regime de quimioterapia contendo platina.</w:t>
      </w:r>
    </w:p>
    <w:p w14:paraId="386C98E2" w14:textId="77777777" w:rsidR="00162CE2" w:rsidRPr="002606DB" w:rsidRDefault="00162CE2" w:rsidP="00056F35">
      <w:pPr>
        <w:pStyle w:val="a3"/>
        <w:adjustRightInd w:val="0"/>
        <w:snapToGrid w:val="0"/>
        <w:rPr>
          <w:snapToGrid w:val="0"/>
          <w:lang w:val="pt-PT"/>
        </w:rPr>
      </w:pPr>
    </w:p>
    <w:p w14:paraId="3931D63E" w14:textId="3570295E"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 xml:space="preserve">também é utilizado para o tratamento de doentes adultos com cancro do pulmão de células não pequenas avançado quando as células cancerígenas têm mutações específicas de uma proteína chamada recetor do fator de crescimento epidérmico (EGFR). </w:t>
      </w: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será administrado em associação com erlotinib.</w:t>
      </w:r>
    </w:p>
    <w:p w14:paraId="47F4CE95" w14:textId="77777777" w:rsidR="00162CE2" w:rsidRPr="002606DB" w:rsidRDefault="00162CE2" w:rsidP="00056F35">
      <w:pPr>
        <w:pStyle w:val="a3"/>
        <w:adjustRightInd w:val="0"/>
        <w:snapToGrid w:val="0"/>
        <w:rPr>
          <w:snapToGrid w:val="0"/>
          <w:lang w:val="pt-PT"/>
        </w:rPr>
      </w:pPr>
    </w:p>
    <w:p w14:paraId="15A5FD9A" w14:textId="2AEFCCBF" w:rsidR="00162CE2" w:rsidRPr="002606DB" w:rsidRDefault="00FB2483" w:rsidP="00AF236D">
      <w:pPr>
        <w:pStyle w:val="a3"/>
        <w:keepNext/>
        <w:keepLines/>
        <w:widowControl/>
        <w:adjustRightInd w:val="0"/>
        <w:snapToGrid w:val="0"/>
        <w:rPr>
          <w:snapToGrid w:val="0"/>
          <w:lang w:val="pt-PT"/>
        </w:rPr>
      </w:pPr>
      <w:r>
        <w:rPr>
          <w:noProof/>
          <w:color w:val="000000"/>
          <w:lang w:val="pt-PT" w:eastAsia="ko-KR"/>
        </w:rPr>
        <w:lastRenderedPageBreak/>
        <w:t>Vegzelma</w:t>
      </w:r>
      <w:r w:rsidR="00162CE2" w:rsidRPr="007155C0">
        <w:rPr>
          <w:noProof/>
          <w:color w:val="000000"/>
          <w:lang w:val="pt-PT" w:eastAsia="ko-KR"/>
        </w:rPr>
        <w:t xml:space="preserve"> </w:t>
      </w:r>
      <w:r w:rsidR="00162CE2" w:rsidRPr="002606DB">
        <w:rPr>
          <w:snapToGrid w:val="0"/>
          <w:lang w:val="pt-PT"/>
        </w:rPr>
        <w:t>também é utilizado para o tratamento de doentes adultos com cancro renal avançado. Quando utilizado em doentes com cancro renal, será administrado com outro tipo de medicamento denominado interferão.</w:t>
      </w:r>
    </w:p>
    <w:p w14:paraId="1BFEBDC3" w14:textId="77777777" w:rsidR="00162CE2" w:rsidRPr="002606DB" w:rsidRDefault="00162CE2" w:rsidP="00056F35">
      <w:pPr>
        <w:pStyle w:val="a3"/>
        <w:adjustRightInd w:val="0"/>
        <w:snapToGrid w:val="0"/>
        <w:rPr>
          <w:snapToGrid w:val="0"/>
          <w:lang w:val="pt-PT"/>
        </w:rPr>
      </w:pPr>
    </w:p>
    <w:p w14:paraId="16C299E4" w14:textId="4C8E8DCF" w:rsidR="00162CE2" w:rsidRPr="002606DB" w:rsidRDefault="00FB2483" w:rsidP="0060524C">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é também usado no tratamento de doentes adultos com cancro epitelial do ovário, da trompa de Falópio ou cancro peritoneal primário, avançados. Quando usado em doentes com cancro epitelial do ovário, da trompa de Falópio ou peritoneal primário, será administrado em associação com carboplatina e paclitaxel.</w:t>
      </w:r>
    </w:p>
    <w:p w14:paraId="42966E35" w14:textId="77777777" w:rsidR="00162CE2" w:rsidRPr="002606DB" w:rsidRDefault="00162CE2" w:rsidP="00056F35">
      <w:pPr>
        <w:pStyle w:val="a3"/>
        <w:adjustRightInd w:val="0"/>
        <w:snapToGrid w:val="0"/>
        <w:rPr>
          <w:snapToGrid w:val="0"/>
          <w:lang w:val="pt-PT"/>
        </w:rPr>
      </w:pPr>
    </w:p>
    <w:p w14:paraId="200ED1CE" w14:textId="13E3108C" w:rsidR="00162CE2" w:rsidRPr="002606DB" w:rsidRDefault="00162CE2" w:rsidP="00AF236D">
      <w:pPr>
        <w:pStyle w:val="a3"/>
        <w:adjustRightInd w:val="0"/>
        <w:snapToGrid w:val="0"/>
        <w:rPr>
          <w:snapToGrid w:val="0"/>
          <w:lang w:val="pt-PT"/>
        </w:rPr>
      </w:pPr>
      <w:r w:rsidRPr="002606DB">
        <w:rPr>
          <w:snapToGrid w:val="0"/>
          <w:lang w:val="pt-PT"/>
        </w:rPr>
        <w:t>Quando usado nos doentes adultos com cancro epitelial do ovário, da trompa de Falópio ou cancro peritoneal primário, avançados, em que a doença reapareceu pelo menos 6 meses após a última vez que foram tratados com um regime de quimioterapia contendo um agente de platin</w:t>
      </w:r>
      <w:r w:rsidR="00871E5C" w:rsidRPr="007155C0">
        <w:rPr>
          <w:lang w:val="pt-PT"/>
        </w:rPr>
        <w:t>a</w:t>
      </w:r>
      <w:r w:rsidRPr="002606DB">
        <w:rPr>
          <w:snapToGrid w:val="0"/>
          <w:lang w:val="pt-PT"/>
        </w:rPr>
        <w:t xml:space="preserve">, o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será administrado em associação com carboplatina e gemcitabina ou com carboplatina e paclitaxel.</w:t>
      </w:r>
    </w:p>
    <w:p w14:paraId="73938A8C" w14:textId="77777777" w:rsidR="00162CE2" w:rsidRPr="002606DB" w:rsidRDefault="00162CE2" w:rsidP="00056F35">
      <w:pPr>
        <w:pStyle w:val="a3"/>
        <w:adjustRightInd w:val="0"/>
        <w:snapToGrid w:val="0"/>
        <w:rPr>
          <w:snapToGrid w:val="0"/>
          <w:lang w:val="pt-PT"/>
        </w:rPr>
      </w:pPr>
    </w:p>
    <w:p w14:paraId="7E371E55" w14:textId="08FE963E" w:rsidR="00162CE2" w:rsidRPr="002606DB" w:rsidRDefault="00162CE2" w:rsidP="00056F35">
      <w:pPr>
        <w:pStyle w:val="a3"/>
        <w:adjustRightInd w:val="0"/>
        <w:snapToGrid w:val="0"/>
        <w:rPr>
          <w:snapToGrid w:val="0"/>
          <w:lang w:val="pt-PT"/>
        </w:rPr>
      </w:pPr>
      <w:r w:rsidRPr="002606DB">
        <w:rPr>
          <w:snapToGrid w:val="0"/>
          <w:lang w:val="pt-PT"/>
        </w:rPr>
        <w:t>Quando usado nos doentes adultos com cancro epitelial do ovário, da trompa de Falópio ou cancro peritoneal primário, avançados, em que a doença reapareceu até 6 meses após a última vez que foram tratados com um regime de quimioterapia contendo um agente de platin</w:t>
      </w:r>
      <w:r w:rsidR="00871E5C" w:rsidRPr="007155C0">
        <w:rPr>
          <w:lang w:val="pt-PT"/>
        </w:rPr>
        <w:t>a</w:t>
      </w:r>
      <w:r w:rsidRPr="002606DB">
        <w:rPr>
          <w:snapToGrid w:val="0"/>
          <w:lang w:val="pt-PT"/>
        </w:rPr>
        <w:t xml:space="preserve">, o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será administrado em associação com paclitaxel, ou topotecano, ou doxorrubicina lipossómica peguilada.</w:t>
      </w:r>
    </w:p>
    <w:p w14:paraId="23939E4A" w14:textId="77777777" w:rsidR="00162CE2" w:rsidRPr="002606DB" w:rsidRDefault="00162CE2" w:rsidP="00056F35">
      <w:pPr>
        <w:pStyle w:val="a3"/>
        <w:adjustRightInd w:val="0"/>
        <w:snapToGrid w:val="0"/>
        <w:rPr>
          <w:snapToGrid w:val="0"/>
          <w:lang w:val="pt-PT"/>
        </w:rPr>
      </w:pPr>
    </w:p>
    <w:p w14:paraId="712C36A6" w14:textId="22D32F85"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 xml:space="preserve">também é utilizado no tratamento de doentes adultos com cancro do colo do útero com doença persistente, recorrente ou metastizada. </w:t>
      </w: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será administrado em associação com paclitaxel e cisplatina, ou, alternativamente, paclitaxel e topotecano em doentes que não podem receber tratamento com platina.</w:t>
      </w:r>
    </w:p>
    <w:p w14:paraId="4839803B" w14:textId="77777777" w:rsidR="00162CE2" w:rsidRPr="002606DB" w:rsidRDefault="00162CE2" w:rsidP="00056F35">
      <w:pPr>
        <w:pStyle w:val="a3"/>
        <w:adjustRightInd w:val="0"/>
        <w:snapToGrid w:val="0"/>
        <w:rPr>
          <w:snapToGrid w:val="0"/>
          <w:lang w:val="pt-PT"/>
        </w:rPr>
      </w:pPr>
    </w:p>
    <w:p w14:paraId="60F93012" w14:textId="77777777" w:rsidR="00162CE2" w:rsidRPr="002606DB" w:rsidRDefault="00162CE2" w:rsidP="00056F35">
      <w:pPr>
        <w:pStyle w:val="a3"/>
        <w:adjustRightInd w:val="0"/>
        <w:snapToGrid w:val="0"/>
        <w:rPr>
          <w:snapToGrid w:val="0"/>
          <w:lang w:val="pt-PT"/>
        </w:rPr>
      </w:pPr>
    </w:p>
    <w:p w14:paraId="52B61E2C" w14:textId="1AD2D3F7" w:rsidR="00162CE2" w:rsidRPr="00730741" w:rsidRDefault="00162CE2" w:rsidP="00730741">
      <w:pPr>
        <w:rPr>
          <w:b/>
          <w:bCs/>
          <w:noProof/>
          <w:color w:val="000000"/>
          <w:lang w:val="fr-CA" w:eastAsia="ko-KR"/>
        </w:rPr>
      </w:pPr>
      <w:r w:rsidRPr="00730741">
        <w:rPr>
          <w:b/>
          <w:bCs/>
          <w:snapToGrid w:val="0"/>
          <w:w w:val="101"/>
          <w:lang w:val="fr-CA"/>
        </w:rPr>
        <w:t>2.</w:t>
      </w:r>
      <w:r w:rsidRPr="00730741">
        <w:rPr>
          <w:b/>
          <w:bCs/>
          <w:snapToGrid w:val="0"/>
          <w:w w:val="101"/>
          <w:lang w:val="fr-CA"/>
        </w:rPr>
        <w:tab/>
      </w:r>
      <w:r w:rsidRPr="00730741">
        <w:rPr>
          <w:b/>
          <w:bCs/>
          <w:snapToGrid w:val="0"/>
          <w:lang w:val="pt-PT"/>
        </w:rPr>
        <w:t xml:space="preserve">O que precisa de saber antes de utilizar </w:t>
      </w:r>
      <w:r w:rsidR="00FB2483" w:rsidRPr="00730741">
        <w:rPr>
          <w:b/>
          <w:bCs/>
          <w:noProof/>
          <w:color w:val="000000"/>
          <w:lang w:val="fr-CA" w:eastAsia="ko-KR"/>
        </w:rPr>
        <w:t>Vegzelma</w:t>
      </w:r>
    </w:p>
    <w:p w14:paraId="2FB04C96" w14:textId="77777777" w:rsidR="00162CE2" w:rsidRPr="002606DB" w:rsidRDefault="00162CE2" w:rsidP="00730741">
      <w:pPr>
        <w:rPr>
          <w:b/>
          <w:bCs/>
          <w:snapToGrid w:val="0"/>
          <w:lang w:val="pt-PT"/>
        </w:rPr>
      </w:pPr>
    </w:p>
    <w:p w14:paraId="1976DEBA" w14:textId="251A6B9F" w:rsidR="00162CE2" w:rsidRPr="00730741" w:rsidRDefault="00162CE2" w:rsidP="00730741">
      <w:pPr>
        <w:rPr>
          <w:b/>
          <w:bCs/>
          <w:snapToGrid w:val="0"/>
          <w:lang w:val="pt-PT"/>
        </w:rPr>
      </w:pPr>
      <w:r w:rsidRPr="00730741">
        <w:rPr>
          <w:b/>
          <w:bCs/>
          <w:snapToGrid w:val="0"/>
          <w:lang w:val="pt-PT"/>
        </w:rPr>
        <w:t xml:space="preserve">Não utilize </w:t>
      </w:r>
      <w:r w:rsidR="00FB2483" w:rsidRPr="00730741">
        <w:rPr>
          <w:b/>
          <w:bCs/>
          <w:noProof/>
          <w:color w:val="000000"/>
          <w:lang w:val="pt-PT" w:eastAsia="ko-KR"/>
        </w:rPr>
        <w:t>Vegzelma</w:t>
      </w:r>
      <w:r w:rsidRPr="00730741">
        <w:rPr>
          <w:b/>
          <w:bCs/>
          <w:noProof/>
          <w:color w:val="000000"/>
          <w:lang w:val="pt-PT" w:eastAsia="ko-KR"/>
        </w:rPr>
        <w:t xml:space="preserve"> </w:t>
      </w:r>
      <w:r w:rsidRPr="00730741">
        <w:rPr>
          <w:b/>
          <w:bCs/>
          <w:snapToGrid w:val="0"/>
          <w:lang w:val="pt-PT"/>
        </w:rPr>
        <w:t>se</w:t>
      </w:r>
    </w:p>
    <w:p w14:paraId="004B3CF2" w14:textId="77777777" w:rsidR="00162CE2" w:rsidRPr="002606DB" w:rsidRDefault="00162CE2" w:rsidP="0060524C">
      <w:pPr>
        <w:pStyle w:val="a4"/>
        <w:adjustRightInd w:val="0"/>
        <w:snapToGrid w:val="0"/>
        <w:ind w:left="567" w:hanging="567"/>
        <w:rPr>
          <w:snapToGrid w:val="0"/>
          <w:lang w:val="pt-PT"/>
        </w:rPr>
      </w:pPr>
      <w:proofErr w:type="gramStart"/>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tem</w:t>
      </w:r>
      <w:proofErr w:type="gramEnd"/>
      <w:r w:rsidRPr="002606DB">
        <w:rPr>
          <w:snapToGrid w:val="0"/>
          <w:lang w:val="pt-PT"/>
        </w:rPr>
        <w:t xml:space="preserve"> alergia (hipersensibilidade) ao bevacizumab ou a qualquer outro componente deste medicamento (indicados na secção 6).</w:t>
      </w:r>
    </w:p>
    <w:p w14:paraId="616DCC4E"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tem alergia (hipersensibilidade) a derivados de células de ovário de hamster Chinês (CHO) ou a outros anticorpos recombinantes humanos ou humanizados.</w:t>
      </w:r>
    </w:p>
    <w:p w14:paraId="4C43B59C"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está grávida.</w:t>
      </w:r>
    </w:p>
    <w:p w14:paraId="5C9B11C3" w14:textId="7E5BEF79" w:rsidR="00162CE2" w:rsidRPr="002606DB" w:rsidRDefault="00162CE2" w:rsidP="00056F35">
      <w:pPr>
        <w:pStyle w:val="a3"/>
        <w:adjustRightInd w:val="0"/>
        <w:snapToGrid w:val="0"/>
        <w:rPr>
          <w:snapToGrid w:val="0"/>
          <w:lang w:val="pt-PT"/>
        </w:rPr>
      </w:pPr>
    </w:p>
    <w:p w14:paraId="27FEE5A7" w14:textId="77777777" w:rsidR="00AF236D" w:rsidRPr="002606DB" w:rsidRDefault="00AF236D" w:rsidP="00056F35">
      <w:pPr>
        <w:pStyle w:val="a3"/>
        <w:adjustRightInd w:val="0"/>
        <w:snapToGrid w:val="0"/>
        <w:rPr>
          <w:snapToGrid w:val="0"/>
          <w:lang w:val="pt-PT"/>
        </w:rPr>
      </w:pPr>
    </w:p>
    <w:p w14:paraId="44055BDA" w14:textId="77777777" w:rsidR="00162CE2" w:rsidRPr="00730741" w:rsidRDefault="00162CE2" w:rsidP="00730741">
      <w:pPr>
        <w:rPr>
          <w:b/>
          <w:bCs/>
          <w:snapToGrid w:val="0"/>
          <w:lang w:val="pt-PT"/>
        </w:rPr>
      </w:pPr>
      <w:r w:rsidRPr="00730741">
        <w:rPr>
          <w:b/>
          <w:bCs/>
          <w:snapToGrid w:val="0"/>
          <w:lang w:val="pt-PT"/>
        </w:rPr>
        <w:t>Advertências e precauções</w:t>
      </w:r>
    </w:p>
    <w:p w14:paraId="03A9AFB4" w14:textId="77777777" w:rsidR="00AF236D" w:rsidRPr="002606DB" w:rsidRDefault="00AF236D" w:rsidP="00056F35">
      <w:pPr>
        <w:pStyle w:val="a3"/>
        <w:adjustRightInd w:val="0"/>
        <w:snapToGrid w:val="0"/>
        <w:jc w:val="both"/>
        <w:rPr>
          <w:snapToGrid w:val="0"/>
          <w:lang w:val="pt-PT"/>
        </w:rPr>
      </w:pPr>
    </w:p>
    <w:p w14:paraId="1CA19742" w14:textId="019F71C8" w:rsidR="00162CE2" w:rsidRPr="002606DB" w:rsidRDefault="00162CE2" w:rsidP="00056F35">
      <w:pPr>
        <w:pStyle w:val="a3"/>
        <w:adjustRightInd w:val="0"/>
        <w:snapToGrid w:val="0"/>
        <w:jc w:val="both"/>
        <w:rPr>
          <w:snapToGrid w:val="0"/>
          <w:lang w:val="pt-PT"/>
        </w:rPr>
      </w:pPr>
      <w:r w:rsidRPr="002606DB">
        <w:rPr>
          <w:snapToGrid w:val="0"/>
          <w:lang w:val="pt-PT"/>
        </w:rPr>
        <w:t xml:space="preserve">Fale com o seu médico, farmacêutico ou enfermeiro antes de utilizar </w:t>
      </w:r>
      <w:r w:rsidR="00FB2483">
        <w:rPr>
          <w:noProof/>
          <w:color w:val="000000"/>
          <w:lang w:val="fr-CA" w:eastAsia="ko-KR"/>
        </w:rPr>
        <w:t>Vegzelma</w:t>
      </w:r>
    </w:p>
    <w:p w14:paraId="7E348960" w14:textId="77777777" w:rsidR="00162CE2" w:rsidRPr="002606DB" w:rsidRDefault="00162CE2" w:rsidP="00056F35">
      <w:pPr>
        <w:pStyle w:val="a3"/>
        <w:adjustRightInd w:val="0"/>
        <w:snapToGrid w:val="0"/>
        <w:rPr>
          <w:snapToGrid w:val="0"/>
          <w:lang w:val="pt-PT"/>
        </w:rPr>
      </w:pPr>
    </w:p>
    <w:p w14:paraId="4087363D" w14:textId="5CDCAFEA"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 xml:space="preserve">É possível que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aumente o risco de desenvolvimento de orifícios na parede do intestino. Se tiver doenças que causem inflamação no interior do abdómen (ex. diverticulite, úlceras no estômago, colite associada à quimioterapia), fale com o seu médico sobre o assunto.</w:t>
      </w:r>
    </w:p>
    <w:p w14:paraId="1E38A07F" w14:textId="77777777" w:rsidR="00162CE2" w:rsidRPr="002606DB" w:rsidRDefault="00162CE2" w:rsidP="0060524C">
      <w:pPr>
        <w:pStyle w:val="a3"/>
        <w:adjustRightInd w:val="0"/>
        <w:snapToGrid w:val="0"/>
        <w:ind w:left="567" w:hanging="567"/>
        <w:rPr>
          <w:snapToGrid w:val="0"/>
          <w:lang w:val="pt-PT"/>
        </w:rPr>
      </w:pPr>
    </w:p>
    <w:p w14:paraId="7D71F5E9" w14:textId="19558EEF"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pode aumentar o risco de desenvolvimento de uma ligação anormal ou passagem entre dois órgãos ou vasos. O risco de desenvolvimento de ligações entre a vagina e quaisquer partes do intestino pode aumentar caso tenha cancro do colo do útero com doença persistente, recorrente ou metastizada.</w:t>
      </w:r>
    </w:p>
    <w:p w14:paraId="17F3DA51" w14:textId="77777777" w:rsidR="00162CE2" w:rsidRPr="002606DB" w:rsidRDefault="00162CE2" w:rsidP="0060524C">
      <w:pPr>
        <w:pStyle w:val="a3"/>
        <w:adjustRightInd w:val="0"/>
        <w:snapToGrid w:val="0"/>
        <w:ind w:left="567" w:hanging="567"/>
        <w:rPr>
          <w:snapToGrid w:val="0"/>
          <w:lang w:val="pt-PT"/>
        </w:rPr>
      </w:pPr>
    </w:p>
    <w:p w14:paraId="010B13D8" w14:textId="02592D7C"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pode aumentar o risco de hemorragia ou aumentar o risco de problemas com a cicatrização após cirurgia. Se vai ser submetido a uma operação cirúrgica, se tiver sido submetido a uma grande intervenção cirúrgica nos 28 dias anteriores ou se tiver uma ferida cirúrgica não cicatrizada, não deve ser tratado com este medicamento.</w:t>
      </w:r>
    </w:p>
    <w:p w14:paraId="210504B6" w14:textId="77777777" w:rsidR="00162CE2" w:rsidRPr="002606DB" w:rsidRDefault="00162CE2" w:rsidP="0060524C">
      <w:pPr>
        <w:pStyle w:val="a3"/>
        <w:adjustRightInd w:val="0"/>
        <w:snapToGrid w:val="0"/>
        <w:ind w:left="567" w:hanging="567"/>
        <w:rPr>
          <w:snapToGrid w:val="0"/>
          <w:lang w:val="pt-PT"/>
        </w:rPr>
      </w:pPr>
    </w:p>
    <w:p w14:paraId="58927948" w14:textId="3232AC8A"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pode aumentar o risco de desenvolvimento de infeções graves da pele ou em camadas profundas debaixo da pele, especialmente se teve perfurações na parede do intestino ou problemas com a cicatrização de feridas.</w:t>
      </w:r>
    </w:p>
    <w:p w14:paraId="0643A939" w14:textId="77777777" w:rsidR="00162CE2" w:rsidRPr="002606DB" w:rsidRDefault="00162CE2" w:rsidP="0060524C">
      <w:pPr>
        <w:pStyle w:val="a3"/>
        <w:adjustRightInd w:val="0"/>
        <w:snapToGrid w:val="0"/>
        <w:ind w:left="567" w:hanging="567"/>
        <w:rPr>
          <w:snapToGrid w:val="0"/>
          <w:lang w:val="pt-PT"/>
        </w:rPr>
      </w:pPr>
    </w:p>
    <w:p w14:paraId="6CBF9445" w14:textId="143E3205"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lastRenderedPageBreak/>
        <w:t></w:t>
      </w:r>
      <w:r w:rsidRPr="007155C0">
        <w:rPr>
          <w:rFonts w:ascii="Symbol" w:hAnsi="Symbol" w:cs="Symbol"/>
          <w:snapToGrid w:val="0"/>
          <w:w w:val="101"/>
          <w:lang w:val="pt-PT"/>
        </w:rPr>
        <w:tab/>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pode aumentar </w:t>
      </w:r>
      <w:proofErr w:type="gramStart"/>
      <w:r w:rsidRPr="002606DB">
        <w:rPr>
          <w:snapToGrid w:val="0"/>
          <w:lang w:val="pt-PT"/>
        </w:rPr>
        <w:t>a</w:t>
      </w:r>
      <w:proofErr w:type="gramEnd"/>
      <w:r w:rsidRPr="002606DB">
        <w:rPr>
          <w:snapToGrid w:val="0"/>
          <w:lang w:val="pt-PT"/>
        </w:rPr>
        <w:t xml:space="preserve"> incidência de tensão arterial elevada. Se tem tensão arterial elevada que não é controlada com anti-hipertensores, por favor contacte o seu médico</w:t>
      </w:r>
      <w:r w:rsidR="0049471C" w:rsidRPr="007155C0">
        <w:rPr>
          <w:lang w:val="pt-PT"/>
        </w:rPr>
        <w:t>,</w:t>
      </w:r>
      <w:r w:rsidRPr="002606DB">
        <w:rPr>
          <w:snapToGrid w:val="0"/>
          <w:lang w:val="pt-PT"/>
        </w:rPr>
        <w:t xml:space="preserve"> dado que é importante certificar que a sua tensão arterial está controlada antes de iniciar o tratamento com </w:t>
      </w:r>
      <w:r w:rsidR="00FB2483">
        <w:rPr>
          <w:noProof/>
          <w:color w:val="000000"/>
          <w:lang w:val="pt-PT" w:eastAsia="ko-KR"/>
        </w:rPr>
        <w:t>Vegzelma</w:t>
      </w:r>
      <w:r w:rsidRPr="002606DB">
        <w:rPr>
          <w:snapToGrid w:val="0"/>
          <w:lang w:val="pt-PT"/>
        </w:rPr>
        <w:t>.</w:t>
      </w:r>
    </w:p>
    <w:p w14:paraId="0CA80D7C" w14:textId="77777777" w:rsidR="00162CE2" w:rsidRPr="002606DB" w:rsidRDefault="00162CE2" w:rsidP="0060524C">
      <w:pPr>
        <w:pStyle w:val="a3"/>
        <w:adjustRightInd w:val="0"/>
        <w:snapToGrid w:val="0"/>
        <w:ind w:left="567" w:hanging="567"/>
        <w:rPr>
          <w:snapToGrid w:val="0"/>
          <w:lang w:val="pt-PT"/>
        </w:rPr>
      </w:pPr>
    </w:p>
    <w:p w14:paraId="261A0F9C"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Se tiver ou tiver tido um aneurisma (dilatação ou enfraquecimento da parede de um vaso sanguíneo) ou uma rotura na parede de um vaso sanguíneo.</w:t>
      </w:r>
    </w:p>
    <w:p w14:paraId="50D5AB0A" w14:textId="77777777" w:rsidR="00162CE2" w:rsidRPr="002606DB" w:rsidRDefault="00162CE2" w:rsidP="0060524C">
      <w:pPr>
        <w:adjustRightInd w:val="0"/>
        <w:snapToGrid w:val="0"/>
        <w:ind w:left="567" w:hanging="567"/>
        <w:rPr>
          <w:snapToGrid w:val="0"/>
          <w:lang w:val="pt-PT"/>
        </w:rPr>
      </w:pPr>
    </w:p>
    <w:p w14:paraId="300F7088" w14:textId="31119952"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aumenta o risco de ter proteínas na sua urina, em especial se já tem tensão arterial elevada.</w:t>
      </w:r>
    </w:p>
    <w:p w14:paraId="5B5CD956" w14:textId="77777777" w:rsidR="00162CE2" w:rsidRPr="002606DB" w:rsidRDefault="00162CE2" w:rsidP="0060524C">
      <w:pPr>
        <w:pStyle w:val="a3"/>
        <w:adjustRightInd w:val="0"/>
        <w:snapToGrid w:val="0"/>
        <w:ind w:left="567" w:hanging="567"/>
        <w:rPr>
          <w:snapToGrid w:val="0"/>
          <w:lang w:val="pt-PT"/>
        </w:rPr>
      </w:pPr>
    </w:p>
    <w:p w14:paraId="140AA078"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O risco de desenvolver coágulos sanguíneos nas suas artérias (um tipo de vaso sanguíneo) pode aumentar se tem mais de 65 anos de idade, se tem diabetes, ou se teve uma situação prévia de coágulos sanguíneos nas suas artérias. Por favor fale com o seu médico dado que os coágulos sanguíneos podem resultar em enfarte do miocárdio (ataque cardíaco) e acidente vascular cerebral.</w:t>
      </w:r>
    </w:p>
    <w:p w14:paraId="76BAE878" w14:textId="77777777" w:rsidR="00162CE2" w:rsidRPr="002606DB" w:rsidRDefault="00162CE2" w:rsidP="0060524C">
      <w:pPr>
        <w:pStyle w:val="a3"/>
        <w:adjustRightInd w:val="0"/>
        <w:snapToGrid w:val="0"/>
        <w:ind w:left="567" w:hanging="567"/>
        <w:rPr>
          <w:snapToGrid w:val="0"/>
          <w:lang w:val="pt-PT"/>
        </w:rPr>
      </w:pPr>
    </w:p>
    <w:p w14:paraId="7B752B5E" w14:textId="0B33BEC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pode também aumentar o risco de desenvolver coágulos sanguíneos nas suas veias (um tipo de vaso sanguíneo).</w:t>
      </w:r>
    </w:p>
    <w:p w14:paraId="590DA504" w14:textId="77777777" w:rsidR="00162CE2" w:rsidRPr="002606DB" w:rsidRDefault="00162CE2" w:rsidP="0060524C">
      <w:pPr>
        <w:pStyle w:val="a3"/>
        <w:adjustRightInd w:val="0"/>
        <w:snapToGrid w:val="0"/>
        <w:ind w:left="567" w:hanging="567"/>
        <w:rPr>
          <w:snapToGrid w:val="0"/>
          <w:lang w:val="pt-PT"/>
        </w:rPr>
      </w:pPr>
    </w:p>
    <w:p w14:paraId="7B806BA2" w14:textId="5B2A7F8E"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00FB2483">
        <w:rPr>
          <w:noProof/>
          <w:color w:val="000000"/>
          <w:lang w:val="en-GB" w:eastAsia="ko-KR"/>
        </w:rPr>
        <w:t>Vegzelma</w:t>
      </w:r>
      <w:r w:rsidRPr="002606DB">
        <w:rPr>
          <w:noProof/>
          <w:color w:val="000000"/>
          <w:lang w:val="en-GB" w:eastAsia="ko-KR"/>
        </w:rPr>
        <w:t xml:space="preserve"> </w:t>
      </w:r>
      <w:r w:rsidRPr="002606DB">
        <w:rPr>
          <w:snapToGrid w:val="0"/>
          <w:lang w:val="pt-PT"/>
        </w:rPr>
        <w:t>pode causar hemorragia, especialmente hemorragia relacionada com o tumor. Por favor consulte o seu médico se tiver, ou alguém da sua família tiver tendência para ter problemas de hemorragias ou se, por qualquer razão, estiver a tomar medicamentos que tornam o sangue menos espesso.</w:t>
      </w:r>
    </w:p>
    <w:p w14:paraId="08AE163F" w14:textId="77777777" w:rsidR="00162CE2" w:rsidRPr="002606DB" w:rsidRDefault="00162CE2" w:rsidP="0060524C">
      <w:pPr>
        <w:pStyle w:val="a3"/>
        <w:adjustRightInd w:val="0"/>
        <w:snapToGrid w:val="0"/>
        <w:ind w:left="567" w:hanging="567"/>
        <w:rPr>
          <w:snapToGrid w:val="0"/>
          <w:lang w:val="pt-PT"/>
        </w:rPr>
      </w:pPr>
    </w:p>
    <w:p w14:paraId="1998340C" w14:textId="086C4B52"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 xml:space="preserve">É possível que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cause hemorragia dentro ou à volta do seu cérebro. Por favor discuta o assunto com o seu médico se tiver cancro metastizado que afete o seu cérebro.</w:t>
      </w:r>
    </w:p>
    <w:p w14:paraId="7F117CEF" w14:textId="77777777" w:rsidR="00162CE2" w:rsidRPr="002606DB" w:rsidRDefault="00162CE2" w:rsidP="0060524C">
      <w:pPr>
        <w:pStyle w:val="a3"/>
        <w:adjustRightInd w:val="0"/>
        <w:snapToGrid w:val="0"/>
        <w:ind w:left="567" w:hanging="567"/>
        <w:rPr>
          <w:snapToGrid w:val="0"/>
          <w:lang w:val="pt-PT"/>
        </w:rPr>
      </w:pPr>
    </w:p>
    <w:p w14:paraId="5CF2CF17" w14:textId="3D924F5F" w:rsidR="00162CE2" w:rsidRPr="002606DB" w:rsidRDefault="00162CE2" w:rsidP="00D60086">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 xml:space="preserve">É possível que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aumente o risco de hemorragia nos seus pulmões, incluindo tosse ou expetoração com sangue. Por favor discuta o assunto com o seu médico se tiver notado esta situação ante</w:t>
      </w:r>
      <w:r w:rsidR="00F82628" w:rsidRPr="00F82628">
        <w:rPr>
          <w:snapToGrid w:val="0"/>
          <w:lang w:val="pt-PT"/>
        </w:rPr>
        <w:t>riormente</w:t>
      </w:r>
      <w:r w:rsidRPr="002606DB">
        <w:rPr>
          <w:snapToGrid w:val="0"/>
          <w:lang w:val="pt-PT"/>
        </w:rPr>
        <w:t>.</w:t>
      </w:r>
    </w:p>
    <w:p w14:paraId="69FF7F58" w14:textId="77777777" w:rsidR="00162CE2" w:rsidRPr="002606DB" w:rsidRDefault="00162CE2" w:rsidP="0060524C">
      <w:pPr>
        <w:pStyle w:val="a3"/>
        <w:adjustRightInd w:val="0"/>
        <w:snapToGrid w:val="0"/>
        <w:ind w:left="567" w:hanging="567"/>
        <w:rPr>
          <w:snapToGrid w:val="0"/>
          <w:lang w:val="pt-PT"/>
        </w:rPr>
      </w:pPr>
    </w:p>
    <w:p w14:paraId="09C53295" w14:textId="30FBCD66"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pode aumentar o risco de desenvolvimento de problemas de coração. É importante que o seu médico saiba se foi alguma vez submetido a tratamento com antraciclinas (por exemplo doxorrubicina, um tipo específico de quimioterapia utilizada para o tratamento de alguns cancros) ou foi submetido a radioterapia no tórax ou se tem alguma doença de coração.</w:t>
      </w:r>
    </w:p>
    <w:p w14:paraId="6D3228E9" w14:textId="77777777" w:rsidR="00162CE2" w:rsidRPr="002606DB" w:rsidRDefault="00162CE2" w:rsidP="0060524C">
      <w:pPr>
        <w:pStyle w:val="a3"/>
        <w:adjustRightInd w:val="0"/>
        <w:snapToGrid w:val="0"/>
        <w:ind w:left="567" w:hanging="567"/>
        <w:rPr>
          <w:snapToGrid w:val="0"/>
          <w:lang w:val="pt-PT"/>
        </w:rPr>
      </w:pPr>
    </w:p>
    <w:p w14:paraId="385867FC" w14:textId="47038C62"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pode causar infeções e uma diminuição do número de neutrófilos (um tipo de célula sanguínea importante na sua proteção contra bactérias).</w:t>
      </w:r>
    </w:p>
    <w:p w14:paraId="3299F368" w14:textId="77777777" w:rsidR="00162CE2" w:rsidRPr="002606DB" w:rsidRDefault="00162CE2" w:rsidP="0060524C">
      <w:pPr>
        <w:pStyle w:val="a3"/>
        <w:adjustRightInd w:val="0"/>
        <w:snapToGrid w:val="0"/>
        <w:ind w:left="567" w:hanging="567"/>
        <w:rPr>
          <w:snapToGrid w:val="0"/>
          <w:lang w:val="pt-PT"/>
        </w:rPr>
      </w:pPr>
    </w:p>
    <w:p w14:paraId="571BB3D9" w14:textId="6E2D6CA2" w:rsidR="00162CE2" w:rsidRPr="002606DB" w:rsidRDefault="00162CE2" w:rsidP="00CA5E1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 xml:space="preserve">É possível que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possa causar reações de hipersensibilidade</w:t>
      </w:r>
      <w:r w:rsidR="00B22E04">
        <w:rPr>
          <w:snapToGrid w:val="0"/>
          <w:lang w:val="pt-PT"/>
        </w:rPr>
        <w:t xml:space="preserve"> </w:t>
      </w:r>
      <w:r w:rsidR="00CA5E1C" w:rsidRPr="00CA5E1C">
        <w:rPr>
          <w:snapToGrid w:val="0"/>
          <w:lang w:val="pt-PT"/>
        </w:rPr>
        <w:t>(incluindo choque</w:t>
      </w:r>
      <w:r w:rsidR="00CA5E1C">
        <w:rPr>
          <w:snapToGrid w:val="0"/>
          <w:lang w:val="pt-PT"/>
        </w:rPr>
        <w:t xml:space="preserve"> </w:t>
      </w:r>
      <w:r w:rsidR="00CA5E1C" w:rsidRPr="00CA5E1C">
        <w:rPr>
          <w:snapToGrid w:val="0"/>
          <w:lang w:val="pt-PT"/>
        </w:rPr>
        <w:t>anafilático)</w:t>
      </w:r>
      <w:r w:rsidRPr="002606DB">
        <w:rPr>
          <w:snapToGrid w:val="0"/>
          <w:lang w:val="pt-PT"/>
        </w:rPr>
        <w:t xml:space="preserve"> e/ou à perfusão (reações relacionadas com </w:t>
      </w:r>
      <w:proofErr w:type="gramStart"/>
      <w:r w:rsidRPr="002606DB">
        <w:rPr>
          <w:snapToGrid w:val="0"/>
          <w:lang w:val="pt-PT"/>
        </w:rPr>
        <w:t>a</w:t>
      </w:r>
      <w:proofErr w:type="gramEnd"/>
      <w:r w:rsidRPr="002606DB">
        <w:rPr>
          <w:snapToGrid w:val="0"/>
          <w:lang w:val="pt-PT"/>
        </w:rPr>
        <w:t xml:space="preserve"> injeção do medicamento). Por favor informe o seu médico, farmacêutico ou enfermeiro se tiver tido problemas após injeções, tais como tonturas/sensação de desmaio, falta de ar, inchaço (edema) ou erupção da pele.</w:t>
      </w:r>
    </w:p>
    <w:p w14:paraId="5CCF6838" w14:textId="77777777" w:rsidR="00162CE2" w:rsidRPr="002606DB" w:rsidRDefault="00162CE2" w:rsidP="0060524C">
      <w:pPr>
        <w:pStyle w:val="a3"/>
        <w:adjustRightInd w:val="0"/>
        <w:snapToGrid w:val="0"/>
        <w:ind w:left="567" w:hanging="567"/>
        <w:rPr>
          <w:snapToGrid w:val="0"/>
          <w:lang w:val="pt-PT"/>
        </w:rPr>
      </w:pPr>
    </w:p>
    <w:p w14:paraId="1BDE04C3" w14:textId="5FAD654E"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 xml:space="preserve">Foi associado ao tratamento com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um efeito </w:t>
      </w:r>
      <w:r w:rsidR="00F258FC" w:rsidRPr="00F258FC">
        <w:rPr>
          <w:snapToGrid w:val="0"/>
          <w:lang w:val="pt-PT"/>
        </w:rPr>
        <w:t>indesejável</w:t>
      </w:r>
      <w:r w:rsidRPr="002606DB">
        <w:rPr>
          <w:snapToGrid w:val="0"/>
          <w:lang w:val="pt-PT"/>
        </w:rPr>
        <w:t xml:space="preserve"> neurológico raro denominado síndrome de encefalopatia posterior reversível (SEPR). Se tiver dor de cabeça, alterações na visão, confusão ou convulsão, com ou sem aumento da tensão arterial, por favor contacte o seu médico.</w:t>
      </w:r>
    </w:p>
    <w:p w14:paraId="2F696D34" w14:textId="77777777" w:rsidR="00162CE2" w:rsidRPr="002606DB" w:rsidRDefault="00162CE2" w:rsidP="00056F35">
      <w:pPr>
        <w:pStyle w:val="a3"/>
        <w:adjustRightInd w:val="0"/>
        <w:snapToGrid w:val="0"/>
        <w:rPr>
          <w:snapToGrid w:val="0"/>
          <w:lang w:val="pt-PT"/>
        </w:rPr>
      </w:pPr>
    </w:p>
    <w:p w14:paraId="7A8F3EDA" w14:textId="77777777" w:rsidR="00162CE2" w:rsidRPr="002606DB" w:rsidRDefault="00162CE2" w:rsidP="00056F35">
      <w:pPr>
        <w:pStyle w:val="a3"/>
        <w:adjustRightInd w:val="0"/>
        <w:snapToGrid w:val="0"/>
        <w:rPr>
          <w:snapToGrid w:val="0"/>
          <w:lang w:val="pt-PT"/>
        </w:rPr>
      </w:pPr>
      <w:r w:rsidRPr="002606DB">
        <w:rPr>
          <w:snapToGrid w:val="0"/>
          <w:lang w:val="pt-PT"/>
        </w:rPr>
        <w:t>Não deixe de informar o médico, mesmo que algum dos problemas descritos acima tenha ocorrido no passado.</w:t>
      </w:r>
    </w:p>
    <w:p w14:paraId="646B1EAA" w14:textId="77777777" w:rsidR="00162CE2" w:rsidRPr="002606DB" w:rsidRDefault="00162CE2" w:rsidP="00056F35">
      <w:pPr>
        <w:pStyle w:val="a3"/>
        <w:adjustRightInd w:val="0"/>
        <w:snapToGrid w:val="0"/>
        <w:rPr>
          <w:snapToGrid w:val="0"/>
          <w:lang w:val="pt-PT"/>
        </w:rPr>
      </w:pPr>
    </w:p>
    <w:p w14:paraId="7C844821" w14:textId="19175204" w:rsidR="00162CE2" w:rsidRPr="002606DB" w:rsidRDefault="00162CE2" w:rsidP="00AF236D">
      <w:pPr>
        <w:pStyle w:val="a3"/>
        <w:keepNext/>
        <w:widowControl/>
        <w:adjustRightInd w:val="0"/>
        <w:snapToGrid w:val="0"/>
        <w:rPr>
          <w:snapToGrid w:val="0"/>
          <w:lang w:val="pt-PT"/>
        </w:rPr>
      </w:pPr>
      <w:r w:rsidRPr="002606DB">
        <w:rPr>
          <w:snapToGrid w:val="0"/>
          <w:lang w:val="pt-PT"/>
        </w:rPr>
        <w:lastRenderedPageBreak/>
        <w:t xml:space="preserve">Antes de ser tratado com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 xml:space="preserve">ou enquanto estiver a ser tratado com </w:t>
      </w:r>
      <w:r w:rsidR="00FB2483">
        <w:rPr>
          <w:noProof/>
          <w:color w:val="000000"/>
          <w:lang w:val="fr-CA" w:eastAsia="ko-KR"/>
        </w:rPr>
        <w:t>Vegzelma</w:t>
      </w:r>
      <w:r w:rsidRPr="002606DB">
        <w:rPr>
          <w:snapToGrid w:val="0"/>
          <w:lang w:val="pt-PT"/>
        </w:rPr>
        <w:t>:</w:t>
      </w:r>
    </w:p>
    <w:p w14:paraId="79D01B29" w14:textId="77777777" w:rsidR="00162CE2" w:rsidRPr="002606DB" w:rsidRDefault="00162CE2" w:rsidP="00AF236D">
      <w:pPr>
        <w:pStyle w:val="a3"/>
        <w:keepNext/>
        <w:widowControl/>
        <w:adjustRightInd w:val="0"/>
        <w:snapToGrid w:val="0"/>
        <w:rPr>
          <w:snapToGrid w:val="0"/>
          <w:lang w:val="pt-PT"/>
        </w:rPr>
      </w:pPr>
    </w:p>
    <w:p w14:paraId="3FAEF9CB" w14:textId="77777777" w:rsidR="00162CE2" w:rsidRPr="002606DB" w:rsidRDefault="00162CE2" w:rsidP="00AF236D">
      <w:pPr>
        <w:pStyle w:val="a4"/>
        <w:keepNext/>
        <w:widowControl/>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se tiver ou tiver tido dor na boca, dentes e/ou maxilar, inchaço ou feridas no interior da boca, adormecimento ou sensação de peso no maxilar ou desprendimento de um dente, informe o seu médico e o dentista imediatamente.</w:t>
      </w:r>
    </w:p>
    <w:p w14:paraId="36B1AB00" w14:textId="2EB22E28"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 xml:space="preserve">se precisar de ser submetido </w:t>
      </w:r>
      <w:proofErr w:type="gramStart"/>
      <w:r w:rsidRPr="002606DB">
        <w:rPr>
          <w:snapToGrid w:val="0"/>
          <w:lang w:val="pt-PT"/>
        </w:rPr>
        <w:t>a</w:t>
      </w:r>
      <w:proofErr w:type="gramEnd"/>
      <w:r w:rsidRPr="002606DB">
        <w:rPr>
          <w:snapToGrid w:val="0"/>
          <w:lang w:val="pt-PT"/>
        </w:rPr>
        <w:t xml:space="preserve"> um tratamento dentário invasivo ou cirurgia dentária, informe o seu dentista de que está a ser tratado com </w:t>
      </w:r>
      <w:r w:rsidR="00FB2483">
        <w:rPr>
          <w:noProof/>
          <w:color w:val="000000"/>
          <w:lang w:val="pt-PT" w:eastAsia="ko-KR"/>
        </w:rPr>
        <w:t>Vegzelma</w:t>
      </w:r>
      <w:r w:rsidRPr="007155C0">
        <w:rPr>
          <w:noProof/>
          <w:color w:val="000000"/>
          <w:lang w:val="pt-PT" w:eastAsia="ko-KR"/>
        </w:rPr>
        <w:t xml:space="preserve"> (bevacizumab)</w:t>
      </w:r>
      <w:r w:rsidRPr="002606DB">
        <w:rPr>
          <w:snapToGrid w:val="0"/>
          <w:lang w:val="pt-PT"/>
        </w:rPr>
        <w:t xml:space="preserve">, particularmente quando está também a receber ou se </w:t>
      </w:r>
      <w:r w:rsidR="00677AE7" w:rsidRPr="007155C0">
        <w:rPr>
          <w:lang w:val="pt-PT"/>
        </w:rPr>
        <w:t xml:space="preserve">já </w:t>
      </w:r>
      <w:r w:rsidRPr="002606DB">
        <w:rPr>
          <w:snapToGrid w:val="0"/>
          <w:lang w:val="pt-PT"/>
        </w:rPr>
        <w:t>recebeu uma injeção de bifosfonato no seu sangue.</w:t>
      </w:r>
    </w:p>
    <w:p w14:paraId="58F9F910" w14:textId="77777777" w:rsidR="00162CE2" w:rsidRPr="002606DB" w:rsidRDefault="00162CE2" w:rsidP="00056F35">
      <w:pPr>
        <w:pStyle w:val="a3"/>
        <w:adjustRightInd w:val="0"/>
        <w:snapToGrid w:val="0"/>
        <w:rPr>
          <w:snapToGrid w:val="0"/>
          <w:lang w:val="pt-PT"/>
        </w:rPr>
      </w:pPr>
    </w:p>
    <w:p w14:paraId="08D4C165" w14:textId="04A1920C" w:rsidR="00162CE2" w:rsidRPr="002606DB" w:rsidRDefault="00162CE2" w:rsidP="00056F35">
      <w:pPr>
        <w:pStyle w:val="a3"/>
        <w:adjustRightInd w:val="0"/>
        <w:snapToGrid w:val="0"/>
        <w:rPr>
          <w:snapToGrid w:val="0"/>
          <w:lang w:val="pt-PT"/>
        </w:rPr>
      </w:pPr>
      <w:r w:rsidRPr="002606DB">
        <w:rPr>
          <w:snapToGrid w:val="0"/>
          <w:lang w:val="pt-PT"/>
        </w:rPr>
        <w:t xml:space="preserve">Poderá ser aconselhado a fazer uma consulta de revisão do estado dentário antes de iniciar o tratamento com </w:t>
      </w:r>
      <w:r w:rsidR="00FB2483">
        <w:rPr>
          <w:noProof/>
          <w:color w:val="000000"/>
          <w:lang w:val="pt-PT" w:eastAsia="ko-KR"/>
        </w:rPr>
        <w:t>Vegzelma</w:t>
      </w:r>
      <w:r w:rsidRPr="002606DB">
        <w:rPr>
          <w:snapToGrid w:val="0"/>
          <w:lang w:val="pt-PT"/>
        </w:rPr>
        <w:t>.</w:t>
      </w:r>
    </w:p>
    <w:p w14:paraId="650BE65A" w14:textId="77777777" w:rsidR="00162CE2" w:rsidRPr="002606DB" w:rsidRDefault="00162CE2" w:rsidP="00056F35">
      <w:pPr>
        <w:adjustRightInd w:val="0"/>
        <w:snapToGrid w:val="0"/>
        <w:rPr>
          <w:snapToGrid w:val="0"/>
          <w:lang w:val="pt-PT"/>
        </w:rPr>
      </w:pPr>
    </w:p>
    <w:p w14:paraId="14910069" w14:textId="77777777" w:rsidR="00162CE2" w:rsidRPr="00730741" w:rsidRDefault="00162CE2" w:rsidP="00730741">
      <w:pPr>
        <w:rPr>
          <w:b/>
          <w:bCs/>
          <w:snapToGrid w:val="0"/>
          <w:lang w:val="pt-PT"/>
        </w:rPr>
      </w:pPr>
      <w:r w:rsidRPr="00730741">
        <w:rPr>
          <w:b/>
          <w:bCs/>
          <w:snapToGrid w:val="0"/>
          <w:lang w:val="pt-PT"/>
        </w:rPr>
        <w:t>Crianças e adolescentes</w:t>
      </w:r>
    </w:p>
    <w:p w14:paraId="19C97D56" w14:textId="77777777" w:rsidR="00162CE2" w:rsidRPr="002606DB" w:rsidRDefault="00162CE2" w:rsidP="0060524C">
      <w:pPr>
        <w:pStyle w:val="a3"/>
        <w:keepNext/>
        <w:keepLines/>
        <w:adjustRightInd w:val="0"/>
        <w:snapToGrid w:val="0"/>
        <w:rPr>
          <w:snapToGrid w:val="0"/>
          <w:lang w:val="pt-PT"/>
        </w:rPr>
      </w:pPr>
    </w:p>
    <w:p w14:paraId="61DA00C4" w14:textId="456C7DD9" w:rsidR="00162CE2" w:rsidRPr="002606DB" w:rsidRDefault="00162CE2" w:rsidP="0060524C">
      <w:pPr>
        <w:pStyle w:val="a3"/>
        <w:keepNext/>
        <w:keepLines/>
        <w:adjustRightInd w:val="0"/>
        <w:snapToGrid w:val="0"/>
        <w:rPr>
          <w:snapToGrid w:val="0"/>
          <w:lang w:val="pt-PT"/>
        </w:rPr>
      </w:pPr>
      <w:r w:rsidRPr="002606DB">
        <w:rPr>
          <w:snapToGrid w:val="0"/>
          <w:lang w:val="pt-PT"/>
        </w:rPr>
        <w:t xml:space="preserve">O uso de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em crianças e adolescentes com idade inferior a 18 anos não é recomendado porque a segurança e o benefício não foram estabelecidos nestas populações de doentes.</w:t>
      </w:r>
    </w:p>
    <w:p w14:paraId="035C45B6" w14:textId="77777777" w:rsidR="00162CE2" w:rsidRPr="002606DB" w:rsidRDefault="00162CE2" w:rsidP="00056F35">
      <w:pPr>
        <w:pStyle w:val="a3"/>
        <w:adjustRightInd w:val="0"/>
        <w:snapToGrid w:val="0"/>
        <w:rPr>
          <w:snapToGrid w:val="0"/>
          <w:lang w:val="pt-PT"/>
        </w:rPr>
      </w:pPr>
    </w:p>
    <w:p w14:paraId="05EAF6D1" w14:textId="33E4565F" w:rsidR="00162CE2" w:rsidRPr="002606DB" w:rsidRDefault="00162CE2" w:rsidP="00056F35">
      <w:pPr>
        <w:pStyle w:val="a3"/>
        <w:adjustRightInd w:val="0"/>
        <w:snapToGrid w:val="0"/>
        <w:rPr>
          <w:snapToGrid w:val="0"/>
          <w:lang w:val="pt-PT"/>
        </w:rPr>
      </w:pPr>
      <w:r w:rsidRPr="002606DB">
        <w:rPr>
          <w:snapToGrid w:val="0"/>
          <w:lang w:val="pt-PT"/>
        </w:rPr>
        <w:t xml:space="preserve">Foi notificada, em doentes com idade inferior a 18 anos quando tratados com </w:t>
      </w:r>
      <w:r w:rsidR="006165A4" w:rsidRPr="00595D88">
        <w:rPr>
          <w:color w:val="000000"/>
          <w:lang w:val="en-GB"/>
        </w:rPr>
        <w:t>bevacizumab</w:t>
      </w:r>
      <w:r w:rsidRPr="002606DB">
        <w:rPr>
          <w:snapToGrid w:val="0"/>
          <w:lang w:val="pt-PT"/>
        </w:rPr>
        <w:t>, a morte do tecido do osso (osteonecrose) em ossos que não a mandíbula.</w:t>
      </w:r>
    </w:p>
    <w:p w14:paraId="220B5D09" w14:textId="77777777" w:rsidR="00162CE2" w:rsidRPr="002606DB" w:rsidRDefault="00162CE2" w:rsidP="00056F35">
      <w:pPr>
        <w:pStyle w:val="a3"/>
        <w:adjustRightInd w:val="0"/>
        <w:snapToGrid w:val="0"/>
        <w:rPr>
          <w:snapToGrid w:val="0"/>
          <w:lang w:val="pt-PT"/>
        </w:rPr>
      </w:pPr>
    </w:p>
    <w:p w14:paraId="28FCE316" w14:textId="6E24BD1B" w:rsidR="00162CE2" w:rsidRPr="00730741" w:rsidRDefault="00162CE2" w:rsidP="00730741">
      <w:pPr>
        <w:rPr>
          <w:b/>
          <w:bCs/>
          <w:snapToGrid w:val="0"/>
          <w:lang w:val="pt-PT"/>
        </w:rPr>
      </w:pPr>
      <w:r w:rsidRPr="00730741">
        <w:rPr>
          <w:b/>
          <w:bCs/>
          <w:snapToGrid w:val="0"/>
          <w:lang w:val="pt-PT"/>
        </w:rPr>
        <w:t xml:space="preserve">Outros medicamentos e </w:t>
      </w:r>
      <w:r w:rsidR="00FB2483" w:rsidRPr="00730741">
        <w:rPr>
          <w:b/>
          <w:bCs/>
          <w:noProof/>
          <w:color w:val="000000"/>
          <w:lang w:val="fr-CA" w:eastAsia="ko-KR"/>
        </w:rPr>
        <w:t>Vegzelma</w:t>
      </w:r>
    </w:p>
    <w:p w14:paraId="08A07B0B" w14:textId="77777777" w:rsidR="00162CE2" w:rsidRPr="002606DB" w:rsidRDefault="00162CE2" w:rsidP="00056F35">
      <w:pPr>
        <w:pStyle w:val="a3"/>
        <w:adjustRightInd w:val="0"/>
        <w:snapToGrid w:val="0"/>
        <w:rPr>
          <w:snapToGrid w:val="0"/>
          <w:lang w:val="pt-PT"/>
        </w:rPr>
      </w:pPr>
    </w:p>
    <w:p w14:paraId="0F9D0361" w14:textId="77777777" w:rsidR="00162CE2" w:rsidRPr="002606DB" w:rsidRDefault="00162CE2" w:rsidP="00056F35">
      <w:pPr>
        <w:pStyle w:val="a3"/>
        <w:adjustRightInd w:val="0"/>
        <w:snapToGrid w:val="0"/>
        <w:rPr>
          <w:snapToGrid w:val="0"/>
          <w:lang w:val="pt-PT"/>
        </w:rPr>
      </w:pPr>
      <w:r w:rsidRPr="002606DB">
        <w:rPr>
          <w:snapToGrid w:val="0"/>
          <w:lang w:val="pt-PT"/>
        </w:rPr>
        <w:t>Informe o seu médico, farmacêutico ou enfermeiro se estiver a tomar, tiver tomado recentemente, ou se vier a tomar outros medicamentos.</w:t>
      </w:r>
    </w:p>
    <w:p w14:paraId="1597646D" w14:textId="77777777" w:rsidR="00162CE2" w:rsidRPr="002606DB" w:rsidRDefault="00162CE2" w:rsidP="00056F35">
      <w:pPr>
        <w:pStyle w:val="a3"/>
        <w:adjustRightInd w:val="0"/>
        <w:snapToGrid w:val="0"/>
        <w:rPr>
          <w:snapToGrid w:val="0"/>
          <w:lang w:val="pt-PT"/>
        </w:rPr>
      </w:pPr>
    </w:p>
    <w:p w14:paraId="6BF4684F" w14:textId="12779565" w:rsidR="00162CE2" w:rsidRPr="002606DB" w:rsidRDefault="00162CE2" w:rsidP="00056F35">
      <w:pPr>
        <w:pStyle w:val="a3"/>
        <w:adjustRightInd w:val="0"/>
        <w:snapToGrid w:val="0"/>
        <w:rPr>
          <w:snapToGrid w:val="0"/>
          <w:lang w:val="pt-PT"/>
        </w:rPr>
      </w:pPr>
      <w:r w:rsidRPr="002606DB">
        <w:rPr>
          <w:snapToGrid w:val="0"/>
          <w:lang w:val="pt-PT"/>
        </w:rPr>
        <w:t xml:space="preserve">A combinação de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com outro medicamento chamado malato de sunitinib (prescrito para o cancro renal e gastrointestinal) pode causar graves efeitos </w:t>
      </w:r>
      <w:r w:rsidR="00D64FC9" w:rsidRPr="00D64FC9">
        <w:rPr>
          <w:snapToGrid w:val="0"/>
          <w:lang w:val="pt-PT"/>
        </w:rPr>
        <w:t>indesejáveis</w:t>
      </w:r>
      <w:r w:rsidRPr="002606DB">
        <w:rPr>
          <w:snapToGrid w:val="0"/>
          <w:lang w:val="pt-PT"/>
        </w:rPr>
        <w:t>. Fale com o seu médico para se certificar que não há combinação destes medicamentos.</w:t>
      </w:r>
    </w:p>
    <w:p w14:paraId="1A52A02E" w14:textId="77777777" w:rsidR="00162CE2" w:rsidRPr="002606DB" w:rsidRDefault="00162CE2" w:rsidP="00056F35">
      <w:pPr>
        <w:pStyle w:val="a3"/>
        <w:adjustRightInd w:val="0"/>
        <w:snapToGrid w:val="0"/>
        <w:rPr>
          <w:snapToGrid w:val="0"/>
          <w:lang w:val="pt-PT"/>
        </w:rPr>
      </w:pPr>
    </w:p>
    <w:p w14:paraId="6ED7B364" w14:textId="10AAFC6A" w:rsidR="00162CE2" w:rsidRPr="002606DB" w:rsidRDefault="00162CE2" w:rsidP="00056F35">
      <w:pPr>
        <w:pStyle w:val="a3"/>
        <w:adjustRightInd w:val="0"/>
        <w:snapToGrid w:val="0"/>
        <w:rPr>
          <w:snapToGrid w:val="0"/>
          <w:lang w:val="pt-PT"/>
        </w:rPr>
      </w:pPr>
      <w:r w:rsidRPr="002606DB">
        <w:rPr>
          <w:snapToGrid w:val="0"/>
          <w:lang w:val="pt-PT"/>
        </w:rPr>
        <w:t xml:space="preserve">Informe o seu médico se estiver a usar terapêuticas com base em platina ou taxanos para o cancro do pulmão ou o cancro da mama metastizado. Estas terapêuticas em combinação com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 xml:space="preserve">podem aumentar o risco de efeitos </w:t>
      </w:r>
      <w:r w:rsidR="00D64FC9" w:rsidRPr="00D64FC9">
        <w:rPr>
          <w:snapToGrid w:val="0"/>
          <w:lang w:val="pt-PT"/>
        </w:rPr>
        <w:t>indesejáveis</w:t>
      </w:r>
      <w:r w:rsidRPr="002606DB">
        <w:rPr>
          <w:snapToGrid w:val="0"/>
          <w:lang w:val="pt-PT"/>
        </w:rPr>
        <w:t xml:space="preserve"> graves.</w:t>
      </w:r>
    </w:p>
    <w:p w14:paraId="6409E362" w14:textId="77777777" w:rsidR="00162CE2" w:rsidRPr="002606DB" w:rsidRDefault="00162CE2" w:rsidP="00056F35">
      <w:pPr>
        <w:pStyle w:val="a3"/>
        <w:adjustRightInd w:val="0"/>
        <w:snapToGrid w:val="0"/>
        <w:rPr>
          <w:snapToGrid w:val="0"/>
          <w:lang w:val="pt-PT"/>
        </w:rPr>
      </w:pPr>
    </w:p>
    <w:p w14:paraId="6A6521B5" w14:textId="77777777" w:rsidR="00162CE2" w:rsidRPr="002606DB" w:rsidRDefault="00162CE2" w:rsidP="00056F35">
      <w:pPr>
        <w:pStyle w:val="a3"/>
        <w:adjustRightInd w:val="0"/>
        <w:snapToGrid w:val="0"/>
        <w:rPr>
          <w:snapToGrid w:val="0"/>
          <w:lang w:val="pt-PT"/>
        </w:rPr>
      </w:pPr>
      <w:r w:rsidRPr="002606DB">
        <w:rPr>
          <w:snapToGrid w:val="0"/>
          <w:lang w:val="pt-PT"/>
        </w:rPr>
        <w:t>Informe o seu médico se fez recentemente ou está a fazer radioterapia.</w:t>
      </w:r>
    </w:p>
    <w:p w14:paraId="44CB074D" w14:textId="77777777" w:rsidR="00162CE2" w:rsidRPr="002606DB" w:rsidRDefault="00162CE2" w:rsidP="00056F35">
      <w:pPr>
        <w:pStyle w:val="a3"/>
        <w:adjustRightInd w:val="0"/>
        <w:snapToGrid w:val="0"/>
        <w:rPr>
          <w:snapToGrid w:val="0"/>
          <w:lang w:val="pt-PT"/>
        </w:rPr>
      </w:pPr>
    </w:p>
    <w:p w14:paraId="3BE3FA0D" w14:textId="77777777" w:rsidR="00162CE2" w:rsidRPr="00730741" w:rsidRDefault="00162CE2" w:rsidP="00730741">
      <w:pPr>
        <w:rPr>
          <w:b/>
          <w:bCs/>
          <w:snapToGrid w:val="0"/>
          <w:lang w:val="pt-PT"/>
        </w:rPr>
      </w:pPr>
      <w:r w:rsidRPr="00730741">
        <w:rPr>
          <w:b/>
          <w:bCs/>
          <w:snapToGrid w:val="0"/>
          <w:lang w:val="pt-PT"/>
        </w:rPr>
        <w:t>Gravidez, amamentação e fertilidade</w:t>
      </w:r>
    </w:p>
    <w:p w14:paraId="33FC9FD6" w14:textId="77777777" w:rsidR="00162CE2" w:rsidRPr="002606DB" w:rsidRDefault="00162CE2" w:rsidP="00056F35">
      <w:pPr>
        <w:pStyle w:val="a3"/>
        <w:adjustRightInd w:val="0"/>
        <w:snapToGrid w:val="0"/>
        <w:rPr>
          <w:snapToGrid w:val="0"/>
          <w:lang w:val="pt-PT"/>
        </w:rPr>
      </w:pPr>
    </w:p>
    <w:p w14:paraId="7D8CA9C8" w14:textId="5DEC95A2" w:rsidR="00162CE2" w:rsidRPr="002606DB" w:rsidRDefault="00162CE2" w:rsidP="00056F35">
      <w:pPr>
        <w:pStyle w:val="a3"/>
        <w:adjustRightInd w:val="0"/>
        <w:snapToGrid w:val="0"/>
        <w:rPr>
          <w:snapToGrid w:val="0"/>
          <w:lang w:val="pt-PT"/>
        </w:rPr>
      </w:pPr>
      <w:r w:rsidRPr="002606DB">
        <w:rPr>
          <w:snapToGrid w:val="0"/>
          <w:lang w:val="pt-PT"/>
        </w:rPr>
        <w:t xml:space="preserve">Não pode usar este medicamento se estiver grávida.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pode afetar o bebé que se está a desenvolver no útero uma vez que pode parar a formação de novos vasos sanguíneos. O seu médico deve aconselhá-la a utilizar contraceção durante o tratamento com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 xml:space="preserve">e durante pelo menos 6 meses após a última dose de </w:t>
      </w:r>
      <w:r w:rsidR="00FB2483">
        <w:rPr>
          <w:noProof/>
          <w:color w:val="000000"/>
          <w:lang w:val="fr-CA" w:eastAsia="ko-KR"/>
        </w:rPr>
        <w:t>Vegzelma</w:t>
      </w:r>
      <w:r w:rsidRPr="002606DB">
        <w:rPr>
          <w:snapToGrid w:val="0"/>
          <w:lang w:val="pt-PT"/>
        </w:rPr>
        <w:t>.</w:t>
      </w:r>
    </w:p>
    <w:p w14:paraId="185A6415" w14:textId="77777777" w:rsidR="00162CE2" w:rsidRPr="002606DB" w:rsidRDefault="00162CE2" w:rsidP="00056F35">
      <w:pPr>
        <w:pStyle w:val="a3"/>
        <w:adjustRightInd w:val="0"/>
        <w:snapToGrid w:val="0"/>
        <w:rPr>
          <w:snapToGrid w:val="0"/>
          <w:lang w:val="pt-PT"/>
        </w:rPr>
      </w:pPr>
    </w:p>
    <w:p w14:paraId="5EBE2802" w14:textId="77777777" w:rsidR="00162CE2" w:rsidRPr="002606DB" w:rsidRDefault="00162CE2" w:rsidP="00056F35">
      <w:pPr>
        <w:pStyle w:val="a3"/>
        <w:adjustRightInd w:val="0"/>
        <w:snapToGrid w:val="0"/>
        <w:rPr>
          <w:snapToGrid w:val="0"/>
          <w:lang w:val="pt-PT"/>
        </w:rPr>
      </w:pPr>
      <w:r w:rsidRPr="002606DB">
        <w:rPr>
          <w:snapToGrid w:val="0"/>
          <w:lang w:val="pt-PT"/>
        </w:rPr>
        <w:t>Informe de imediato o seu médico se estiver grávida, se engravidar durante o tratamento com este medicamento ou se pretende engravidar num futuro próximo.</w:t>
      </w:r>
    </w:p>
    <w:p w14:paraId="4011BF46" w14:textId="77777777" w:rsidR="00162CE2" w:rsidRPr="002606DB" w:rsidRDefault="00162CE2" w:rsidP="00056F35">
      <w:pPr>
        <w:pStyle w:val="a3"/>
        <w:adjustRightInd w:val="0"/>
        <w:snapToGrid w:val="0"/>
        <w:rPr>
          <w:snapToGrid w:val="0"/>
          <w:lang w:val="pt-PT"/>
        </w:rPr>
      </w:pPr>
    </w:p>
    <w:p w14:paraId="03E3C583" w14:textId="0F56A744" w:rsidR="00162CE2" w:rsidRPr="002606DB" w:rsidRDefault="00162CE2" w:rsidP="00056F35">
      <w:pPr>
        <w:pStyle w:val="a3"/>
        <w:adjustRightInd w:val="0"/>
        <w:snapToGrid w:val="0"/>
        <w:rPr>
          <w:snapToGrid w:val="0"/>
          <w:lang w:val="pt-PT"/>
        </w:rPr>
      </w:pPr>
      <w:r w:rsidRPr="002606DB">
        <w:rPr>
          <w:snapToGrid w:val="0"/>
          <w:lang w:val="pt-PT"/>
        </w:rPr>
        <w:t xml:space="preserve">Não pode amamentar o seu filho durante o tratamento com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e durante pelo menos 6 meses após a última dose de </w:t>
      </w:r>
      <w:r w:rsidR="00FB2483">
        <w:rPr>
          <w:noProof/>
          <w:color w:val="000000"/>
          <w:lang w:val="pt-PT" w:eastAsia="ko-KR"/>
        </w:rPr>
        <w:t>Vegzelma</w:t>
      </w:r>
      <w:r w:rsidRPr="002606DB">
        <w:rPr>
          <w:snapToGrid w:val="0"/>
          <w:lang w:val="pt-PT"/>
        </w:rPr>
        <w:t>, uma vez que este pode interferir com o crescimento e desenvolvimento do seu bebé.</w:t>
      </w:r>
    </w:p>
    <w:p w14:paraId="541CE757" w14:textId="77777777" w:rsidR="00162CE2" w:rsidRPr="002606DB" w:rsidRDefault="00162CE2" w:rsidP="00056F35">
      <w:pPr>
        <w:pStyle w:val="a3"/>
        <w:adjustRightInd w:val="0"/>
        <w:snapToGrid w:val="0"/>
        <w:rPr>
          <w:snapToGrid w:val="0"/>
          <w:lang w:val="pt-PT"/>
        </w:rPr>
      </w:pPr>
    </w:p>
    <w:p w14:paraId="73E3C9A5" w14:textId="0A5BA643" w:rsidR="00162CE2" w:rsidRPr="002606DB" w:rsidRDefault="00162CE2" w:rsidP="00056F35">
      <w:pPr>
        <w:pStyle w:val="a3"/>
        <w:adjustRightInd w:val="0"/>
        <w:snapToGrid w:val="0"/>
        <w:rPr>
          <w:snapToGrid w:val="0"/>
          <w:lang w:val="pt-PT"/>
        </w:rPr>
      </w:pPr>
      <w:r w:rsidRPr="002606DB">
        <w:rPr>
          <w:snapToGrid w:val="0"/>
          <w:lang w:val="pt-PT"/>
        </w:rPr>
        <w:t xml:space="preserve">O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pode prejudicar a fertilidade feminina. Para mais informação, por favor consulte o seu médico.</w:t>
      </w:r>
    </w:p>
    <w:p w14:paraId="04BBC55E" w14:textId="77777777" w:rsidR="00162CE2" w:rsidRPr="002606DB" w:rsidRDefault="00162CE2" w:rsidP="00056F35">
      <w:pPr>
        <w:pStyle w:val="a3"/>
        <w:adjustRightInd w:val="0"/>
        <w:snapToGrid w:val="0"/>
        <w:rPr>
          <w:snapToGrid w:val="0"/>
          <w:lang w:val="pt-PT"/>
        </w:rPr>
      </w:pPr>
    </w:p>
    <w:p w14:paraId="328F5588" w14:textId="77777777" w:rsidR="00162CE2" w:rsidRPr="002606DB" w:rsidRDefault="00162CE2" w:rsidP="00056F35">
      <w:pPr>
        <w:pStyle w:val="a3"/>
        <w:adjustRightInd w:val="0"/>
        <w:snapToGrid w:val="0"/>
        <w:rPr>
          <w:snapToGrid w:val="0"/>
          <w:lang w:val="pt-PT"/>
        </w:rPr>
      </w:pPr>
      <w:r w:rsidRPr="002606DB">
        <w:rPr>
          <w:snapToGrid w:val="0"/>
          <w:lang w:val="pt-PT"/>
        </w:rPr>
        <w:t>Consulte o seu médico, farmacêutico ou enfermeiro antes de tomar qualquer medicamento.</w:t>
      </w:r>
    </w:p>
    <w:p w14:paraId="3FD10697" w14:textId="77777777" w:rsidR="00162CE2" w:rsidRPr="002606DB" w:rsidRDefault="00162CE2" w:rsidP="00056F35">
      <w:pPr>
        <w:pStyle w:val="a3"/>
        <w:adjustRightInd w:val="0"/>
        <w:snapToGrid w:val="0"/>
        <w:rPr>
          <w:snapToGrid w:val="0"/>
          <w:lang w:val="pt-PT"/>
        </w:rPr>
      </w:pPr>
    </w:p>
    <w:p w14:paraId="50F6B3EF" w14:textId="77777777" w:rsidR="00162CE2" w:rsidRPr="00730741" w:rsidRDefault="00162CE2" w:rsidP="00730741">
      <w:pPr>
        <w:rPr>
          <w:b/>
          <w:bCs/>
          <w:snapToGrid w:val="0"/>
          <w:lang w:val="pt-PT"/>
        </w:rPr>
      </w:pPr>
      <w:r w:rsidRPr="00730741">
        <w:rPr>
          <w:b/>
          <w:bCs/>
          <w:snapToGrid w:val="0"/>
          <w:lang w:val="pt-PT"/>
        </w:rPr>
        <w:t>Condução de veículos e utilização de máquinas</w:t>
      </w:r>
    </w:p>
    <w:p w14:paraId="2361B2F0" w14:textId="76765450" w:rsidR="00162CE2" w:rsidRPr="002606DB" w:rsidRDefault="00FB2483" w:rsidP="00AF236D">
      <w:pPr>
        <w:pStyle w:val="a3"/>
        <w:keepNext/>
        <w:keepLines/>
        <w:widowControl/>
        <w:adjustRightInd w:val="0"/>
        <w:snapToGrid w:val="0"/>
        <w:rPr>
          <w:snapToGrid w:val="0"/>
          <w:lang w:val="pt-PT"/>
        </w:rPr>
      </w:pPr>
      <w:r>
        <w:rPr>
          <w:noProof/>
          <w:color w:val="000000"/>
          <w:lang w:val="fr-CA" w:eastAsia="ko-KR"/>
        </w:rPr>
        <w:lastRenderedPageBreak/>
        <w:t>Vegzelma</w:t>
      </w:r>
      <w:r w:rsidR="00162CE2" w:rsidRPr="007155C0">
        <w:rPr>
          <w:noProof/>
          <w:color w:val="000000"/>
          <w:lang w:val="fr-CA" w:eastAsia="ko-KR"/>
        </w:rPr>
        <w:t xml:space="preserve"> </w:t>
      </w:r>
      <w:r w:rsidR="00162CE2" w:rsidRPr="002606DB">
        <w:rPr>
          <w:snapToGrid w:val="0"/>
          <w:lang w:val="pt-PT"/>
        </w:rPr>
        <w:t xml:space="preserve">não mostrou reduzir os efeitos na sua capacidade de conduzir ou utilizar quaisquer ferramentas ou máquinas. No entanto, foram notificados sonolência e desmaios com o uso de </w:t>
      </w:r>
      <w:r>
        <w:rPr>
          <w:noProof/>
          <w:color w:val="000000"/>
          <w:lang w:val="pt-PT" w:eastAsia="ko-KR"/>
        </w:rPr>
        <w:t>Vegzelma</w:t>
      </w:r>
      <w:r w:rsidR="00162CE2" w:rsidRPr="002606DB">
        <w:rPr>
          <w:snapToGrid w:val="0"/>
          <w:lang w:val="pt-PT"/>
        </w:rPr>
        <w:t xml:space="preserve">. Se teve sintomas que afetam a sua visão ou </w:t>
      </w:r>
      <w:r w:rsidR="00F1729B" w:rsidRPr="007155C0">
        <w:rPr>
          <w:lang w:val="pt-PT"/>
        </w:rPr>
        <w:t>a</w:t>
      </w:r>
      <w:r w:rsidR="00162CE2" w:rsidRPr="002606DB">
        <w:rPr>
          <w:snapToGrid w:val="0"/>
          <w:lang w:val="pt-PT"/>
        </w:rPr>
        <w:t xml:space="preserve"> concentração ou a sua capacidade de reagir, não conduza ou utilize máquinas até que os sintomas desapareçam.</w:t>
      </w:r>
    </w:p>
    <w:p w14:paraId="761A763A" w14:textId="77777777" w:rsidR="00162CE2" w:rsidRPr="002606DB" w:rsidRDefault="00162CE2" w:rsidP="00056F35">
      <w:pPr>
        <w:pStyle w:val="a3"/>
        <w:adjustRightInd w:val="0"/>
        <w:snapToGrid w:val="0"/>
        <w:rPr>
          <w:snapToGrid w:val="0"/>
          <w:lang w:val="pt-PT"/>
        </w:rPr>
      </w:pPr>
    </w:p>
    <w:p w14:paraId="7036957D" w14:textId="348D7607" w:rsidR="00162CE2" w:rsidRPr="00730741" w:rsidRDefault="00162CE2" w:rsidP="00730741">
      <w:pPr>
        <w:rPr>
          <w:b/>
          <w:bCs/>
          <w:snapToGrid w:val="0"/>
          <w:lang w:val="pt-PT"/>
        </w:rPr>
      </w:pPr>
      <w:r w:rsidRPr="00730741">
        <w:rPr>
          <w:b/>
          <w:bCs/>
          <w:snapToGrid w:val="0"/>
          <w:lang w:val="pt-PT"/>
        </w:rPr>
        <w:t>Informação importante sobre alguns dos component</w:t>
      </w:r>
      <w:r w:rsidR="006165A4" w:rsidRPr="00730741">
        <w:rPr>
          <w:b/>
          <w:bCs/>
          <w:snapToGrid w:val="0"/>
          <w:lang w:val="pt-PT"/>
        </w:rPr>
        <w:t>e</w:t>
      </w:r>
      <w:r w:rsidRPr="00730741">
        <w:rPr>
          <w:b/>
          <w:bCs/>
          <w:snapToGrid w:val="0"/>
          <w:lang w:val="pt-PT"/>
        </w:rPr>
        <w:t xml:space="preserve">s de </w:t>
      </w:r>
      <w:r w:rsidR="00FB2483" w:rsidRPr="00730741">
        <w:rPr>
          <w:b/>
          <w:bCs/>
          <w:noProof/>
          <w:color w:val="000000"/>
          <w:lang w:val="fr-CA" w:eastAsia="ko-KR"/>
        </w:rPr>
        <w:t>Vegzelma</w:t>
      </w:r>
    </w:p>
    <w:p w14:paraId="7911D784" w14:textId="1A93E261" w:rsidR="00162CE2" w:rsidRPr="002606DB" w:rsidRDefault="00162CE2" w:rsidP="00056F35">
      <w:pPr>
        <w:pStyle w:val="a3"/>
        <w:adjustRightInd w:val="0"/>
        <w:snapToGrid w:val="0"/>
        <w:rPr>
          <w:snapToGrid w:val="0"/>
          <w:lang w:val="pt-PT"/>
        </w:rPr>
      </w:pPr>
      <w:r w:rsidRPr="002606DB">
        <w:rPr>
          <w:snapToGrid w:val="0"/>
          <w:lang w:val="pt-PT"/>
        </w:rPr>
        <w:t>Este medicamento contém menos do que 1 mmol (23 mg) de sódio por frasco para injetáveis</w:t>
      </w:r>
      <w:r w:rsidR="003221C7" w:rsidRPr="007155C0">
        <w:rPr>
          <w:lang w:val="fr-CA"/>
        </w:rPr>
        <w:t>,</w:t>
      </w:r>
      <w:r w:rsidRPr="002606DB">
        <w:rPr>
          <w:snapToGrid w:val="0"/>
          <w:lang w:val="pt-PT"/>
        </w:rPr>
        <w:t xml:space="preserve"> ou seja, é praticamente “isento de sódio”.</w:t>
      </w:r>
    </w:p>
    <w:p w14:paraId="6DF02271" w14:textId="77777777" w:rsidR="004C38AD" w:rsidRDefault="004C38AD" w:rsidP="004C38AD">
      <w:pPr>
        <w:pStyle w:val="a3"/>
        <w:rPr>
          <w:rFonts w:eastAsia="맑은 고딕"/>
          <w:lang w:val="pt-PT" w:eastAsia="ko-KR"/>
        </w:rPr>
      </w:pPr>
    </w:p>
    <w:p w14:paraId="638B85BB" w14:textId="07282747" w:rsidR="004C38AD" w:rsidRPr="00C25AC8" w:rsidRDefault="004C38AD" w:rsidP="004C38AD">
      <w:pPr>
        <w:pStyle w:val="a3"/>
        <w:rPr>
          <w:snapToGrid w:val="0"/>
          <w:lang w:val="pt-PT"/>
        </w:rPr>
      </w:pPr>
      <w:r w:rsidRPr="007155C0">
        <w:rPr>
          <w:lang w:val="fr-CA"/>
        </w:rPr>
        <w:t>Este medicamento contém 0,</w:t>
      </w:r>
      <w:r w:rsidRPr="007155C0">
        <w:rPr>
          <w:rFonts w:eastAsia="맑은 고딕" w:hint="eastAsia"/>
          <w:lang w:val="fr-CA" w:eastAsia="ko-KR"/>
        </w:rPr>
        <w:t>4</w:t>
      </w:r>
      <w:r w:rsidRPr="007155C0">
        <w:rPr>
          <w:lang w:val="fr-CA"/>
        </w:rPr>
        <w:t> mg de polissorbato </w:t>
      </w:r>
      <w:r w:rsidRPr="007155C0">
        <w:rPr>
          <w:rFonts w:eastAsia="맑은 고딕" w:hint="eastAsia"/>
          <w:lang w:val="fr-CA" w:eastAsia="ko-KR"/>
        </w:rPr>
        <w:t>20</w:t>
      </w:r>
      <w:r w:rsidRPr="007155C0">
        <w:rPr>
          <w:lang w:val="fr-CA"/>
        </w:rPr>
        <w:t xml:space="preserve"> em cada ml.</w:t>
      </w:r>
      <w:r w:rsidRPr="007155C0">
        <w:rPr>
          <w:rFonts w:eastAsiaTheme="minorEastAsia" w:hint="eastAsia"/>
          <w:lang w:val="fr-CA" w:eastAsia="ko-KR"/>
        </w:rPr>
        <w:t xml:space="preserve"> </w:t>
      </w:r>
      <w:r w:rsidRPr="007155C0">
        <w:rPr>
          <w:lang w:val="fr-CA"/>
        </w:rPr>
        <w:t>Os polissorbatos podem causar reações alérgicas. Informe o seu médico se tem alguma alergia.</w:t>
      </w:r>
    </w:p>
    <w:p w14:paraId="3C85CD94" w14:textId="77777777" w:rsidR="00162CE2" w:rsidRPr="002606DB" w:rsidRDefault="00162CE2" w:rsidP="00056F35">
      <w:pPr>
        <w:pStyle w:val="a3"/>
        <w:adjustRightInd w:val="0"/>
        <w:snapToGrid w:val="0"/>
        <w:rPr>
          <w:snapToGrid w:val="0"/>
          <w:lang w:val="pt-PT"/>
        </w:rPr>
      </w:pPr>
    </w:p>
    <w:p w14:paraId="742C6C85" w14:textId="77777777" w:rsidR="00162CE2" w:rsidRPr="002606DB" w:rsidRDefault="00162CE2" w:rsidP="00056F35">
      <w:pPr>
        <w:pStyle w:val="a3"/>
        <w:adjustRightInd w:val="0"/>
        <w:snapToGrid w:val="0"/>
        <w:rPr>
          <w:snapToGrid w:val="0"/>
          <w:lang w:val="pt-PT"/>
        </w:rPr>
      </w:pPr>
    </w:p>
    <w:p w14:paraId="674C2EA3" w14:textId="31F5B2DA" w:rsidR="00162CE2" w:rsidRPr="00730741" w:rsidRDefault="00162CE2" w:rsidP="00730741">
      <w:pPr>
        <w:rPr>
          <w:b/>
          <w:bCs/>
          <w:snapToGrid w:val="0"/>
          <w:lang w:val="pt-PT"/>
        </w:rPr>
      </w:pPr>
      <w:r w:rsidRPr="00730741">
        <w:rPr>
          <w:b/>
          <w:bCs/>
          <w:snapToGrid w:val="0"/>
          <w:w w:val="101"/>
          <w:lang w:val="fr-CA"/>
        </w:rPr>
        <w:t>3.</w:t>
      </w:r>
      <w:r w:rsidRPr="00730741">
        <w:rPr>
          <w:b/>
          <w:bCs/>
          <w:snapToGrid w:val="0"/>
          <w:w w:val="101"/>
          <w:lang w:val="fr-CA"/>
        </w:rPr>
        <w:tab/>
      </w:r>
      <w:r w:rsidRPr="00730741">
        <w:rPr>
          <w:b/>
          <w:bCs/>
          <w:snapToGrid w:val="0"/>
          <w:lang w:val="pt-PT"/>
        </w:rPr>
        <w:t xml:space="preserve">Como utilizar </w:t>
      </w:r>
      <w:r w:rsidR="00FB2483" w:rsidRPr="00730741">
        <w:rPr>
          <w:b/>
          <w:bCs/>
          <w:noProof/>
          <w:color w:val="000000"/>
          <w:lang w:val="fr-CA" w:eastAsia="ko-KR"/>
        </w:rPr>
        <w:t>Vegzelma</w:t>
      </w:r>
    </w:p>
    <w:p w14:paraId="70A61B06" w14:textId="77777777" w:rsidR="00162CE2" w:rsidRPr="002606DB" w:rsidRDefault="00162CE2" w:rsidP="00056F35">
      <w:pPr>
        <w:pStyle w:val="a3"/>
        <w:adjustRightInd w:val="0"/>
        <w:snapToGrid w:val="0"/>
        <w:rPr>
          <w:b/>
          <w:snapToGrid w:val="0"/>
          <w:lang w:val="pt-PT"/>
        </w:rPr>
      </w:pPr>
    </w:p>
    <w:p w14:paraId="2F67A007" w14:textId="77777777" w:rsidR="00162CE2" w:rsidRPr="002606DB" w:rsidRDefault="00162CE2" w:rsidP="00056F35">
      <w:pPr>
        <w:adjustRightInd w:val="0"/>
        <w:snapToGrid w:val="0"/>
        <w:rPr>
          <w:b/>
          <w:snapToGrid w:val="0"/>
          <w:lang w:val="pt-PT"/>
        </w:rPr>
      </w:pPr>
      <w:r w:rsidRPr="002606DB">
        <w:rPr>
          <w:b/>
          <w:snapToGrid w:val="0"/>
          <w:lang w:val="pt-PT"/>
        </w:rPr>
        <w:t>Dose e frequência de administração</w:t>
      </w:r>
    </w:p>
    <w:p w14:paraId="2CCC6C14" w14:textId="77777777" w:rsidR="00AF236D" w:rsidRPr="002606DB" w:rsidRDefault="00AF236D" w:rsidP="00056F35">
      <w:pPr>
        <w:pStyle w:val="a3"/>
        <w:adjustRightInd w:val="0"/>
        <w:snapToGrid w:val="0"/>
        <w:rPr>
          <w:snapToGrid w:val="0"/>
          <w:lang w:val="pt-PT"/>
        </w:rPr>
      </w:pPr>
    </w:p>
    <w:p w14:paraId="1145E083" w14:textId="2A38345D" w:rsidR="00162CE2" w:rsidRPr="002606DB" w:rsidRDefault="00162CE2" w:rsidP="00056F35">
      <w:pPr>
        <w:pStyle w:val="a3"/>
        <w:adjustRightInd w:val="0"/>
        <w:snapToGrid w:val="0"/>
        <w:rPr>
          <w:snapToGrid w:val="0"/>
          <w:lang w:val="pt-PT"/>
        </w:rPr>
      </w:pPr>
      <w:r w:rsidRPr="002606DB">
        <w:rPr>
          <w:snapToGrid w:val="0"/>
          <w:lang w:val="pt-PT"/>
        </w:rPr>
        <w:t xml:space="preserve">A dose necessária de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depende do seu peso corporal e do tipo de cancro que está a ser tratado. A dose recomendada é de 5 mg, 7,5 mg, 10 mg ou 15 mg por quilograma do seu peso corporal. O seu médico vai prescrever a dose de </w:t>
      </w:r>
      <w:r w:rsidR="00FB2483">
        <w:rPr>
          <w:noProof/>
          <w:color w:val="000000"/>
          <w:lang w:val="pt-PT" w:eastAsia="ko-KR"/>
        </w:rPr>
        <w:t>Vegzelma</w:t>
      </w:r>
      <w:r w:rsidRPr="007155C0">
        <w:rPr>
          <w:noProof/>
          <w:color w:val="000000"/>
          <w:lang w:val="pt-PT" w:eastAsia="ko-KR"/>
        </w:rPr>
        <w:t xml:space="preserve"> </w:t>
      </w:r>
      <w:r w:rsidRPr="002606DB">
        <w:rPr>
          <w:snapToGrid w:val="0"/>
          <w:lang w:val="pt-PT"/>
        </w:rPr>
        <w:t xml:space="preserve">adequada ao seu caso. A administração de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 xml:space="preserve">vai ser feita 1 vez, de 2 em 2 ou de 3 em 3 semanas. O número de perfusões vai depender da forma como responder ao tratamento; deve prosseguir o tratamento até o </w:t>
      </w:r>
      <w:r w:rsidR="00FB2483">
        <w:rPr>
          <w:noProof/>
          <w:color w:val="000000"/>
          <w:lang w:val="en-GB" w:eastAsia="ko-KR"/>
        </w:rPr>
        <w:t>Vegzelma</w:t>
      </w:r>
      <w:r w:rsidRPr="002606DB">
        <w:rPr>
          <w:noProof/>
          <w:color w:val="000000"/>
          <w:lang w:val="en-GB" w:eastAsia="ko-KR"/>
        </w:rPr>
        <w:t xml:space="preserve"> </w:t>
      </w:r>
      <w:r w:rsidRPr="002606DB">
        <w:rPr>
          <w:snapToGrid w:val="0"/>
          <w:lang w:val="pt-PT"/>
        </w:rPr>
        <w:t>deixar de conseguir impedir o crescimento do tumor. O seu médico irá discutir este assunto consigo.</w:t>
      </w:r>
    </w:p>
    <w:p w14:paraId="40C2ADF3" w14:textId="77777777" w:rsidR="00162CE2" w:rsidRPr="002606DB" w:rsidRDefault="00162CE2" w:rsidP="00056F35">
      <w:pPr>
        <w:pStyle w:val="a3"/>
        <w:adjustRightInd w:val="0"/>
        <w:snapToGrid w:val="0"/>
        <w:rPr>
          <w:snapToGrid w:val="0"/>
          <w:lang w:val="pt-PT"/>
        </w:rPr>
      </w:pPr>
    </w:p>
    <w:p w14:paraId="07980B23" w14:textId="77777777" w:rsidR="00162CE2" w:rsidRPr="00730741" w:rsidRDefault="00162CE2" w:rsidP="00730741">
      <w:pPr>
        <w:rPr>
          <w:b/>
          <w:bCs/>
          <w:snapToGrid w:val="0"/>
          <w:lang w:val="pt-PT"/>
        </w:rPr>
      </w:pPr>
      <w:r w:rsidRPr="00730741">
        <w:rPr>
          <w:b/>
          <w:bCs/>
          <w:snapToGrid w:val="0"/>
          <w:lang w:val="pt-PT"/>
        </w:rPr>
        <w:t>Modo e via de administração</w:t>
      </w:r>
    </w:p>
    <w:p w14:paraId="550B1F83" w14:textId="77777777" w:rsidR="00AF236D" w:rsidRPr="002606DB" w:rsidRDefault="00AF236D" w:rsidP="00056F35">
      <w:pPr>
        <w:pStyle w:val="a3"/>
        <w:adjustRightInd w:val="0"/>
        <w:snapToGrid w:val="0"/>
        <w:rPr>
          <w:snapToGrid w:val="0"/>
          <w:lang w:val="pt-PT"/>
        </w:rPr>
      </w:pPr>
    </w:p>
    <w:p w14:paraId="6EEFF89B" w14:textId="115F7771"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 xml:space="preserve">é um concentrado para solução para perfusão. Antes da utilização, uma parte ou a totalidade, consoante a dose que lhe foi prescrita, do conteúdo do frasco para injetáveis de </w:t>
      </w: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 xml:space="preserve">será diluída com uma solução de cloreto de sódio. Um médico ou enfermeiro irá administrar-lhe a solução diluída de </w:t>
      </w:r>
      <w:r>
        <w:rPr>
          <w:noProof/>
          <w:color w:val="000000"/>
          <w:lang w:val="fr-CA" w:eastAsia="ko-KR"/>
        </w:rPr>
        <w:t>Vegzelma</w:t>
      </w:r>
      <w:r w:rsidR="00162CE2" w:rsidRPr="007155C0">
        <w:rPr>
          <w:noProof/>
          <w:color w:val="000000"/>
          <w:lang w:val="fr-CA" w:eastAsia="ko-KR"/>
        </w:rPr>
        <w:t xml:space="preserve"> </w:t>
      </w:r>
      <w:r w:rsidR="00162CE2" w:rsidRPr="002606DB">
        <w:rPr>
          <w:snapToGrid w:val="0"/>
          <w:lang w:val="pt-PT"/>
        </w:rPr>
        <w:t>por meio de perfusão intravenosa (um gotejamento para a sua veia). A primeira perfusão ser-lhe-á administrada durante 90 minutos. Se esta for bem tolerada, a segunda perfusão pode ser administrada durante 60 minutos. As perfusões seguintes podem ser administradas durante 30 minutos.</w:t>
      </w:r>
    </w:p>
    <w:p w14:paraId="072149AC" w14:textId="77777777" w:rsidR="00162CE2" w:rsidRPr="002606DB" w:rsidRDefault="00162CE2" w:rsidP="00056F35">
      <w:pPr>
        <w:pStyle w:val="a3"/>
        <w:adjustRightInd w:val="0"/>
        <w:snapToGrid w:val="0"/>
        <w:rPr>
          <w:snapToGrid w:val="0"/>
          <w:lang w:val="pt-PT"/>
        </w:rPr>
      </w:pPr>
    </w:p>
    <w:p w14:paraId="23140C99" w14:textId="1675E95E" w:rsidR="00162CE2" w:rsidRPr="00730741" w:rsidRDefault="00162CE2" w:rsidP="00730741">
      <w:pPr>
        <w:rPr>
          <w:b/>
          <w:bCs/>
          <w:snapToGrid w:val="0"/>
          <w:lang w:val="pt-PT"/>
        </w:rPr>
      </w:pPr>
      <w:r w:rsidRPr="00730741">
        <w:rPr>
          <w:b/>
          <w:bCs/>
          <w:snapToGrid w:val="0"/>
          <w:lang w:val="pt-PT"/>
        </w:rPr>
        <w:t xml:space="preserve">A administração de </w:t>
      </w:r>
      <w:r w:rsidR="00FB2483" w:rsidRPr="00730741">
        <w:rPr>
          <w:b/>
          <w:bCs/>
          <w:noProof/>
          <w:color w:val="000000"/>
          <w:lang w:val="fr-CA" w:eastAsia="ko-KR"/>
        </w:rPr>
        <w:t>Vegzelma</w:t>
      </w:r>
      <w:r w:rsidRPr="00730741">
        <w:rPr>
          <w:b/>
          <w:bCs/>
          <w:noProof/>
          <w:color w:val="000000"/>
          <w:lang w:val="fr-CA" w:eastAsia="ko-KR"/>
        </w:rPr>
        <w:t xml:space="preserve"> </w:t>
      </w:r>
      <w:r w:rsidRPr="00730741">
        <w:rPr>
          <w:b/>
          <w:bCs/>
          <w:snapToGrid w:val="0"/>
          <w:lang w:val="pt-PT"/>
        </w:rPr>
        <w:t>deve ser temporariamente interrompida</w:t>
      </w:r>
    </w:p>
    <w:p w14:paraId="2B8445D1" w14:textId="77777777" w:rsidR="00AF236D" w:rsidRPr="002606DB" w:rsidRDefault="00AF236D" w:rsidP="00730741">
      <w:pPr>
        <w:rPr>
          <w:snapToGrid w:val="0"/>
          <w:lang w:val="pt-PT"/>
        </w:rPr>
      </w:pPr>
    </w:p>
    <w:p w14:paraId="53341D80"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se desenvolver tensão arterial elevada grave, que necessite de tratamento com anti-hipertensores,</w:t>
      </w:r>
    </w:p>
    <w:p w14:paraId="115CA220"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se tiver problemas de cicatrização depois de uma cirurgia,</w:t>
      </w:r>
    </w:p>
    <w:p w14:paraId="29C46B4F"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se for submetido a uma cirurgia.</w:t>
      </w:r>
    </w:p>
    <w:p w14:paraId="6F558CB0" w14:textId="77777777" w:rsidR="00162CE2" w:rsidRPr="002606DB" w:rsidRDefault="00162CE2" w:rsidP="00056F35">
      <w:pPr>
        <w:pStyle w:val="a3"/>
        <w:adjustRightInd w:val="0"/>
        <w:snapToGrid w:val="0"/>
        <w:rPr>
          <w:snapToGrid w:val="0"/>
          <w:lang w:val="pt-PT"/>
        </w:rPr>
      </w:pPr>
    </w:p>
    <w:p w14:paraId="400337B8" w14:textId="44868148" w:rsidR="00162CE2" w:rsidRPr="00730741" w:rsidRDefault="00162CE2" w:rsidP="00730741">
      <w:pPr>
        <w:rPr>
          <w:b/>
          <w:bCs/>
          <w:snapToGrid w:val="0"/>
          <w:lang w:val="pt-PT"/>
        </w:rPr>
      </w:pPr>
      <w:r w:rsidRPr="00730741">
        <w:rPr>
          <w:b/>
          <w:bCs/>
          <w:snapToGrid w:val="0"/>
          <w:lang w:val="pt-PT"/>
        </w:rPr>
        <w:t xml:space="preserve">A administração de </w:t>
      </w:r>
      <w:r w:rsidR="00FB2483" w:rsidRPr="00730741">
        <w:rPr>
          <w:b/>
          <w:bCs/>
          <w:noProof/>
          <w:color w:val="000000"/>
          <w:lang w:val="fr-CA" w:eastAsia="ko-KR"/>
        </w:rPr>
        <w:t>Vegzelma</w:t>
      </w:r>
      <w:r w:rsidRPr="00730741">
        <w:rPr>
          <w:b/>
          <w:bCs/>
          <w:noProof/>
          <w:color w:val="000000"/>
          <w:lang w:val="fr-CA" w:eastAsia="ko-KR"/>
        </w:rPr>
        <w:t xml:space="preserve"> </w:t>
      </w:r>
      <w:r w:rsidRPr="00730741">
        <w:rPr>
          <w:b/>
          <w:bCs/>
          <w:snapToGrid w:val="0"/>
          <w:lang w:val="pt-PT"/>
        </w:rPr>
        <w:t>deve ser permanentemente interrompida se tiver</w:t>
      </w:r>
    </w:p>
    <w:p w14:paraId="53FE8CE9" w14:textId="77777777" w:rsidR="00AF236D" w:rsidRPr="002606DB" w:rsidRDefault="00AF236D" w:rsidP="00730741">
      <w:pPr>
        <w:rPr>
          <w:snapToGrid w:val="0"/>
          <w:lang w:val="pt-PT"/>
        </w:rPr>
      </w:pPr>
    </w:p>
    <w:p w14:paraId="567D6A61"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tensão arterial elevada grave não controlada pelos medicamentos anti-hipertensores; ou uma subida grave, súbita, da tensão arterial,</w:t>
      </w:r>
    </w:p>
    <w:p w14:paraId="2466F198"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presença de proteínas na urina, acompanhada por inchaço no seu corpo,</w:t>
      </w:r>
    </w:p>
    <w:p w14:paraId="1C4F0C58"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um orifício na parede do seu intestino,</w:t>
      </w:r>
    </w:p>
    <w:p w14:paraId="1F994152"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uma ligação ou passagem anormal, em forma de tubo, entre a traqueia e o esófago, entre órgãos internos e a pele, entre a vagina e quaisquer partes do intestino ou entre outros tecidos que não são normalmente conectados (fístula), e que seja considerada grave pelo seu médico,</w:t>
      </w:r>
    </w:p>
    <w:p w14:paraId="556BA6DA"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infeção grave da pele ou em camadas profundas debaixo da pele,</w:t>
      </w:r>
    </w:p>
    <w:p w14:paraId="1DECDEA7"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 coágulo de sangue nas suas artérias,</w:t>
      </w:r>
    </w:p>
    <w:p w14:paraId="23265DE6"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 coágulo nos vasos sanguíneos dos pulmões,</w:t>
      </w:r>
    </w:p>
    <w:p w14:paraId="11ED00FF"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uma hemorragia grave.</w:t>
      </w:r>
    </w:p>
    <w:p w14:paraId="4C4BF234" w14:textId="77777777" w:rsidR="00162CE2" w:rsidRPr="002606DB" w:rsidRDefault="00162CE2" w:rsidP="00056F35">
      <w:pPr>
        <w:pStyle w:val="a3"/>
        <w:adjustRightInd w:val="0"/>
        <w:snapToGrid w:val="0"/>
        <w:rPr>
          <w:snapToGrid w:val="0"/>
          <w:lang w:val="pt-PT"/>
        </w:rPr>
      </w:pPr>
    </w:p>
    <w:p w14:paraId="18979E3E" w14:textId="771A8197" w:rsidR="00162CE2" w:rsidRPr="00730741" w:rsidRDefault="00162CE2" w:rsidP="00730741">
      <w:pPr>
        <w:rPr>
          <w:b/>
          <w:bCs/>
          <w:noProof/>
          <w:color w:val="000000"/>
          <w:lang w:val="fr-CA" w:eastAsia="ko-KR"/>
        </w:rPr>
      </w:pPr>
      <w:r w:rsidRPr="00730741">
        <w:rPr>
          <w:b/>
          <w:bCs/>
          <w:snapToGrid w:val="0"/>
          <w:lang w:val="pt-PT"/>
        </w:rPr>
        <w:t xml:space="preserve">Se for administrada uma quantidade excessiva de </w:t>
      </w:r>
      <w:r w:rsidR="00FB2483" w:rsidRPr="00730741">
        <w:rPr>
          <w:b/>
          <w:bCs/>
          <w:noProof/>
          <w:color w:val="000000"/>
          <w:lang w:val="fr-CA" w:eastAsia="ko-KR"/>
        </w:rPr>
        <w:t>Vegzelma</w:t>
      </w:r>
    </w:p>
    <w:p w14:paraId="688FB248" w14:textId="77777777" w:rsidR="00AF236D" w:rsidRPr="002606DB" w:rsidRDefault="00AF236D" w:rsidP="00730741">
      <w:pPr>
        <w:rPr>
          <w:snapToGrid w:val="0"/>
          <w:lang w:val="pt-PT"/>
        </w:rPr>
      </w:pPr>
    </w:p>
    <w:p w14:paraId="0B9E72D7" w14:textId="77777777" w:rsidR="00162CE2" w:rsidRPr="002606DB" w:rsidRDefault="00162CE2" w:rsidP="00AF236D">
      <w:pPr>
        <w:pStyle w:val="a4"/>
        <w:keepNext/>
        <w:keepLines/>
        <w:widowControl/>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pode ter uma enxaqueca muito forte. Se isto acontecer contacte imediatamente o seu médico, farmacêutico ou enfermeiro.</w:t>
      </w:r>
    </w:p>
    <w:p w14:paraId="58A84C10" w14:textId="77777777" w:rsidR="00162CE2" w:rsidRPr="002606DB" w:rsidRDefault="00162CE2" w:rsidP="00056F35">
      <w:pPr>
        <w:pStyle w:val="a3"/>
        <w:adjustRightInd w:val="0"/>
        <w:snapToGrid w:val="0"/>
        <w:rPr>
          <w:snapToGrid w:val="0"/>
          <w:lang w:val="pt-PT"/>
        </w:rPr>
      </w:pPr>
    </w:p>
    <w:p w14:paraId="4B7AF73A" w14:textId="4EEA8746" w:rsidR="00162CE2" w:rsidRPr="00730741" w:rsidRDefault="00162CE2" w:rsidP="00730741">
      <w:pPr>
        <w:rPr>
          <w:b/>
          <w:bCs/>
          <w:noProof/>
          <w:color w:val="000000"/>
          <w:lang w:val="fr-CA" w:eastAsia="ko-KR"/>
        </w:rPr>
      </w:pPr>
      <w:r w:rsidRPr="00730741">
        <w:rPr>
          <w:b/>
          <w:bCs/>
          <w:snapToGrid w:val="0"/>
          <w:lang w:val="pt-PT"/>
        </w:rPr>
        <w:t xml:space="preserve">Se não for administrada uma dose de </w:t>
      </w:r>
      <w:r w:rsidR="00FB2483" w:rsidRPr="00730741">
        <w:rPr>
          <w:b/>
          <w:bCs/>
          <w:noProof/>
          <w:color w:val="000000"/>
          <w:lang w:val="fr-CA" w:eastAsia="ko-KR"/>
        </w:rPr>
        <w:t>Vegzelma</w:t>
      </w:r>
    </w:p>
    <w:p w14:paraId="4BECFAF9" w14:textId="77777777" w:rsidR="00AF236D" w:rsidRPr="002606DB" w:rsidRDefault="00AF236D" w:rsidP="00730741">
      <w:pPr>
        <w:rPr>
          <w:snapToGrid w:val="0"/>
          <w:lang w:val="pt-PT"/>
        </w:rPr>
      </w:pPr>
    </w:p>
    <w:p w14:paraId="476B37BF" w14:textId="1654675E"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 xml:space="preserve">o seu médico decidirá quando deve receber a próxima dose de </w:t>
      </w:r>
      <w:r w:rsidR="00FB2483">
        <w:rPr>
          <w:noProof/>
          <w:color w:val="000000"/>
          <w:lang w:val="fr-CA" w:eastAsia="ko-KR"/>
        </w:rPr>
        <w:t>Vegzelma</w:t>
      </w:r>
      <w:r w:rsidRPr="002606DB">
        <w:rPr>
          <w:snapToGrid w:val="0"/>
          <w:lang w:val="pt-PT"/>
        </w:rPr>
        <w:t>. Deve falar disso com o seu médico.</w:t>
      </w:r>
    </w:p>
    <w:p w14:paraId="774685C2" w14:textId="77777777" w:rsidR="00162CE2" w:rsidRPr="002606DB" w:rsidRDefault="00162CE2" w:rsidP="00056F35">
      <w:pPr>
        <w:pStyle w:val="a3"/>
        <w:adjustRightInd w:val="0"/>
        <w:snapToGrid w:val="0"/>
        <w:rPr>
          <w:snapToGrid w:val="0"/>
          <w:lang w:val="pt-PT"/>
        </w:rPr>
      </w:pPr>
    </w:p>
    <w:p w14:paraId="6786487A" w14:textId="3F0E39F2" w:rsidR="00162CE2" w:rsidRPr="00730741" w:rsidRDefault="00162CE2" w:rsidP="00730741">
      <w:pPr>
        <w:rPr>
          <w:b/>
          <w:bCs/>
          <w:snapToGrid w:val="0"/>
          <w:lang w:val="pt-PT"/>
        </w:rPr>
      </w:pPr>
      <w:r w:rsidRPr="00730741">
        <w:rPr>
          <w:b/>
          <w:bCs/>
          <w:snapToGrid w:val="0"/>
          <w:lang w:val="pt-PT"/>
        </w:rPr>
        <w:t xml:space="preserve">Se parar de tomar </w:t>
      </w:r>
      <w:r w:rsidR="00FB2483" w:rsidRPr="00730741">
        <w:rPr>
          <w:b/>
          <w:bCs/>
          <w:noProof/>
          <w:color w:val="000000"/>
          <w:lang w:val="fr-CA" w:eastAsia="ko-KR"/>
        </w:rPr>
        <w:t>Vegzelma</w:t>
      </w:r>
    </w:p>
    <w:p w14:paraId="7905D06D" w14:textId="77777777" w:rsidR="00AF236D" w:rsidRPr="002606DB" w:rsidRDefault="00AF236D" w:rsidP="00056F35">
      <w:pPr>
        <w:pStyle w:val="a3"/>
        <w:adjustRightInd w:val="0"/>
        <w:snapToGrid w:val="0"/>
        <w:rPr>
          <w:snapToGrid w:val="0"/>
          <w:lang w:val="pt-PT"/>
        </w:rPr>
      </w:pPr>
    </w:p>
    <w:p w14:paraId="25976AD4" w14:textId="4DBD5CBC" w:rsidR="00162CE2" w:rsidRPr="002606DB" w:rsidRDefault="00162CE2" w:rsidP="00056F35">
      <w:pPr>
        <w:pStyle w:val="a3"/>
        <w:adjustRightInd w:val="0"/>
        <w:snapToGrid w:val="0"/>
        <w:rPr>
          <w:snapToGrid w:val="0"/>
          <w:lang w:val="pt-PT"/>
        </w:rPr>
      </w:pPr>
      <w:r w:rsidRPr="002606DB">
        <w:rPr>
          <w:snapToGrid w:val="0"/>
          <w:lang w:val="pt-PT"/>
        </w:rPr>
        <w:t xml:space="preserve">Interromper o tratamento com </w:t>
      </w:r>
      <w:r w:rsidR="00FB2483">
        <w:rPr>
          <w:noProof/>
          <w:color w:val="000000"/>
          <w:lang w:val="en-GB" w:eastAsia="ko-KR"/>
        </w:rPr>
        <w:t>Vegzelma</w:t>
      </w:r>
      <w:r w:rsidRPr="002606DB">
        <w:rPr>
          <w:noProof/>
          <w:color w:val="000000"/>
          <w:lang w:val="en-GB" w:eastAsia="ko-KR"/>
        </w:rPr>
        <w:t xml:space="preserve"> </w:t>
      </w:r>
      <w:r w:rsidRPr="002606DB">
        <w:rPr>
          <w:snapToGrid w:val="0"/>
          <w:lang w:val="pt-PT"/>
        </w:rPr>
        <w:t xml:space="preserve">pode parar o seu efeito no crescimento do tumor. Não pare o tratamento com </w:t>
      </w:r>
      <w:r w:rsidR="00FB2483">
        <w:rPr>
          <w:noProof/>
          <w:color w:val="000000"/>
          <w:lang w:val="en-GB" w:eastAsia="ko-KR"/>
        </w:rPr>
        <w:t>Vegzelma</w:t>
      </w:r>
      <w:r w:rsidRPr="002606DB">
        <w:rPr>
          <w:noProof/>
          <w:color w:val="000000"/>
          <w:lang w:val="en-GB" w:eastAsia="ko-KR"/>
        </w:rPr>
        <w:t xml:space="preserve"> </w:t>
      </w:r>
      <w:r w:rsidRPr="002606DB">
        <w:rPr>
          <w:snapToGrid w:val="0"/>
          <w:lang w:val="pt-PT"/>
        </w:rPr>
        <w:t>exceto se o assunto tiver sido discutido com o seu médico.</w:t>
      </w:r>
    </w:p>
    <w:p w14:paraId="3CEA202E" w14:textId="77777777" w:rsidR="00162CE2" w:rsidRPr="002606DB" w:rsidRDefault="00162CE2" w:rsidP="00056F35">
      <w:pPr>
        <w:pStyle w:val="a3"/>
        <w:adjustRightInd w:val="0"/>
        <w:snapToGrid w:val="0"/>
        <w:rPr>
          <w:snapToGrid w:val="0"/>
          <w:lang w:val="pt-PT"/>
        </w:rPr>
      </w:pPr>
    </w:p>
    <w:p w14:paraId="7CE16464" w14:textId="77777777" w:rsidR="00162CE2" w:rsidRPr="002606DB" w:rsidRDefault="00162CE2" w:rsidP="00056F35">
      <w:pPr>
        <w:pStyle w:val="a3"/>
        <w:adjustRightInd w:val="0"/>
        <w:snapToGrid w:val="0"/>
        <w:rPr>
          <w:snapToGrid w:val="0"/>
          <w:lang w:val="pt-PT"/>
        </w:rPr>
      </w:pPr>
      <w:r w:rsidRPr="002606DB">
        <w:rPr>
          <w:snapToGrid w:val="0"/>
          <w:lang w:val="pt-PT"/>
        </w:rPr>
        <w:t>Caso ainda tenha dúvidas sobre a utilização deste medicamento, fale com o seu médico, farmacêutico ou enfermeiro.</w:t>
      </w:r>
    </w:p>
    <w:p w14:paraId="6DD54ECE" w14:textId="77777777" w:rsidR="00162CE2" w:rsidRPr="002606DB" w:rsidRDefault="00162CE2" w:rsidP="00056F35">
      <w:pPr>
        <w:pStyle w:val="a3"/>
        <w:adjustRightInd w:val="0"/>
        <w:snapToGrid w:val="0"/>
        <w:rPr>
          <w:snapToGrid w:val="0"/>
          <w:lang w:val="pt-PT"/>
        </w:rPr>
      </w:pPr>
    </w:p>
    <w:p w14:paraId="2B3D260E" w14:textId="77777777" w:rsidR="00162CE2" w:rsidRPr="002606DB" w:rsidRDefault="00162CE2" w:rsidP="00056F35">
      <w:pPr>
        <w:pStyle w:val="a3"/>
        <w:adjustRightInd w:val="0"/>
        <w:snapToGrid w:val="0"/>
        <w:rPr>
          <w:snapToGrid w:val="0"/>
          <w:lang w:val="pt-PT"/>
        </w:rPr>
      </w:pPr>
    </w:p>
    <w:p w14:paraId="63E9AC3E" w14:textId="75AB6156" w:rsidR="00162CE2" w:rsidRPr="00730741" w:rsidRDefault="00162CE2" w:rsidP="00730741">
      <w:pPr>
        <w:rPr>
          <w:b/>
          <w:bCs/>
          <w:snapToGrid w:val="0"/>
          <w:lang w:val="pt-PT"/>
        </w:rPr>
      </w:pPr>
      <w:r w:rsidRPr="00730741">
        <w:rPr>
          <w:b/>
          <w:bCs/>
          <w:snapToGrid w:val="0"/>
          <w:w w:val="101"/>
          <w:lang w:val="pt-PT"/>
        </w:rPr>
        <w:t>4.</w:t>
      </w:r>
      <w:r w:rsidRPr="00730741">
        <w:rPr>
          <w:b/>
          <w:bCs/>
          <w:snapToGrid w:val="0"/>
          <w:w w:val="101"/>
          <w:lang w:val="pt-PT"/>
        </w:rPr>
        <w:tab/>
      </w:r>
      <w:r w:rsidRPr="00730741">
        <w:rPr>
          <w:b/>
          <w:bCs/>
          <w:snapToGrid w:val="0"/>
          <w:lang w:val="pt-PT"/>
        </w:rPr>
        <w:t xml:space="preserve">Efeitos </w:t>
      </w:r>
      <w:r w:rsidR="0031064C" w:rsidRPr="00730741">
        <w:rPr>
          <w:b/>
          <w:bCs/>
          <w:snapToGrid w:val="0"/>
          <w:lang w:val="pt-PT"/>
        </w:rPr>
        <w:t>indesejáveis</w:t>
      </w:r>
      <w:r w:rsidRPr="00730741">
        <w:rPr>
          <w:b/>
          <w:bCs/>
          <w:snapToGrid w:val="0"/>
          <w:lang w:val="pt-PT"/>
        </w:rPr>
        <w:t xml:space="preserve"> possíveis</w:t>
      </w:r>
    </w:p>
    <w:p w14:paraId="1681B977" w14:textId="77777777" w:rsidR="00162CE2" w:rsidRPr="002606DB" w:rsidRDefault="00162CE2" w:rsidP="00056F35">
      <w:pPr>
        <w:pStyle w:val="a3"/>
        <w:adjustRightInd w:val="0"/>
        <w:snapToGrid w:val="0"/>
        <w:rPr>
          <w:b/>
          <w:snapToGrid w:val="0"/>
          <w:lang w:val="pt-PT"/>
        </w:rPr>
      </w:pPr>
    </w:p>
    <w:p w14:paraId="09B4D623" w14:textId="4AC21A00" w:rsidR="00162CE2" w:rsidRPr="002606DB" w:rsidRDefault="00162CE2" w:rsidP="00056F35">
      <w:pPr>
        <w:pStyle w:val="a3"/>
        <w:adjustRightInd w:val="0"/>
        <w:snapToGrid w:val="0"/>
        <w:rPr>
          <w:snapToGrid w:val="0"/>
          <w:lang w:val="pt-PT"/>
        </w:rPr>
      </w:pPr>
      <w:r w:rsidRPr="002606DB">
        <w:rPr>
          <w:snapToGrid w:val="0"/>
          <w:lang w:val="pt-PT"/>
        </w:rPr>
        <w:t xml:space="preserve">Como todos os medicamentos, este medicamento pode causar efeitos </w:t>
      </w:r>
      <w:r w:rsidR="002D3F16" w:rsidRPr="002D3F16">
        <w:rPr>
          <w:snapToGrid w:val="0"/>
          <w:lang w:val="pt-PT"/>
        </w:rPr>
        <w:t>indesejáveis</w:t>
      </w:r>
      <w:r w:rsidRPr="002606DB">
        <w:rPr>
          <w:snapToGrid w:val="0"/>
          <w:lang w:val="pt-PT"/>
        </w:rPr>
        <w:t>, embora estes não se manifestem em todas as pessoas.</w:t>
      </w:r>
    </w:p>
    <w:p w14:paraId="7987B043" w14:textId="77777777" w:rsidR="00162CE2" w:rsidRPr="002606DB" w:rsidRDefault="00162CE2" w:rsidP="00056F35">
      <w:pPr>
        <w:pStyle w:val="a3"/>
        <w:adjustRightInd w:val="0"/>
        <w:snapToGrid w:val="0"/>
        <w:rPr>
          <w:snapToGrid w:val="0"/>
          <w:lang w:val="pt-PT"/>
        </w:rPr>
      </w:pPr>
    </w:p>
    <w:p w14:paraId="6581F957" w14:textId="3D9D7DA8" w:rsidR="00162CE2" w:rsidRPr="002606DB" w:rsidRDefault="00162CE2" w:rsidP="00056F35">
      <w:pPr>
        <w:pStyle w:val="a3"/>
        <w:adjustRightInd w:val="0"/>
        <w:snapToGrid w:val="0"/>
        <w:rPr>
          <w:snapToGrid w:val="0"/>
          <w:lang w:val="pt-PT"/>
        </w:rPr>
      </w:pPr>
      <w:r w:rsidRPr="002606DB">
        <w:rPr>
          <w:snapToGrid w:val="0"/>
          <w:lang w:val="pt-PT"/>
        </w:rPr>
        <w:t xml:space="preserve">Se tiver quaisquer efeitos </w:t>
      </w:r>
      <w:r w:rsidR="00186385" w:rsidRPr="00186385">
        <w:rPr>
          <w:snapToGrid w:val="0"/>
          <w:lang w:val="pt-PT"/>
        </w:rPr>
        <w:t>indesejáveis</w:t>
      </w:r>
      <w:r w:rsidRPr="002606DB">
        <w:rPr>
          <w:snapToGrid w:val="0"/>
          <w:lang w:val="pt-PT"/>
        </w:rPr>
        <w:t xml:space="preserve"> incluindo possíveis efeitos </w:t>
      </w:r>
      <w:r w:rsidR="00D06665" w:rsidRPr="00186385">
        <w:rPr>
          <w:snapToGrid w:val="0"/>
          <w:lang w:val="pt-PT"/>
        </w:rPr>
        <w:t>indesejáveis</w:t>
      </w:r>
      <w:r w:rsidRPr="002606DB">
        <w:rPr>
          <w:snapToGrid w:val="0"/>
          <w:lang w:val="pt-PT"/>
        </w:rPr>
        <w:t xml:space="preserve"> não indicados neste folheto, fale com o seu médico, farmacêutico ou enfermeiro.</w:t>
      </w:r>
    </w:p>
    <w:p w14:paraId="46477A50" w14:textId="77777777" w:rsidR="00162CE2" w:rsidRPr="002606DB" w:rsidRDefault="00162CE2" w:rsidP="00056F35">
      <w:pPr>
        <w:adjustRightInd w:val="0"/>
        <w:snapToGrid w:val="0"/>
        <w:rPr>
          <w:snapToGrid w:val="0"/>
          <w:lang w:val="pt-PT"/>
        </w:rPr>
      </w:pPr>
    </w:p>
    <w:p w14:paraId="3F2C24A2" w14:textId="0CB56086" w:rsidR="00162CE2" w:rsidRPr="002606DB" w:rsidRDefault="00162CE2" w:rsidP="00056F35">
      <w:pPr>
        <w:pStyle w:val="a3"/>
        <w:adjustRightInd w:val="0"/>
        <w:snapToGrid w:val="0"/>
        <w:rPr>
          <w:snapToGrid w:val="0"/>
          <w:lang w:val="pt-PT"/>
        </w:rPr>
      </w:pPr>
      <w:r w:rsidRPr="002606DB">
        <w:rPr>
          <w:snapToGrid w:val="0"/>
          <w:lang w:val="pt-PT"/>
        </w:rPr>
        <w:t xml:space="preserve">Os efeitos </w:t>
      </w:r>
      <w:r w:rsidR="00D06665" w:rsidRPr="00186385">
        <w:rPr>
          <w:snapToGrid w:val="0"/>
          <w:lang w:val="pt-PT"/>
        </w:rPr>
        <w:t>indesejáveis</w:t>
      </w:r>
      <w:r w:rsidRPr="002606DB">
        <w:rPr>
          <w:snapToGrid w:val="0"/>
          <w:lang w:val="pt-PT"/>
        </w:rPr>
        <w:t xml:space="preserve"> abaixo descritos foram observados quando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 xml:space="preserve">foi administrado juntamente com quimioterapia. Isto não significa necessariamente que estes efeitos </w:t>
      </w:r>
      <w:r w:rsidR="00E37DB8" w:rsidRPr="007155C0">
        <w:rPr>
          <w:lang w:val="pt-PT"/>
        </w:rPr>
        <w:t>indesejáveis</w:t>
      </w:r>
      <w:r w:rsidRPr="002606DB">
        <w:rPr>
          <w:snapToGrid w:val="0"/>
          <w:lang w:val="pt-PT"/>
        </w:rPr>
        <w:t xml:space="preserve"> tenham sido causados unicamente pelo </w:t>
      </w:r>
      <w:r w:rsidR="00FB2483">
        <w:rPr>
          <w:noProof/>
          <w:color w:val="000000"/>
          <w:lang w:val="pt-PT" w:eastAsia="ko-KR"/>
        </w:rPr>
        <w:t>Vegzelma</w:t>
      </w:r>
      <w:r w:rsidRPr="002606DB">
        <w:rPr>
          <w:snapToGrid w:val="0"/>
          <w:lang w:val="pt-PT"/>
        </w:rPr>
        <w:t>.</w:t>
      </w:r>
    </w:p>
    <w:p w14:paraId="1B861EF7" w14:textId="77777777" w:rsidR="00162CE2" w:rsidRPr="002606DB" w:rsidRDefault="00162CE2" w:rsidP="00056F35">
      <w:pPr>
        <w:pStyle w:val="a3"/>
        <w:adjustRightInd w:val="0"/>
        <w:snapToGrid w:val="0"/>
        <w:rPr>
          <w:snapToGrid w:val="0"/>
          <w:lang w:val="pt-PT"/>
        </w:rPr>
      </w:pPr>
    </w:p>
    <w:p w14:paraId="035EA17B" w14:textId="77777777" w:rsidR="00162CE2" w:rsidRPr="00730741" w:rsidRDefault="00162CE2" w:rsidP="00730741">
      <w:pPr>
        <w:rPr>
          <w:b/>
          <w:bCs/>
          <w:snapToGrid w:val="0"/>
          <w:lang w:val="pt-PT"/>
        </w:rPr>
      </w:pPr>
      <w:r w:rsidRPr="00730741">
        <w:rPr>
          <w:b/>
          <w:bCs/>
          <w:snapToGrid w:val="0"/>
          <w:lang w:val="pt-PT"/>
        </w:rPr>
        <w:t>Reações alérgicas</w:t>
      </w:r>
    </w:p>
    <w:p w14:paraId="4E7807E5" w14:textId="77777777" w:rsidR="00AF236D" w:rsidRPr="002606DB" w:rsidRDefault="00AF236D" w:rsidP="00056F35">
      <w:pPr>
        <w:pStyle w:val="a3"/>
        <w:adjustRightInd w:val="0"/>
        <w:snapToGrid w:val="0"/>
        <w:jc w:val="both"/>
        <w:rPr>
          <w:snapToGrid w:val="0"/>
          <w:lang w:val="pt-PT"/>
        </w:rPr>
      </w:pPr>
    </w:p>
    <w:p w14:paraId="6065A48D" w14:textId="192AC7F3" w:rsidR="00162CE2" w:rsidRPr="002606DB" w:rsidRDefault="00162CE2" w:rsidP="00056F35">
      <w:pPr>
        <w:pStyle w:val="a3"/>
        <w:adjustRightInd w:val="0"/>
        <w:snapToGrid w:val="0"/>
        <w:jc w:val="both"/>
        <w:rPr>
          <w:snapToGrid w:val="0"/>
          <w:lang w:val="pt-PT"/>
        </w:rPr>
      </w:pPr>
      <w:r w:rsidRPr="002606DB">
        <w:rPr>
          <w:snapToGrid w:val="0"/>
          <w:lang w:val="pt-PT"/>
        </w:rPr>
        <w:t>Se tiver uma reação alérgica, informe de imediato o seu médico ou um elemento da equipa médica. Os sinais podem incluir: dificuldade em respirar ou dor no peito. Poderá também ter vermelhidão ou rubor da pele ou erupção cutânea, arrepios e calafrios, mau estar (náuseas) ou má disposição (vómitos)</w:t>
      </w:r>
      <w:r w:rsidR="006E43D7" w:rsidRPr="00DD6A90">
        <w:rPr>
          <w:lang w:val="pt-PT"/>
        </w:rPr>
        <w:t>, tumefação, atordoamento, batimento cardíaco rápido e perda de consciência</w:t>
      </w:r>
      <w:r w:rsidRPr="002606DB">
        <w:rPr>
          <w:snapToGrid w:val="0"/>
          <w:lang w:val="pt-PT"/>
        </w:rPr>
        <w:t>.</w:t>
      </w:r>
    </w:p>
    <w:p w14:paraId="3666B041" w14:textId="77777777" w:rsidR="00162CE2" w:rsidRPr="002606DB" w:rsidRDefault="00162CE2" w:rsidP="00056F35">
      <w:pPr>
        <w:pStyle w:val="a3"/>
        <w:adjustRightInd w:val="0"/>
        <w:snapToGrid w:val="0"/>
        <w:rPr>
          <w:snapToGrid w:val="0"/>
          <w:lang w:val="pt-PT"/>
        </w:rPr>
      </w:pPr>
    </w:p>
    <w:p w14:paraId="1C849132" w14:textId="56AA13F5" w:rsidR="00162CE2" w:rsidRPr="00730741" w:rsidRDefault="00162CE2" w:rsidP="00730741">
      <w:pPr>
        <w:rPr>
          <w:b/>
          <w:bCs/>
          <w:snapToGrid w:val="0"/>
          <w:lang w:val="pt-PT"/>
        </w:rPr>
      </w:pPr>
      <w:r w:rsidRPr="00730741">
        <w:rPr>
          <w:b/>
          <w:bCs/>
          <w:snapToGrid w:val="0"/>
          <w:lang w:val="pt-PT"/>
        </w:rPr>
        <w:t xml:space="preserve">Deve procurar ajuda imediatamente se tiver algum dos efeitos </w:t>
      </w:r>
      <w:r w:rsidR="008F2876" w:rsidRPr="00730741">
        <w:rPr>
          <w:b/>
          <w:bCs/>
          <w:snapToGrid w:val="0"/>
          <w:lang w:val="pt-PT"/>
        </w:rPr>
        <w:t>indesejáveis</w:t>
      </w:r>
      <w:r w:rsidRPr="00730741">
        <w:rPr>
          <w:b/>
          <w:bCs/>
          <w:snapToGrid w:val="0"/>
          <w:lang w:val="pt-PT"/>
        </w:rPr>
        <w:t xml:space="preserve"> abaixo descritos</w:t>
      </w:r>
      <w:r w:rsidR="00D53C98" w:rsidRPr="00730741">
        <w:rPr>
          <w:b/>
          <w:bCs/>
          <w:snapToGrid w:val="0"/>
          <w:lang w:val="pt-PT"/>
        </w:rPr>
        <w:t xml:space="preserve"> abaixo</w:t>
      </w:r>
      <w:r w:rsidRPr="00730741">
        <w:rPr>
          <w:b/>
          <w:bCs/>
          <w:snapToGrid w:val="0"/>
          <w:lang w:val="pt-PT"/>
        </w:rPr>
        <w:t>.</w:t>
      </w:r>
    </w:p>
    <w:p w14:paraId="24C2EE01" w14:textId="77777777" w:rsidR="00162CE2" w:rsidRPr="002606DB" w:rsidRDefault="00162CE2" w:rsidP="00056F35">
      <w:pPr>
        <w:pStyle w:val="a3"/>
        <w:adjustRightInd w:val="0"/>
        <w:snapToGrid w:val="0"/>
        <w:rPr>
          <w:b/>
          <w:snapToGrid w:val="0"/>
          <w:lang w:val="pt-PT"/>
        </w:rPr>
      </w:pPr>
    </w:p>
    <w:p w14:paraId="653150BC" w14:textId="6EFDD66D" w:rsidR="00162CE2" w:rsidRPr="002606DB" w:rsidRDefault="00162CE2" w:rsidP="00056F35">
      <w:pPr>
        <w:pStyle w:val="a3"/>
        <w:adjustRightInd w:val="0"/>
        <w:snapToGrid w:val="0"/>
        <w:rPr>
          <w:snapToGrid w:val="0"/>
          <w:lang w:val="pt-PT"/>
        </w:rPr>
      </w:pPr>
      <w:r w:rsidRPr="002606DB">
        <w:rPr>
          <w:snapToGrid w:val="0"/>
          <w:lang w:val="pt-PT"/>
        </w:rPr>
        <w:t xml:space="preserve">Efeitos </w:t>
      </w:r>
      <w:r w:rsidR="00682ECB" w:rsidRPr="007155C0">
        <w:rPr>
          <w:lang w:val="pt-PT"/>
        </w:rPr>
        <w:t>indesejáveis</w:t>
      </w:r>
      <w:r w:rsidRPr="002606DB">
        <w:rPr>
          <w:snapToGrid w:val="0"/>
          <w:lang w:val="pt-PT"/>
        </w:rPr>
        <w:t xml:space="preserve"> graves, que podem ser </w:t>
      </w:r>
      <w:r w:rsidRPr="002606DB">
        <w:rPr>
          <w:b/>
          <w:snapToGrid w:val="0"/>
          <w:lang w:val="pt-PT"/>
        </w:rPr>
        <w:t xml:space="preserve">muito frequentes </w:t>
      </w:r>
      <w:r w:rsidRPr="002606DB">
        <w:rPr>
          <w:snapToGrid w:val="0"/>
          <w:lang w:val="pt-PT"/>
        </w:rPr>
        <w:t>(</w:t>
      </w:r>
      <w:r w:rsidR="00376229" w:rsidRPr="007155C0">
        <w:rPr>
          <w:lang w:val="pt-PT"/>
        </w:rPr>
        <w:t>podem</w:t>
      </w:r>
      <w:r w:rsidR="00376229" w:rsidRPr="002606DB">
        <w:rPr>
          <w:snapToGrid w:val="0"/>
          <w:lang w:val="pt-PT"/>
        </w:rPr>
        <w:t xml:space="preserve"> </w:t>
      </w:r>
      <w:r w:rsidRPr="002606DB">
        <w:rPr>
          <w:snapToGrid w:val="0"/>
          <w:lang w:val="pt-PT"/>
        </w:rPr>
        <w:t>afeta</w:t>
      </w:r>
      <w:r w:rsidR="00AA0D3B">
        <w:rPr>
          <w:snapToGrid w:val="0"/>
          <w:lang w:val="pt-PT"/>
        </w:rPr>
        <w:t>r</w:t>
      </w:r>
      <w:r w:rsidRPr="002606DB">
        <w:rPr>
          <w:snapToGrid w:val="0"/>
          <w:lang w:val="pt-PT"/>
        </w:rPr>
        <w:t xml:space="preserve"> mais de 1 em cada 10</w:t>
      </w:r>
      <w:r w:rsidR="009F3AEF" w:rsidRPr="007155C0">
        <w:rPr>
          <w:lang w:val="pt-PT"/>
        </w:rPr>
        <w:t xml:space="preserve"> </w:t>
      </w:r>
      <w:r w:rsidR="009F3AEF" w:rsidRPr="009F3AEF">
        <w:rPr>
          <w:snapToGrid w:val="0"/>
          <w:lang w:val="pt-PT"/>
        </w:rPr>
        <w:t>pessoas</w:t>
      </w:r>
      <w:r w:rsidRPr="002606DB">
        <w:rPr>
          <w:snapToGrid w:val="0"/>
          <w:lang w:val="pt-PT"/>
        </w:rPr>
        <w:t>), incluem:</w:t>
      </w:r>
    </w:p>
    <w:p w14:paraId="2FF33B3A"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tensão arterial elevada,</w:t>
      </w:r>
    </w:p>
    <w:p w14:paraId="2133EE5F"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sensação de adormecimento ou formigueiro das mãos ou pés,</w:t>
      </w:r>
    </w:p>
    <w:p w14:paraId="604C853B"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diminuição do número de células sanguíneas, incluindo glóbulos brancos, que ajudam a combater infeções (pode ser acompanhado de febre), e células que ajudam na coagulação do sangue,</w:t>
      </w:r>
    </w:p>
    <w:p w14:paraId="72A016A6"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sentir-se fraco ou sem energia,</w:t>
      </w:r>
    </w:p>
    <w:p w14:paraId="0291E5EE"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cansaço,</w:t>
      </w:r>
    </w:p>
    <w:p w14:paraId="322E863F"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diarreia, náusea, vómito e dor abdominal.</w:t>
      </w:r>
    </w:p>
    <w:p w14:paraId="3DE0EDDD" w14:textId="77777777" w:rsidR="00162CE2" w:rsidRPr="002606DB" w:rsidRDefault="00162CE2" w:rsidP="00056F35">
      <w:pPr>
        <w:pStyle w:val="a3"/>
        <w:adjustRightInd w:val="0"/>
        <w:snapToGrid w:val="0"/>
        <w:rPr>
          <w:snapToGrid w:val="0"/>
          <w:lang w:val="pt-PT"/>
        </w:rPr>
      </w:pPr>
    </w:p>
    <w:p w14:paraId="791212FF" w14:textId="1938899A" w:rsidR="00162CE2" w:rsidRPr="002606DB" w:rsidRDefault="00162CE2" w:rsidP="00056F35">
      <w:pPr>
        <w:pStyle w:val="a3"/>
        <w:adjustRightInd w:val="0"/>
        <w:snapToGrid w:val="0"/>
        <w:rPr>
          <w:snapToGrid w:val="0"/>
          <w:lang w:val="pt-PT"/>
        </w:rPr>
      </w:pPr>
      <w:r w:rsidRPr="002606DB">
        <w:rPr>
          <w:snapToGrid w:val="0"/>
          <w:lang w:val="pt-PT"/>
        </w:rPr>
        <w:t xml:space="preserve">Efeitos </w:t>
      </w:r>
      <w:r w:rsidR="00407EE7" w:rsidRPr="00407EE7">
        <w:rPr>
          <w:snapToGrid w:val="0"/>
          <w:lang w:val="pt-PT"/>
        </w:rPr>
        <w:t>indesejáveis</w:t>
      </w:r>
      <w:r w:rsidRPr="002606DB">
        <w:rPr>
          <w:snapToGrid w:val="0"/>
          <w:lang w:val="pt-PT"/>
        </w:rPr>
        <w:t xml:space="preserve"> graves, que podem ser </w:t>
      </w:r>
      <w:r w:rsidRPr="002606DB">
        <w:rPr>
          <w:b/>
          <w:snapToGrid w:val="0"/>
          <w:lang w:val="pt-PT"/>
        </w:rPr>
        <w:t xml:space="preserve">frequentes </w:t>
      </w:r>
      <w:r w:rsidRPr="002606DB">
        <w:rPr>
          <w:snapToGrid w:val="0"/>
          <w:lang w:val="pt-PT"/>
        </w:rPr>
        <w:t>(</w:t>
      </w:r>
      <w:r w:rsidR="000E169F" w:rsidRPr="007155C0">
        <w:rPr>
          <w:lang w:val="pt-PT"/>
        </w:rPr>
        <w:t>podem afetar até</w:t>
      </w:r>
      <w:r w:rsidRPr="002606DB">
        <w:rPr>
          <w:snapToGrid w:val="0"/>
          <w:lang w:val="pt-PT"/>
        </w:rPr>
        <w:t xml:space="preserve"> 1 </w:t>
      </w:r>
      <w:r w:rsidR="009641F2" w:rsidRPr="007155C0">
        <w:rPr>
          <w:lang w:val="pt-PT"/>
        </w:rPr>
        <w:t>em cada</w:t>
      </w:r>
      <w:r w:rsidRPr="002606DB">
        <w:rPr>
          <w:snapToGrid w:val="0"/>
          <w:lang w:val="pt-PT"/>
        </w:rPr>
        <w:t xml:space="preserve"> 10 </w:t>
      </w:r>
      <w:r w:rsidR="00BB0A9D" w:rsidRPr="007155C0">
        <w:rPr>
          <w:lang w:val="pt-PT"/>
        </w:rPr>
        <w:t>pessoas</w:t>
      </w:r>
      <w:r w:rsidRPr="002606DB">
        <w:rPr>
          <w:snapToGrid w:val="0"/>
          <w:lang w:val="pt-PT"/>
        </w:rPr>
        <w:t>), incluem:</w:t>
      </w:r>
    </w:p>
    <w:p w14:paraId="456FA710"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perfuração intestinal,</w:t>
      </w:r>
    </w:p>
    <w:p w14:paraId="6768F657"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hemorragia, incluindo hemorragia dos pulmões em doentes com cancro do pulmão de células não pequenas,</w:t>
      </w:r>
    </w:p>
    <w:p w14:paraId="40BF462A"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lastRenderedPageBreak/>
        <w:t></w:t>
      </w:r>
      <w:r w:rsidRPr="007155C0">
        <w:rPr>
          <w:rFonts w:ascii="Symbol" w:hAnsi="Symbol" w:cs="Symbol"/>
          <w:snapToGrid w:val="0"/>
          <w:w w:val="101"/>
          <w:lang w:val="fr-CA"/>
        </w:rPr>
        <w:tab/>
      </w:r>
      <w:r w:rsidRPr="002606DB">
        <w:rPr>
          <w:snapToGrid w:val="0"/>
          <w:lang w:val="pt-PT"/>
        </w:rPr>
        <w:t>bloqueio de artérias por um coágulo sanguíneo,</w:t>
      </w:r>
    </w:p>
    <w:p w14:paraId="04F39BF1"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bloqueio das veias por um coágulo sanguíneo,</w:t>
      </w:r>
    </w:p>
    <w:p w14:paraId="10B2287F"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1C687C">
        <w:rPr>
          <w:rFonts w:ascii="Symbol" w:hAnsi="Symbol" w:cs="Symbol"/>
          <w:snapToGrid w:val="0"/>
          <w:w w:val="101"/>
          <w:lang w:val="pt-PT"/>
        </w:rPr>
        <w:tab/>
      </w:r>
      <w:r w:rsidRPr="002606DB">
        <w:rPr>
          <w:snapToGrid w:val="0"/>
          <w:lang w:val="pt-PT"/>
        </w:rPr>
        <w:t>bloqueio dos vasos sanguíneos dos pulmões por um coágulo sanguíneo,</w:t>
      </w:r>
    </w:p>
    <w:p w14:paraId="1DC84F9A"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bloqueio das veias das pernas por um coágulo sanguíneo,</w:t>
      </w:r>
    </w:p>
    <w:p w14:paraId="28A29B04"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insuficiência cardíaca,</w:t>
      </w:r>
    </w:p>
    <w:p w14:paraId="0121BAA7"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problemas de cicatrização de feridas após cirurgia,</w:t>
      </w:r>
    </w:p>
    <w:p w14:paraId="0602561D"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vermelhidão, descamação, sensibilidade ao toque, dor ou formação de bolhas nos dedos ou pés,</w:t>
      </w:r>
    </w:p>
    <w:p w14:paraId="22AE47EB"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diminuição do número de glóbulos vermelhos no sangue,</w:t>
      </w:r>
    </w:p>
    <w:p w14:paraId="1309B5E2"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falta de energia,</w:t>
      </w:r>
    </w:p>
    <w:p w14:paraId="7693596E"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afeções intestinais e do estômago,</w:t>
      </w:r>
    </w:p>
    <w:p w14:paraId="0DDACD9C"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dor muscular e nas articulações, fraqueza muscular,</w:t>
      </w:r>
    </w:p>
    <w:p w14:paraId="1E0E801D"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boca seca associada a sede e/ou diminuição do volume ou escurecimento da urina,</w:t>
      </w:r>
    </w:p>
    <w:p w14:paraId="2D5592FB"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inflamação do revestimento húmido interior da boca e do intestino, pulmões e passagens de ar, tratos reprodutor e urinário,</w:t>
      </w:r>
    </w:p>
    <w:p w14:paraId="46F474BC"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feridas na boca e no tubo da boca até ao estômago, que poderão ser dolorosas e causar dificuldade em engolir,</w:t>
      </w:r>
    </w:p>
    <w:p w14:paraId="2B2F2A10"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dor, incluindo dor de cabeça, dor de costas e dor na pélvis e região anal,</w:t>
      </w:r>
    </w:p>
    <w:p w14:paraId="4B6D7284"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acumulação localizada de pus,</w:t>
      </w:r>
    </w:p>
    <w:p w14:paraId="40CF0F77"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infeção, em particular infeção no sangue ou na bexiga,</w:t>
      </w:r>
    </w:p>
    <w:p w14:paraId="62911614"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redução da circulação de sangue no cérebro ou acidente vascular cerebral,</w:t>
      </w:r>
    </w:p>
    <w:p w14:paraId="7308F2E6"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sonolência,</w:t>
      </w:r>
    </w:p>
    <w:p w14:paraId="395B6880"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hemorragia nasal,</w:t>
      </w:r>
    </w:p>
    <w:p w14:paraId="02C4D597"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aumento do ritmo cardíaco (pulso),</w:t>
      </w:r>
    </w:p>
    <w:p w14:paraId="5442A239"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obstrução no intestino,</w:t>
      </w:r>
    </w:p>
    <w:p w14:paraId="1B565089"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resultados anormais no teste da urina (proteínas na urina),</w:t>
      </w:r>
    </w:p>
    <w:p w14:paraId="595C4A7F"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dificuldades respiratórias ou baixos níveis de oxigénio no sangue,</w:t>
      </w:r>
    </w:p>
    <w:p w14:paraId="44A2C2DA" w14:textId="77777777" w:rsidR="00162CE2" w:rsidRPr="002606DB" w:rsidRDefault="00162CE2" w:rsidP="0060524C">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infeções da pele ou camadas mais profundas debaixo da pele,</w:t>
      </w:r>
    </w:p>
    <w:p w14:paraId="19F8AA3F" w14:textId="2903A9B8" w:rsidR="00CA5E1C" w:rsidRDefault="00162CE2" w:rsidP="00CA5E1C">
      <w:pPr>
        <w:pStyle w:val="a4"/>
        <w:adjustRightInd w:val="0"/>
        <w:snapToGrid w:val="0"/>
        <w:ind w:left="567" w:hanging="567"/>
        <w:rPr>
          <w:snapToGrid w:val="0"/>
          <w:lang w:val="pt-PT"/>
        </w:rPr>
      </w:pPr>
      <w:r w:rsidRPr="002606DB">
        <w:rPr>
          <w:rFonts w:ascii="Symbol" w:hAnsi="Symbol" w:cs="Symbol"/>
          <w:snapToGrid w:val="0"/>
          <w:w w:val="101"/>
        </w:rPr>
        <w:t></w:t>
      </w:r>
      <w:r w:rsidRPr="002606DB">
        <w:rPr>
          <w:snapToGrid w:val="0"/>
          <w:lang w:val="pt-PT"/>
        </w:rPr>
        <w:tab/>
        <w:t>fístula: uma ligação anormal, em forma de tubo, entre órgãos internos e a pele ou outros tecidos que não estão normalmente ligados, incluindo ligações entre a vagina e o intestino em doentes com cancro do colo do útero</w:t>
      </w:r>
      <w:r w:rsidR="00ED715D" w:rsidRPr="002606DB">
        <w:rPr>
          <w:snapToGrid w:val="0"/>
          <w:lang w:val="pt-PT"/>
        </w:rPr>
        <w:t>,</w:t>
      </w:r>
    </w:p>
    <w:p w14:paraId="6BD106E2" w14:textId="077E791B" w:rsidR="00CA5E1C" w:rsidRPr="002606DB" w:rsidRDefault="00CA5E1C" w:rsidP="00237607">
      <w:pPr>
        <w:pStyle w:val="a4"/>
        <w:numPr>
          <w:ilvl w:val="0"/>
          <w:numId w:val="15"/>
        </w:numPr>
        <w:adjustRightInd w:val="0"/>
        <w:snapToGrid w:val="0"/>
        <w:ind w:left="567" w:hanging="567"/>
        <w:rPr>
          <w:snapToGrid w:val="0"/>
          <w:lang w:val="pt-PT"/>
        </w:rPr>
      </w:pPr>
      <w:r w:rsidRPr="00CA5E1C">
        <w:rPr>
          <w:snapToGrid w:val="0"/>
          <w:lang w:val="pt-PT"/>
        </w:rPr>
        <w:t>reações alérgicas (os sinais podem incluir dificuldade em respirar, vermelhidão da face, erupção</w:t>
      </w:r>
      <w:r>
        <w:rPr>
          <w:snapToGrid w:val="0"/>
          <w:lang w:val="pt-PT"/>
        </w:rPr>
        <w:t xml:space="preserve"> </w:t>
      </w:r>
      <w:r w:rsidRPr="00CA5E1C">
        <w:rPr>
          <w:snapToGrid w:val="0"/>
          <w:lang w:val="pt-PT"/>
        </w:rPr>
        <w:t>da pele, tensão arterial baixa ou tensão arterial elevada, oxigénio baixo no seu sangue, dor</w:t>
      </w:r>
      <w:r>
        <w:rPr>
          <w:snapToGrid w:val="0"/>
          <w:lang w:val="pt-PT"/>
        </w:rPr>
        <w:t xml:space="preserve"> </w:t>
      </w:r>
      <w:r w:rsidRPr="00CA5E1C">
        <w:rPr>
          <w:snapToGrid w:val="0"/>
          <w:lang w:val="pt-PT"/>
        </w:rPr>
        <w:t>torácica, ou náuseas/vómitos).</w:t>
      </w:r>
    </w:p>
    <w:p w14:paraId="07B5C9CF" w14:textId="399048CC" w:rsidR="00162CE2" w:rsidRDefault="00162CE2" w:rsidP="00056F35">
      <w:pPr>
        <w:pStyle w:val="a3"/>
        <w:adjustRightInd w:val="0"/>
        <w:snapToGrid w:val="0"/>
        <w:rPr>
          <w:snapToGrid w:val="0"/>
          <w:lang w:val="pt-PT"/>
        </w:rPr>
      </w:pPr>
    </w:p>
    <w:p w14:paraId="22AAC46A" w14:textId="77777777" w:rsidR="00CA5E1C" w:rsidRPr="00CA5E1C" w:rsidRDefault="00CA5E1C" w:rsidP="00CA5E1C">
      <w:pPr>
        <w:pStyle w:val="a3"/>
        <w:adjustRightInd w:val="0"/>
        <w:snapToGrid w:val="0"/>
        <w:rPr>
          <w:snapToGrid w:val="0"/>
          <w:lang w:val="pt-PT"/>
        </w:rPr>
      </w:pPr>
      <w:r w:rsidRPr="00CA5E1C">
        <w:rPr>
          <w:snapToGrid w:val="0"/>
          <w:lang w:val="pt-PT"/>
        </w:rPr>
        <w:t>Efeitos indesejáveis graves, que podem ser</w:t>
      </w:r>
      <w:r w:rsidRPr="00DD6A90">
        <w:rPr>
          <w:b/>
          <w:bCs/>
          <w:snapToGrid w:val="0"/>
          <w:lang w:val="pt-PT"/>
        </w:rPr>
        <w:t xml:space="preserve"> raros</w:t>
      </w:r>
      <w:r w:rsidRPr="00CA5E1C">
        <w:rPr>
          <w:snapToGrid w:val="0"/>
          <w:lang w:val="pt-PT"/>
        </w:rPr>
        <w:t xml:space="preserve"> (podem afetar até 1 em cada 1000 pessoas), incluem:</w:t>
      </w:r>
    </w:p>
    <w:p w14:paraId="5CFEC1E6" w14:textId="5195F30E" w:rsidR="00CA5E1C" w:rsidRDefault="00CA5E1C" w:rsidP="00237607">
      <w:pPr>
        <w:pStyle w:val="a3"/>
        <w:numPr>
          <w:ilvl w:val="0"/>
          <w:numId w:val="16"/>
        </w:numPr>
        <w:adjustRightInd w:val="0"/>
        <w:snapToGrid w:val="0"/>
        <w:ind w:left="567" w:hanging="567"/>
        <w:rPr>
          <w:snapToGrid w:val="0"/>
          <w:lang w:val="pt-PT"/>
        </w:rPr>
      </w:pPr>
      <w:r w:rsidRPr="00CA5E1C">
        <w:rPr>
          <w:snapToGrid w:val="0"/>
          <w:lang w:val="pt-PT"/>
        </w:rPr>
        <w:t>reação alérgica grave e súbita, com dificuldade em respirar, tumefação, atordoamento,</w:t>
      </w:r>
      <w:r>
        <w:rPr>
          <w:snapToGrid w:val="0"/>
          <w:lang w:val="pt-PT"/>
        </w:rPr>
        <w:t xml:space="preserve"> </w:t>
      </w:r>
      <w:r w:rsidRPr="00CA5E1C">
        <w:rPr>
          <w:snapToGrid w:val="0"/>
          <w:lang w:val="pt-PT"/>
        </w:rPr>
        <w:t>batimento cardíaco rápido, sudorese e perda de consciência (choque anafilático).</w:t>
      </w:r>
    </w:p>
    <w:p w14:paraId="1B89AB33" w14:textId="77777777" w:rsidR="00CA5E1C" w:rsidRPr="002606DB" w:rsidRDefault="00CA5E1C" w:rsidP="00056F35">
      <w:pPr>
        <w:pStyle w:val="a3"/>
        <w:adjustRightInd w:val="0"/>
        <w:snapToGrid w:val="0"/>
        <w:rPr>
          <w:snapToGrid w:val="0"/>
          <w:lang w:val="pt-PT"/>
        </w:rPr>
      </w:pPr>
    </w:p>
    <w:p w14:paraId="640BAC71" w14:textId="0C92CA58" w:rsidR="00162CE2" w:rsidRPr="002606DB" w:rsidRDefault="00162CE2" w:rsidP="00056F35">
      <w:pPr>
        <w:pStyle w:val="a3"/>
        <w:adjustRightInd w:val="0"/>
        <w:snapToGrid w:val="0"/>
        <w:rPr>
          <w:snapToGrid w:val="0"/>
          <w:lang w:val="pt-PT"/>
        </w:rPr>
      </w:pPr>
      <w:r w:rsidRPr="002606DB">
        <w:rPr>
          <w:snapToGrid w:val="0"/>
          <w:lang w:val="pt-PT"/>
        </w:rPr>
        <w:t xml:space="preserve">Efeitos </w:t>
      </w:r>
      <w:r w:rsidR="001B2CB1" w:rsidRPr="007155C0">
        <w:rPr>
          <w:lang w:val="fr-CA"/>
        </w:rPr>
        <w:t>indesejáveis</w:t>
      </w:r>
      <w:r w:rsidRPr="002606DB">
        <w:rPr>
          <w:snapToGrid w:val="0"/>
          <w:lang w:val="pt-PT"/>
        </w:rPr>
        <w:t xml:space="preserve"> graves de frequência </w:t>
      </w:r>
      <w:r w:rsidRPr="002606DB">
        <w:rPr>
          <w:b/>
          <w:snapToGrid w:val="0"/>
          <w:lang w:val="pt-PT"/>
        </w:rPr>
        <w:t xml:space="preserve">desconhecida </w:t>
      </w:r>
      <w:r w:rsidRPr="002606DB">
        <w:rPr>
          <w:snapToGrid w:val="0"/>
          <w:lang w:val="pt-PT"/>
        </w:rPr>
        <w:t>(a frequência não pode ser calculada a partir dos dados disponíveis) incluem:</w:t>
      </w:r>
    </w:p>
    <w:p w14:paraId="5FE50FDA" w14:textId="7E576513"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infeções graves da pele ou em camadas profundas debaixo da pele, especialmente se tinha perfurações na parede do intestino ou problemas de cicatrização de feridas,</w:t>
      </w:r>
    </w:p>
    <w:p w14:paraId="719E0957"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 efeito negativo na capacidade das mulheres em ter filhos (ver nos parágrafos abaixo a lista de recomendações adicionais),</w:t>
      </w:r>
    </w:p>
    <w:p w14:paraId="56D94511"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uma condição no cérebro com sintomas que incluem convulsões (ataques), dor de cabeça, confusão e alterações na visão (Síndrome de Encefalopatia Posterior Reversível ou SEPR),</w:t>
      </w:r>
    </w:p>
    <w:p w14:paraId="683B7DC2" w14:textId="79CD7366"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sintomas que sugerem alterações na função normal do cérebro (dores de cabeça, alterações da visão, confusão ou convulsões) e tensão arterial elevada,</w:t>
      </w:r>
    </w:p>
    <w:p w14:paraId="4D545A7C" w14:textId="6968FEB6"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uma dilatação ou enfraquecimento da parede de um vaso sanguíneo ou uma rotura da parede de um vaso sanguíneo (aneurismas e dissecções das artérias)</w:t>
      </w:r>
      <w:r w:rsidR="00353AB5" w:rsidRPr="002606DB">
        <w:rPr>
          <w:snapToGrid w:val="0"/>
          <w:lang w:val="pt-PT"/>
        </w:rPr>
        <w:t>,</w:t>
      </w:r>
    </w:p>
    <w:p w14:paraId="38202D2D"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bloqueio de vasos sanguíneos muito pequenos no rim,</w:t>
      </w:r>
    </w:p>
    <w:p w14:paraId="4571E0ED" w14:textId="6AA03342"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tensão arterial anormalmente elevada nos vasos sanguíneos dos pulmões</w:t>
      </w:r>
      <w:r w:rsidR="00EC66F0" w:rsidRPr="002606DB">
        <w:rPr>
          <w:snapToGrid w:val="0"/>
          <w:lang w:val="pt-PT"/>
        </w:rPr>
        <w:t>,</w:t>
      </w:r>
      <w:r w:rsidRPr="002606DB">
        <w:rPr>
          <w:snapToGrid w:val="0"/>
          <w:lang w:val="pt-PT"/>
        </w:rPr>
        <w:t xml:space="preserve"> que faz com que o lado direito do coração trabalhe mais do que o normal,</w:t>
      </w:r>
    </w:p>
    <w:p w14:paraId="3CCECC2C"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uma perfuração na parede de cartilagem que separa as narinas,</w:t>
      </w:r>
    </w:p>
    <w:p w14:paraId="647B9949"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uma perfuração no estômago ou nos intestinos,</w:t>
      </w:r>
    </w:p>
    <w:p w14:paraId="74B47589"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lastRenderedPageBreak/>
        <w:t></w:t>
      </w:r>
      <w:r w:rsidRPr="007155C0">
        <w:rPr>
          <w:rFonts w:ascii="Symbol" w:hAnsi="Symbol" w:cs="Symbol"/>
          <w:snapToGrid w:val="0"/>
          <w:w w:val="101"/>
          <w:lang w:val="fr-CA"/>
        </w:rPr>
        <w:tab/>
      </w:r>
      <w:r w:rsidRPr="002606DB">
        <w:rPr>
          <w:snapToGrid w:val="0"/>
          <w:lang w:val="pt-PT"/>
        </w:rPr>
        <w:t>uma ferida aberta ou perfuração no revestimento do estômago ou intestino delgado (os sinais podem incluir dor abdominal, sensação de enfartamento, fezes negras cor de alcatrão ou sangue nas fezes ou sangue no seu vómito),</w:t>
      </w:r>
    </w:p>
    <w:p w14:paraId="4A0DF7D0"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hemorragia na parte inferior do intestino grosso,</w:t>
      </w:r>
    </w:p>
    <w:p w14:paraId="14E8C7E6" w14:textId="59D106AA" w:rsidR="00162CE2" w:rsidRPr="002606DB" w:rsidRDefault="00162CE2" w:rsidP="00AF236D">
      <w:pPr>
        <w:pStyle w:val="a4"/>
        <w:keepNext/>
        <w:widowControl/>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 xml:space="preserve">lesões nas gengivas com exposição do osso da mandíbula que não cicatrizam e podem estar associadas a dor e inflamação do tecido circundante (ver nos parágrafos abaixo a lista de efeitos </w:t>
      </w:r>
      <w:r w:rsidR="00D56FCB" w:rsidRPr="00D56FCB">
        <w:rPr>
          <w:snapToGrid w:val="0"/>
          <w:lang w:val="pt-PT"/>
        </w:rPr>
        <w:t>indesejáveis</w:t>
      </w:r>
      <w:r w:rsidRPr="002606DB">
        <w:rPr>
          <w:snapToGrid w:val="0"/>
          <w:lang w:val="pt-PT"/>
        </w:rPr>
        <w:t xml:space="preserve"> para recomendações adicionais),</w:t>
      </w:r>
    </w:p>
    <w:p w14:paraId="41497428"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perfuração na vesícula biliar (os sintomas e sinais podem incluir dor abdominal, febre, e náusea/vómitos).</w:t>
      </w:r>
    </w:p>
    <w:p w14:paraId="39FA05D0" w14:textId="77777777" w:rsidR="00162CE2" w:rsidRPr="002606DB" w:rsidRDefault="00162CE2" w:rsidP="00056F35">
      <w:pPr>
        <w:pStyle w:val="a3"/>
        <w:adjustRightInd w:val="0"/>
        <w:snapToGrid w:val="0"/>
        <w:rPr>
          <w:snapToGrid w:val="0"/>
          <w:lang w:val="pt-PT"/>
        </w:rPr>
      </w:pPr>
    </w:p>
    <w:p w14:paraId="47BDC9E3" w14:textId="7C06F88E" w:rsidR="00162CE2" w:rsidRPr="00730741" w:rsidRDefault="00162CE2" w:rsidP="00730741">
      <w:pPr>
        <w:rPr>
          <w:b/>
          <w:bCs/>
          <w:snapToGrid w:val="0"/>
          <w:lang w:val="pt-PT"/>
        </w:rPr>
      </w:pPr>
      <w:r w:rsidRPr="00730741">
        <w:rPr>
          <w:b/>
          <w:bCs/>
          <w:snapToGrid w:val="0"/>
          <w:lang w:val="pt-PT"/>
        </w:rPr>
        <w:t xml:space="preserve">Deve procurar ajuda logo que possível se tiver algum dos efeitos </w:t>
      </w:r>
      <w:r w:rsidR="007C7257" w:rsidRPr="00730741">
        <w:rPr>
          <w:b/>
          <w:bCs/>
          <w:snapToGrid w:val="0"/>
          <w:lang w:val="pt-PT"/>
        </w:rPr>
        <w:t>indesejáveis</w:t>
      </w:r>
      <w:r w:rsidRPr="00730741">
        <w:rPr>
          <w:b/>
          <w:bCs/>
          <w:snapToGrid w:val="0"/>
          <w:lang w:val="pt-PT"/>
        </w:rPr>
        <w:t xml:space="preserve"> descritos</w:t>
      </w:r>
      <w:r w:rsidR="004D32B8" w:rsidRPr="00730741">
        <w:rPr>
          <w:b/>
          <w:bCs/>
          <w:snapToGrid w:val="0"/>
          <w:lang w:val="pt-PT"/>
        </w:rPr>
        <w:t xml:space="preserve"> abaixo</w:t>
      </w:r>
      <w:r w:rsidRPr="00730741">
        <w:rPr>
          <w:b/>
          <w:bCs/>
          <w:snapToGrid w:val="0"/>
          <w:lang w:val="pt-PT"/>
        </w:rPr>
        <w:t>.</w:t>
      </w:r>
    </w:p>
    <w:p w14:paraId="56F6F4B0" w14:textId="77777777" w:rsidR="00162CE2" w:rsidRPr="002606DB" w:rsidRDefault="00162CE2" w:rsidP="00056F35">
      <w:pPr>
        <w:pStyle w:val="a3"/>
        <w:adjustRightInd w:val="0"/>
        <w:snapToGrid w:val="0"/>
        <w:rPr>
          <w:b/>
          <w:snapToGrid w:val="0"/>
          <w:lang w:val="pt-PT"/>
        </w:rPr>
      </w:pPr>
    </w:p>
    <w:p w14:paraId="5B15DB01" w14:textId="2E36BD53" w:rsidR="00162CE2" w:rsidRPr="002606DB" w:rsidRDefault="00162CE2" w:rsidP="00056F35">
      <w:pPr>
        <w:pStyle w:val="a3"/>
        <w:adjustRightInd w:val="0"/>
        <w:snapToGrid w:val="0"/>
        <w:rPr>
          <w:snapToGrid w:val="0"/>
          <w:lang w:val="pt-PT"/>
        </w:rPr>
      </w:pPr>
      <w:r w:rsidRPr="002606DB">
        <w:rPr>
          <w:snapToGrid w:val="0"/>
          <w:lang w:val="pt-PT"/>
        </w:rPr>
        <w:t xml:space="preserve">Efeitos </w:t>
      </w:r>
      <w:r w:rsidR="00F67B22" w:rsidRPr="00F67B22">
        <w:rPr>
          <w:snapToGrid w:val="0"/>
          <w:lang w:val="pt-PT"/>
        </w:rPr>
        <w:t>indesejáveis</w:t>
      </w:r>
      <w:r w:rsidRPr="002606DB">
        <w:rPr>
          <w:snapToGrid w:val="0"/>
          <w:lang w:val="pt-PT"/>
        </w:rPr>
        <w:t xml:space="preserve"> </w:t>
      </w:r>
      <w:r w:rsidRPr="002606DB">
        <w:rPr>
          <w:b/>
          <w:snapToGrid w:val="0"/>
          <w:lang w:val="pt-PT"/>
        </w:rPr>
        <w:t xml:space="preserve">muito frequentes </w:t>
      </w:r>
      <w:r w:rsidRPr="002606DB">
        <w:rPr>
          <w:snapToGrid w:val="0"/>
          <w:lang w:val="pt-PT"/>
        </w:rPr>
        <w:t>(</w:t>
      </w:r>
      <w:r w:rsidR="0021387C" w:rsidRPr="007155C0">
        <w:rPr>
          <w:lang w:val="fr-CA"/>
        </w:rPr>
        <w:t>podem afetar</w:t>
      </w:r>
      <w:r w:rsidRPr="002606DB">
        <w:rPr>
          <w:snapToGrid w:val="0"/>
          <w:lang w:val="pt-PT"/>
        </w:rPr>
        <w:t xml:space="preserve"> mais de 1 em cada 10</w:t>
      </w:r>
      <w:r w:rsidR="00721988" w:rsidRPr="00721988">
        <w:rPr>
          <w:snapToGrid w:val="0"/>
          <w:lang w:val="pt-PT"/>
        </w:rPr>
        <w:t xml:space="preserve"> pessoas</w:t>
      </w:r>
      <w:r w:rsidRPr="002606DB">
        <w:rPr>
          <w:snapToGrid w:val="0"/>
          <w:lang w:val="pt-PT"/>
        </w:rPr>
        <w:t>), que não foram graves</w:t>
      </w:r>
      <w:r w:rsidR="00F944F3">
        <w:rPr>
          <w:snapToGrid w:val="0"/>
          <w:lang w:val="pt-PT"/>
        </w:rPr>
        <w:t>,</w:t>
      </w:r>
      <w:r w:rsidRPr="002606DB">
        <w:rPr>
          <w:snapToGrid w:val="0"/>
          <w:lang w:val="pt-PT"/>
        </w:rPr>
        <w:t xml:space="preserve"> incluem:</w:t>
      </w:r>
    </w:p>
    <w:p w14:paraId="707F91BF"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obstipação,</w:t>
      </w:r>
    </w:p>
    <w:p w14:paraId="69074B2A"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perda do apetite,</w:t>
      </w:r>
    </w:p>
    <w:p w14:paraId="57DB70FC"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febre,</w:t>
      </w:r>
    </w:p>
    <w:p w14:paraId="188A4E83"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problemas nos olhos (incluindo aumento da produção de lágrimas),</w:t>
      </w:r>
    </w:p>
    <w:p w14:paraId="0CF2BEB3"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distúrbios na fala,</w:t>
      </w:r>
    </w:p>
    <w:p w14:paraId="578A9AF7"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alteração do paladar,</w:t>
      </w:r>
    </w:p>
    <w:p w14:paraId="7B67C992"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corrimento nasal,</w:t>
      </w:r>
    </w:p>
    <w:p w14:paraId="57ACF00E"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pele seca, descamação e inflamação da pele, alteração da cor da pele,</w:t>
      </w:r>
    </w:p>
    <w:p w14:paraId="20823968"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perda de peso,</w:t>
      </w:r>
    </w:p>
    <w:p w14:paraId="3EE108F9"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hemorragias nasais.</w:t>
      </w:r>
    </w:p>
    <w:p w14:paraId="5A220927" w14:textId="77777777" w:rsidR="00162CE2" w:rsidRPr="002606DB" w:rsidRDefault="00162CE2" w:rsidP="00056F35">
      <w:pPr>
        <w:pStyle w:val="a3"/>
        <w:adjustRightInd w:val="0"/>
        <w:snapToGrid w:val="0"/>
        <w:rPr>
          <w:snapToGrid w:val="0"/>
          <w:lang w:val="pt-PT"/>
        </w:rPr>
      </w:pPr>
    </w:p>
    <w:p w14:paraId="66C60F0F" w14:textId="0045A7C1" w:rsidR="00162CE2" w:rsidRPr="002606DB" w:rsidRDefault="00162CE2" w:rsidP="00056F35">
      <w:pPr>
        <w:pStyle w:val="a3"/>
        <w:adjustRightInd w:val="0"/>
        <w:snapToGrid w:val="0"/>
        <w:rPr>
          <w:snapToGrid w:val="0"/>
          <w:lang w:val="pt-PT"/>
        </w:rPr>
      </w:pPr>
      <w:r w:rsidRPr="002606DB">
        <w:rPr>
          <w:snapToGrid w:val="0"/>
          <w:lang w:val="pt-PT"/>
        </w:rPr>
        <w:t xml:space="preserve">Efeitos </w:t>
      </w:r>
      <w:r w:rsidR="002B522B" w:rsidRPr="002B522B">
        <w:rPr>
          <w:snapToGrid w:val="0"/>
          <w:lang w:val="pt-PT"/>
        </w:rPr>
        <w:t>indesejáveis</w:t>
      </w:r>
      <w:r w:rsidRPr="002606DB">
        <w:rPr>
          <w:snapToGrid w:val="0"/>
          <w:lang w:val="pt-PT"/>
        </w:rPr>
        <w:t xml:space="preserve"> </w:t>
      </w:r>
      <w:r w:rsidRPr="002606DB">
        <w:rPr>
          <w:b/>
          <w:snapToGrid w:val="0"/>
          <w:lang w:val="pt-PT"/>
        </w:rPr>
        <w:t xml:space="preserve">frequentes </w:t>
      </w:r>
      <w:r w:rsidRPr="002606DB">
        <w:rPr>
          <w:snapToGrid w:val="0"/>
          <w:lang w:val="pt-PT"/>
        </w:rPr>
        <w:t>(</w:t>
      </w:r>
      <w:r w:rsidR="00973C7C" w:rsidRPr="00973C7C">
        <w:rPr>
          <w:snapToGrid w:val="0"/>
          <w:lang w:val="pt-PT"/>
        </w:rPr>
        <w:t>podem afetar até</w:t>
      </w:r>
      <w:r w:rsidRPr="002606DB">
        <w:rPr>
          <w:snapToGrid w:val="0"/>
          <w:lang w:val="pt-PT"/>
        </w:rPr>
        <w:t xml:space="preserve"> 1 </w:t>
      </w:r>
      <w:r w:rsidR="00697B5F" w:rsidRPr="007155C0">
        <w:rPr>
          <w:lang w:val="pt-PT"/>
        </w:rPr>
        <w:t>em cada</w:t>
      </w:r>
      <w:r w:rsidRPr="002606DB">
        <w:rPr>
          <w:snapToGrid w:val="0"/>
          <w:lang w:val="pt-PT"/>
        </w:rPr>
        <w:t xml:space="preserve"> 10 </w:t>
      </w:r>
      <w:r w:rsidR="009C2127" w:rsidRPr="007155C0">
        <w:rPr>
          <w:lang w:val="pt-PT"/>
        </w:rPr>
        <w:t>pessoas</w:t>
      </w:r>
      <w:r w:rsidRPr="002606DB">
        <w:rPr>
          <w:snapToGrid w:val="0"/>
          <w:lang w:val="pt-PT"/>
        </w:rPr>
        <w:t>), que não foram graves incluem:</w:t>
      </w:r>
    </w:p>
    <w:p w14:paraId="573C8FE2"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alterações da voz e rouquidão.</w:t>
      </w:r>
    </w:p>
    <w:p w14:paraId="4968BE59" w14:textId="77777777" w:rsidR="00162CE2" w:rsidRPr="002606DB" w:rsidRDefault="00162CE2" w:rsidP="00056F35">
      <w:pPr>
        <w:adjustRightInd w:val="0"/>
        <w:snapToGrid w:val="0"/>
        <w:rPr>
          <w:snapToGrid w:val="0"/>
          <w:lang w:val="pt-PT"/>
        </w:rPr>
      </w:pPr>
    </w:p>
    <w:p w14:paraId="525B2FBA" w14:textId="63AEEAD4" w:rsidR="00162CE2" w:rsidRPr="002606DB" w:rsidRDefault="006A067E" w:rsidP="00056F35">
      <w:pPr>
        <w:pStyle w:val="a3"/>
        <w:adjustRightInd w:val="0"/>
        <w:snapToGrid w:val="0"/>
        <w:rPr>
          <w:snapToGrid w:val="0"/>
          <w:lang w:val="pt-PT"/>
        </w:rPr>
      </w:pPr>
      <w:r w:rsidRPr="007155C0">
        <w:rPr>
          <w:lang w:val="fr-CA"/>
        </w:rPr>
        <w:t>Os d</w:t>
      </w:r>
      <w:r w:rsidR="00162CE2" w:rsidRPr="002606DB">
        <w:rPr>
          <w:snapToGrid w:val="0"/>
          <w:lang w:val="pt-PT"/>
        </w:rPr>
        <w:t xml:space="preserve">oentes com mais de 65 anos têm um risco aumentado de sofrerem dos seguintes efeitos </w:t>
      </w:r>
      <w:r w:rsidR="00AF767B" w:rsidRPr="00AF767B">
        <w:rPr>
          <w:snapToGrid w:val="0"/>
          <w:lang w:val="pt-PT"/>
        </w:rPr>
        <w:t>indesejáveis</w:t>
      </w:r>
      <w:r w:rsidR="00162CE2" w:rsidRPr="002606DB">
        <w:rPr>
          <w:snapToGrid w:val="0"/>
          <w:lang w:val="pt-PT"/>
        </w:rPr>
        <w:t>:</w:t>
      </w:r>
    </w:p>
    <w:p w14:paraId="0F42D2C8"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 xml:space="preserve">coágulos sanguíneos nas artérias, que podem levar </w:t>
      </w:r>
      <w:proofErr w:type="gramStart"/>
      <w:r w:rsidRPr="002606DB">
        <w:rPr>
          <w:snapToGrid w:val="0"/>
          <w:lang w:val="pt-PT"/>
        </w:rPr>
        <w:t>a</w:t>
      </w:r>
      <w:proofErr w:type="gramEnd"/>
      <w:r w:rsidRPr="002606DB">
        <w:rPr>
          <w:snapToGrid w:val="0"/>
          <w:lang w:val="pt-PT"/>
        </w:rPr>
        <w:t xml:space="preserve"> um AVC (acidente vascular cerebral) ou </w:t>
      </w:r>
      <w:proofErr w:type="gramStart"/>
      <w:r w:rsidRPr="002606DB">
        <w:rPr>
          <w:snapToGrid w:val="0"/>
          <w:lang w:val="pt-PT"/>
        </w:rPr>
        <w:t>a</w:t>
      </w:r>
      <w:proofErr w:type="gramEnd"/>
      <w:r w:rsidRPr="002606DB">
        <w:rPr>
          <w:snapToGrid w:val="0"/>
          <w:lang w:val="pt-PT"/>
        </w:rPr>
        <w:t xml:space="preserve"> um enfarte do miocárdio (ataque cardíaco),</w:t>
      </w:r>
    </w:p>
    <w:p w14:paraId="119CFED4"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diminuição no número de glóbulos brancos no sangue e de células que ajudam na coagulação do sangue,</w:t>
      </w:r>
    </w:p>
    <w:p w14:paraId="4EE8B905"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diarreia,</w:t>
      </w:r>
    </w:p>
    <w:p w14:paraId="510EE2E3"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enjoo,</w:t>
      </w:r>
    </w:p>
    <w:p w14:paraId="4322F1C9"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dor de cabeça,</w:t>
      </w:r>
    </w:p>
    <w:p w14:paraId="2EA28543"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fadiga,</w:t>
      </w:r>
    </w:p>
    <w:p w14:paraId="2BDF1BA1" w14:textId="77777777" w:rsidR="00162CE2" w:rsidRPr="002606DB" w:rsidRDefault="00162CE2" w:rsidP="00552771">
      <w:pPr>
        <w:pStyle w:val="a4"/>
        <w:adjustRightInd w:val="0"/>
        <w:snapToGrid w:val="0"/>
        <w:ind w:left="0" w:firstLine="0"/>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tensão arterial elevada.</w:t>
      </w:r>
    </w:p>
    <w:p w14:paraId="2933C37C" w14:textId="77777777" w:rsidR="00162CE2" w:rsidRPr="002606DB" w:rsidRDefault="00162CE2" w:rsidP="00056F35">
      <w:pPr>
        <w:pStyle w:val="a3"/>
        <w:adjustRightInd w:val="0"/>
        <w:snapToGrid w:val="0"/>
        <w:rPr>
          <w:snapToGrid w:val="0"/>
          <w:lang w:val="pt-PT"/>
        </w:rPr>
      </w:pPr>
    </w:p>
    <w:p w14:paraId="41DF3746" w14:textId="2544BBA4"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pode ainda causar alterações nas análises pedidas pelo seu médico. Estas incluem a diminuição do número de glóbulos brancos, em particular de neutrófilos (um tipo de glóbulo branco que ajuda na proteção contra infeções) no sangue; presença de proteínas na urina; diminuição dos níveis de potássio, sódio ou fósforo (um mineral) no sangue; aumento do nível de açúcar no sangue; aumento do nível de fosfatase alcalina (uma enzima) no sangue; aumento da creatinina sérica (uma proteína medida por um teste de sangue para ver se os seus rins estão a funcionar); e diminuição do nível da hemoglobina (presente nos glóbulos vermelhos, que transportam oxigénio), que pode ser grave.</w:t>
      </w:r>
    </w:p>
    <w:p w14:paraId="2B58605B" w14:textId="77777777" w:rsidR="00162CE2" w:rsidRPr="002606DB" w:rsidRDefault="00162CE2" w:rsidP="00056F35">
      <w:pPr>
        <w:pStyle w:val="a3"/>
        <w:adjustRightInd w:val="0"/>
        <w:snapToGrid w:val="0"/>
        <w:rPr>
          <w:snapToGrid w:val="0"/>
          <w:lang w:val="pt-PT"/>
        </w:rPr>
      </w:pPr>
    </w:p>
    <w:p w14:paraId="78755A6C" w14:textId="77777777" w:rsidR="00162CE2" w:rsidRPr="002606DB" w:rsidRDefault="00162CE2" w:rsidP="00056F35">
      <w:pPr>
        <w:pStyle w:val="a3"/>
        <w:adjustRightInd w:val="0"/>
        <w:snapToGrid w:val="0"/>
        <w:rPr>
          <w:snapToGrid w:val="0"/>
          <w:lang w:val="pt-PT"/>
        </w:rPr>
      </w:pPr>
      <w:r w:rsidRPr="002606DB">
        <w:rPr>
          <w:snapToGrid w:val="0"/>
          <w:lang w:val="pt-PT"/>
        </w:rPr>
        <w:t>Dor na boca, dentes e/ou maxilar, inchaço ou feridas no interior da boca, adormecimento ou sensação de peso no maxilar ou desprendimento de um dente. Estes podem ser sinais e sintomas de lesão no osso do maxilar (osteonecrose). Se apresentar qualquer um deles informe imediatamente o seu médico e o dentista.</w:t>
      </w:r>
    </w:p>
    <w:p w14:paraId="491AD97E" w14:textId="77777777" w:rsidR="00162CE2" w:rsidRPr="002606DB" w:rsidRDefault="00162CE2" w:rsidP="00056F35">
      <w:pPr>
        <w:pStyle w:val="a3"/>
        <w:adjustRightInd w:val="0"/>
        <w:snapToGrid w:val="0"/>
        <w:rPr>
          <w:snapToGrid w:val="0"/>
          <w:lang w:val="pt-PT"/>
        </w:rPr>
      </w:pPr>
    </w:p>
    <w:p w14:paraId="2616A525" w14:textId="4873AC9C" w:rsidR="00162CE2" w:rsidRPr="002606DB" w:rsidRDefault="00275261" w:rsidP="00056F35">
      <w:pPr>
        <w:pStyle w:val="a3"/>
        <w:adjustRightInd w:val="0"/>
        <w:snapToGrid w:val="0"/>
        <w:rPr>
          <w:snapToGrid w:val="0"/>
          <w:lang w:val="pt-PT"/>
        </w:rPr>
      </w:pPr>
      <w:r w:rsidRPr="007155C0">
        <w:rPr>
          <w:lang w:val="fr-CA"/>
        </w:rPr>
        <w:t>As m</w:t>
      </w:r>
      <w:r w:rsidR="00162CE2" w:rsidRPr="002606DB">
        <w:rPr>
          <w:snapToGrid w:val="0"/>
          <w:lang w:val="pt-PT"/>
        </w:rPr>
        <w:t>ulheres pré</w:t>
      </w:r>
      <w:r w:rsidR="008425E1" w:rsidRPr="002606DB">
        <w:rPr>
          <w:snapToGrid w:val="0"/>
          <w:lang w:val="pt-PT"/>
        </w:rPr>
        <w:noBreakHyphen/>
      </w:r>
      <w:r w:rsidR="00162CE2" w:rsidRPr="002606DB">
        <w:rPr>
          <w:snapToGrid w:val="0"/>
          <w:lang w:val="pt-PT"/>
        </w:rPr>
        <w:t>menop</w:t>
      </w:r>
      <w:r w:rsidR="00820035">
        <w:rPr>
          <w:snapToGrid w:val="0"/>
          <w:lang w:val="pt-PT"/>
        </w:rPr>
        <w:t>á</w:t>
      </w:r>
      <w:r w:rsidR="00162CE2" w:rsidRPr="002606DB">
        <w:rPr>
          <w:snapToGrid w:val="0"/>
          <w:lang w:val="pt-PT"/>
        </w:rPr>
        <w:t xml:space="preserve">usicas (mulheres que têm ciclo menstrual) podem notar que a menstruação se </w:t>
      </w:r>
      <w:r w:rsidR="00162CE2" w:rsidRPr="002606DB">
        <w:rPr>
          <w:snapToGrid w:val="0"/>
          <w:lang w:val="pt-PT"/>
        </w:rPr>
        <w:lastRenderedPageBreak/>
        <w:t>torna irregular ou que têm faltas, e podem ter problemas de fertilidade. Se está a considerar ter filhos</w:t>
      </w:r>
      <w:r w:rsidR="00371241" w:rsidRPr="007155C0">
        <w:rPr>
          <w:lang w:val="pt-PT"/>
        </w:rPr>
        <w:t>,</w:t>
      </w:r>
      <w:r w:rsidR="00162CE2" w:rsidRPr="002606DB">
        <w:rPr>
          <w:snapToGrid w:val="0"/>
          <w:lang w:val="pt-PT"/>
        </w:rPr>
        <w:t xml:space="preserve"> deverá discuti-lo com o seu médico antes do início do tratamento.</w:t>
      </w:r>
    </w:p>
    <w:p w14:paraId="4DCA4545" w14:textId="77777777" w:rsidR="00162CE2" w:rsidRPr="002606DB" w:rsidRDefault="00162CE2" w:rsidP="00056F35">
      <w:pPr>
        <w:pStyle w:val="a3"/>
        <w:adjustRightInd w:val="0"/>
        <w:snapToGrid w:val="0"/>
        <w:rPr>
          <w:snapToGrid w:val="0"/>
          <w:lang w:val="pt-PT"/>
        </w:rPr>
      </w:pPr>
    </w:p>
    <w:p w14:paraId="63D0572F" w14:textId="58DF3694" w:rsidR="00162CE2" w:rsidRPr="002606DB" w:rsidRDefault="00FB2483" w:rsidP="00AF236D">
      <w:pPr>
        <w:pStyle w:val="a3"/>
        <w:keepNext/>
        <w:keepLines/>
        <w:widowControl/>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tem sido desenvolvido e produzido para tratar o cancro através de injeção na corrente sanguínea. Não foi desenvolvido nem produzido para ser injetado no olho. Como tal, não está autorizado para ser utilizado deste modo. Quando bevacizumab é injetado diretamente no olho (utilização não aprovada), podem ocorrer os seguintes efeitos</w:t>
      </w:r>
      <w:r w:rsidR="000C73F3">
        <w:rPr>
          <w:snapToGrid w:val="0"/>
          <w:lang w:val="pt-PT"/>
        </w:rPr>
        <w:t xml:space="preserve"> </w:t>
      </w:r>
      <w:r w:rsidR="000C73F3" w:rsidRPr="007155C0">
        <w:rPr>
          <w:lang w:val="pt-PT"/>
        </w:rPr>
        <w:t>indesejáveis</w:t>
      </w:r>
      <w:r w:rsidR="00162CE2" w:rsidRPr="002606DB">
        <w:rPr>
          <w:snapToGrid w:val="0"/>
          <w:lang w:val="pt-PT"/>
        </w:rPr>
        <w:t>:</w:t>
      </w:r>
    </w:p>
    <w:p w14:paraId="4AAD8E39" w14:textId="77777777" w:rsidR="00162CE2" w:rsidRPr="002606DB" w:rsidRDefault="00162CE2" w:rsidP="00056F35">
      <w:pPr>
        <w:pStyle w:val="a3"/>
        <w:adjustRightInd w:val="0"/>
        <w:snapToGrid w:val="0"/>
        <w:rPr>
          <w:snapToGrid w:val="0"/>
          <w:lang w:val="pt-PT"/>
        </w:rPr>
      </w:pPr>
    </w:p>
    <w:p w14:paraId="7F360CFA"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Infeção ou inflamação do globo ocular,</w:t>
      </w:r>
    </w:p>
    <w:p w14:paraId="579CBEB7"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Vermelhidão do olho, pequenas partículas ou manchas na sua visão (moscas volantes), dor no olho,</w:t>
      </w:r>
    </w:p>
    <w:p w14:paraId="334D61E6"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pt-PT"/>
        </w:rPr>
        <w:tab/>
      </w:r>
      <w:r w:rsidRPr="002606DB">
        <w:rPr>
          <w:snapToGrid w:val="0"/>
          <w:lang w:val="pt-PT"/>
        </w:rPr>
        <w:t>Ver raios de luz com moscas volantes, progredindo para alguma perda da sua visão,</w:t>
      </w:r>
    </w:p>
    <w:p w14:paraId="3AB19237"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Pressão ocular aumentada,</w:t>
      </w:r>
    </w:p>
    <w:p w14:paraId="494323C4"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2606DB">
        <w:rPr>
          <w:rFonts w:ascii="Symbol" w:hAnsi="Symbol" w:cs="Symbol"/>
          <w:snapToGrid w:val="0"/>
          <w:w w:val="101"/>
        </w:rPr>
        <w:tab/>
      </w:r>
      <w:r w:rsidRPr="002606DB">
        <w:rPr>
          <w:snapToGrid w:val="0"/>
          <w:lang w:val="pt-PT"/>
        </w:rPr>
        <w:t>Hemorragia no olho.</w:t>
      </w:r>
    </w:p>
    <w:p w14:paraId="2FC0039A" w14:textId="77777777" w:rsidR="00162CE2" w:rsidRPr="002606DB" w:rsidRDefault="00162CE2" w:rsidP="00056F35">
      <w:pPr>
        <w:pStyle w:val="a3"/>
        <w:adjustRightInd w:val="0"/>
        <w:snapToGrid w:val="0"/>
        <w:rPr>
          <w:snapToGrid w:val="0"/>
          <w:lang w:val="pt-PT"/>
        </w:rPr>
      </w:pPr>
    </w:p>
    <w:p w14:paraId="7456E5E9" w14:textId="74299777" w:rsidR="00162CE2" w:rsidRPr="00730741" w:rsidRDefault="00162CE2" w:rsidP="00730741">
      <w:pPr>
        <w:rPr>
          <w:b/>
          <w:bCs/>
          <w:snapToGrid w:val="0"/>
          <w:lang w:val="pt-PT"/>
        </w:rPr>
      </w:pPr>
      <w:r w:rsidRPr="00730741">
        <w:rPr>
          <w:b/>
          <w:bCs/>
          <w:snapToGrid w:val="0"/>
          <w:lang w:val="pt-PT"/>
        </w:rPr>
        <w:t xml:space="preserve">Comunicação de efeitos </w:t>
      </w:r>
      <w:r w:rsidR="00656B96" w:rsidRPr="00730741">
        <w:rPr>
          <w:b/>
          <w:bCs/>
          <w:snapToGrid w:val="0"/>
          <w:lang w:val="pt-PT"/>
        </w:rPr>
        <w:t>indesejáveis</w:t>
      </w:r>
    </w:p>
    <w:p w14:paraId="29713B65" w14:textId="77777777" w:rsidR="00F944F3" w:rsidRPr="002606DB" w:rsidRDefault="00F944F3" w:rsidP="00730741">
      <w:pPr>
        <w:rPr>
          <w:snapToGrid w:val="0"/>
          <w:lang w:val="pt-PT"/>
        </w:rPr>
      </w:pPr>
    </w:p>
    <w:p w14:paraId="44BF19F9" w14:textId="6710DE88" w:rsidR="00162CE2" w:rsidRPr="002606DB" w:rsidRDefault="00162CE2" w:rsidP="00AF236D">
      <w:pPr>
        <w:pStyle w:val="a3"/>
        <w:adjustRightInd w:val="0"/>
        <w:snapToGrid w:val="0"/>
        <w:ind w:right="-422"/>
        <w:rPr>
          <w:snapToGrid w:val="0"/>
          <w:lang w:val="pt-PT"/>
        </w:rPr>
      </w:pPr>
      <w:r w:rsidRPr="002606DB">
        <w:rPr>
          <w:snapToGrid w:val="0"/>
          <w:lang w:val="pt-PT"/>
        </w:rPr>
        <w:t xml:space="preserve">Se tiver quaisquer efeitos </w:t>
      </w:r>
      <w:r w:rsidR="008443E8" w:rsidRPr="00DD6A90">
        <w:rPr>
          <w:lang w:val="pt-PT"/>
        </w:rPr>
        <w:t>indesejáveis</w:t>
      </w:r>
      <w:r w:rsidRPr="002606DB">
        <w:rPr>
          <w:snapToGrid w:val="0"/>
          <w:lang w:val="pt-PT"/>
        </w:rPr>
        <w:t xml:space="preserve">, incluindo possíveis efeitos </w:t>
      </w:r>
      <w:r w:rsidR="008443E8" w:rsidRPr="00DD6A90">
        <w:rPr>
          <w:lang w:val="pt-PT"/>
        </w:rPr>
        <w:t>indesejáveis</w:t>
      </w:r>
      <w:r w:rsidRPr="002606DB">
        <w:rPr>
          <w:snapToGrid w:val="0"/>
          <w:lang w:val="pt-PT"/>
        </w:rPr>
        <w:t xml:space="preserve"> não indicados neste folheto, fale com o seu médico, farmacêutico ou enfermeiro. Também poderá comunicar efeitos </w:t>
      </w:r>
      <w:r w:rsidR="008443E8" w:rsidRPr="007155C0">
        <w:rPr>
          <w:lang w:val="pt-PT"/>
        </w:rPr>
        <w:t>indesejáveis</w:t>
      </w:r>
      <w:r w:rsidRPr="002606DB">
        <w:rPr>
          <w:snapToGrid w:val="0"/>
          <w:lang w:val="pt-PT"/>
        </w:rPr>
        <w:t xml:space="preserve"> diretamente através </w:t>
      </w:r>
      <w:r w:rsidRPr="002606DB">
        <w:rPr>
          <w:snapToGrid w:val="0"/>
          <w:color w:val="000000"/>
          <w:shd w:val="clear" w:color="auto" w:fill="C1C1C1"/>
          <w:lang w:val="pt-PT"/>
        </w:rPr>
        <w:t xml:space="preserve">do sistema nacional de notificação mencionado no </w:t>
      </w:r>
      <w:r>
        <w:fldChar w:fldCharType="begin"/>
      </w:r>
      <w:r w:rsidRPr="00A72D1F">
        <w:rPr>
          <w:lang w:val="pt-PT"/>
        </w:rPr>
        <w:instrText>HYPERLINK "https://www.ema.europa.eu/documents/template-form/appendix-v-adverse-drug-reaction-reporting-details_en.doc" \h</w:instrText>
      </w:r>
      <w:r>
        <w:fldChar w:fldCharType="separate"/>
      </w:r>
      <w:r w:rsidRPr="002606DB">
        <w:rPr>
          <w:snapToGrid w:val="0"/>
          <w:color w:val="0000FF"/>
          <w:u w:val="single" w:color="0000FF"/>
          <w:shd w:val="clear" w:color="auto" w:fill="C1C1C1"/>
          <w:lang w:val="pt-PT"/>
        </w:rPr>
        <w:t>Apêndice V</w:t>
      </w:r>
      <w:r>
        <w:fldChar w:fldCharType="end"/>
      </w:r>
      <w:r w:rsidRPr="002606DB">
        <w:rPr>
          <w:snapToGrid w:val="0"/>
          <w:color w:val="000000"/>
          <w:shd w:val="clear" w:color="auto" w:fill="C1C1C1"/>
          <w:lang w:val="pt-PT"/>
        </w:rPr>
        <w:t>*</w:t>
      </w:r>
      <w:r w:rsidRPr="002606DB">
        <w:rPr>
          <w:snapToGrid w:val="0"/>
          <w:color w:val="000000"/>
          <w:lang w:val="pt-PT"/>
        </w:rPr>
        <w:t xml:space="preserve">. Ao comunicar efeitos </w:t>
      </w:r>
      <w:r w:rsidR="008443E8" w:rsidRPr="007155C0">
        <w:rPr>
          <w:lang w:val="pt-PT"/>
        </w:rPr>
        <w:t>indesejáveis</w:t>
      </w:r>
      <w:r w:rsidRPr="002606DB">
        <w:rPr>
          <w:snapToGrid w:val="0"/>
          <w:color w:val="000000"/>
          <w:lang w:val="pt-PT"/>
        </w:rPr>
        <w:t>, estará a ajudar a fornecer mais informações sobre a segurança deste medicamento.</w:t>
      </w:r>
    </w:p>
    <w:p w14:paraId="725448E2" w14:textId="77777777" w:rsidR="00162CE2" w:rsidRPr="002606DB" w:rsidRDefault="00162CE2" w:rsidP="00056F35">
      <w:pPr>
        <w:pStyle w:val="a3"/>
        <w:adjustRightInd w:val="0"/>
        <w:snapToGrid w:val="0"/>
        <w:rPr>
          <w:snapToGrid w:val="0"/>
          <w:lang w:val="pt-PT"/>
        </w:rPr>
      </w:pPr>
    </w:p>
    <w:p w14:paraId="267D07BB" w14:textId="77777777" w:rsidR="00162CE2" w:rsidRPr="002606DB" w:rsidRDefault="00162CE2" w:rsidP="00056F35">
      <w:pPr>
        <w:pStyle w:val="a3"/>
        <w:adjustRightInd w:val="0"/>
        <w:snapToGrid w:val="0"/>
        <w:rPr>
          <w:snapToGrid w:val="0"/>
          <w:lang w:val="pt-PT"/>
        </w:rPr>
      </w:pPr>
    </w:p>
    <w:p w14:paraId="259E4DB4" w14:textId="063DA7DB" w:rsidR="00162CE2" w:rsidRPr="00730741" w:rsidRDefault="00162CE2" w:rsidP="00730741">
      <w:pPr>
        <w:rPr>
          <w:b/>
          <w:bCs/>
          <w:snapToGrid w:val="0"/>
          <w:lang w:val="pt-PT"/>
        </w:rPr>
      </w:pPr>
      <w:r w:rsidRPr="00730741">
        <w:rPr>
          <w:b/>
          <w:bCs/>
          <w:snapToGrid w:val="0"/>
          <w:w w:val="101"/>
          <w:lang w:val="pt-PT"/>
        </w:rPr>
        <w:t>5.</w:t>
      </w:r>
      <w:r w:rsidRPr="00730741">
        <w:rPr>
          <w:b/>
          <w:bCs/>
          <w:snapToGrid w:val="0"/>
          <w:w w:val="101"/>
          <w:lang w:val="pt-PT"/>
        </w:rPr>
        <w:tab/>
      </w:r>
      <w:r w:rsidRPr="00730741">
        <w:rPr>
          <w:b/>
          <w:bCs/>
          <w:snapToGrid w:val="0"/>
          <w:lang w:val="pt-PT"/>
        </w:rPr>
        <w:t xml:space="preserve">Como conservar </w:t>
      </w:r>
      <w:r w:rsidR="00FB2483" w:rsidRPr="00730741">
        <w:rPr>
          <w:b/>
          <w:bCs/>
          <w:noProof/>
          <w:color w:val="000000"/>
          <w:lang w:val="pt-PT" w:eastAsia="ko-KR"/>
        </w:rPr>
        <w:t>Vegzelma</w:t>
      </w:r>
    </w:p>
    <w:p w14:paraId="4517B1C8" w14:textId="77777777" w:rsidR="00162CE2" w:rsidRPr="002606DB" w:rsidRDefault="00162CE2" w:rsidP="00056F35">
      <w:pPr>
        <w:pStyle w:val="a3"/>
        <w:adjustRightInd w:val="0"/>
        <w:snapToGrid w:val="0"/>
        <w:rPr>
          <w:b/>
          <w:snapToGrid w:val="0"/>
          <w:lang w:val="pt-PT"/>
        </w:rPr>
      </w:pPr>
    </w:p>
    <w:p w14:paraId="390C12C2" w14:textId="77777777" w:rsidR="00162CE2" w:rsidRPr="002606DB" w:rsidRDefault="00162CE2" w:rsidP="00056F35">
      <w:pPr>
        <w:pStyle w:val="a3"/>
        <w:adjustRightInd w:val="0"/>
        <w:snapToGrid w:val="0"/>
        <w:rPr>
          <w:snapToGrid w:val="0"/>
          <w:lang w:val="pt-PT"/>
        </w:rPr>
      </w:pPr>
      <w:r w:rsidRPr="002606DB">
        <w:rPr>
          <w:snapToGrid w:val="0"/>
          <w:lang w:val="pt-PT"/>
        </w:rPr>
        <w:t>Manter este medicamento fora da vista e do alcance das crianças.</w:t>
      </w:r>
    </w:p>
    <w:p w14:paraId="1F3872CC" w14:textId="77777777" w:rsidR="00162CE2" w:rsidRPr="002606DB" w:rsidRDefault="00162CE2" w:rsidP="00056F35">
      <w:pPr>
        <w:pStyle w:val="a3"/>
        <w:adjustRightInd w:val="0"/>
        <w:snapToGrid w:val="0"/>
        <w:rPr>
          <w:snapToGrid w:val="0"/>
          <w:lang w:val="pt-PT"/>
        </w:rPr>
      </w:pPr>
    </w:p>
    <w:p w14:paraId="5398B92D" w14:textId="77777777" w:rsidR="00162CE2" w:rsidRPr="002606DB" w:rsidRDefault="00162CE2" w:rsidP="00056F35">
      <w:pPr>
        <w:pStyle w:val="a3"/>
        <w:adjustRightInd w:val="0"/>
        <w:snapToGrid w:val="0"/>
        <w:rPr>
          <w:snapToGrid w:val="0"/>
          <w:lang w:val="pt-PT"/>
        </w:rPr>
      </w:pPr>
      <w:r w:rsidRPr="002606DB">
        <w:rPr>
          <w:snapToGrid w:val="0"/>
          <w:lang w:val="pt-PT"/>
        </w:rPr>
        <w:t>Não utilize este medicamento após o prazo de validade impresso na embalagem exterior e no rótulo do frasco para injetáveis após VAL. e EXP, respetivamente. O prazo de validade corresponde ao último dia do mês indicado.</w:t>
      </w:r>
    </w:p>
    <w:p w14:paraId="2504CE9D" w14:textId="77777777" w:rsidR="00162CE2" w:rsidRPr="002606DB" w:rsidRDefault="00162CE2" w:rsidP="00056F35">
      <w:pPr>
        <w:adjustRightInd w:val="0"/>
        <w:snapToGrid w:val="0"/>
        <w:rPr>
          <w:snapToGrid w:val="0"/>
          <w:lang w:val="pt-PT"/>
        </w:rPr>
      </w:pPr>
    </w:p>
    <w:p w14:paraId="447719A7" w14:textId="21CE2ABD" w:rsidR="00162CE2" w:rsidRPr="002606DB" w:rsidRDefault="00162CE2" w:rsidP="00056F35">
      <w:pPr>
        <w:pStyle w:val="a3"/>
        <w:adjustRightInd w:val="0"/>
        <w:snapToGrid w:val="0"/>
        <w:rPr>
          <w:snapToGrid w:val="0"/>
          <w:lang w:val="pt-PT"/>
        </w:rPr>
      </w:pPr>
      <w:r w:rsidRPr="002606DB">
        <w:rPr>
          <w:snapToGrid w:val="0"/>
          <w:lang w:val="pt-PT"/>
        </w:rPr>
        <w:t xml:space="preserve">Conservar no frigorífico (2 </w:t>
      </w:r>
      <w:r w:rsidR="008425E1" w:rsidRPr="002606DB">
        <w:rPr>
          <w:snapToGrid w:val="0"/>
          <w:lang w:val="pt-PT"/>
        </w:rPr>
        <w:t>°</w:t>
      </w:r>
      <w:r w:rsidRPr="002606DB">
        <w:rPr>
          <w:snapToGrid w:val="0"/>
          <w:lang w:val="pt-PT"/>
        </w:rPr>
        <w:t xml:space="preserve">C – 8 </w:t>
      </w:r>
      <w:r w:rsidR="008425E1" w:rsidRPr="002606DB">
        <w:rPr>
          <w:snapToGrid w:val="0"/>
          <w:lang w:val="pt-PT"/>
        </w:rPr>
        <w:t>°</w:t>
      </w:r>
      <w:r w:rsidRPr="002606DB">
        <w:rPr>
          <w:snapToGrid w:val="0"/>
          <w:lang w:val="pt-PT"/>
        </w:rPr>
        <w:t xml:space="preserve">C). </w:t>
      </w:r>
    </w:p>
    <w:p w14:paraId="281FF37C" w14:textId="77777777" w:rsidR="00162CE2" w:rsidRPr="002606DB" w:rsidRDefault="00162CE2" w:rsidP="00056F35">
      <w:pPr>
        <w:pStyle w:val="a3"/>
        <w:adjustRightInd w:val="0"/>
        <w:snapToGrid w:val="0"/>
        <w:rPr>
          <w:snapToGrid w:val="0"/>
          <w:lang w:val="pt-PT"/>
        </w:rPr>
      </w:pPr>
      <w:r w:rsidRPr="002606DB">
        <w:rPr>
          <w:snapToGrid w:val="0"/>
          <w:lang w:val="pt-PT"/>
        </w:rPr>
        <w:t>Não congelar.</w:t>
      </w:r>
    </w:p>
    <w:p w14:paraId="03BE1EE6" w14:textId="31E35295" w:rsidR="00162CE2" w:rsidRPr="002606DB" w:rsidRDefault="00162CE2" w:rsidP="00056F35">
      <w:pPr>
        <w:pStyle w:val="a3"/>
        <w:adjustRightInd w:val="0"/>
        <w:snapToGrid w:val="0"/>
        <w:rPr>
          <w:snapToGrid w:val="0"/>
          <w:lang w:val="pt-PT"/>
        </w:rPr>
      </w:pPr>
      <w:r w:rsidRPr="002606DB">
        <w:rPr>
          <w:snapToGrid w:val="0"/>
          <w:lang w:val="pt-PT"/>
        </w:rPr>
        <w:t>Conservar o frasco para injetáveis na embalagem exterior para proteger da luz.</w:t>
      </w:r>
    </w:p>
    <w:p w14:paraId="2FB421D1" w14:textId="77777777" w:rsidR="00162CE2" w:rsidRPr="002606DB" w:rsidRDefault="00162CE2" w:rsidP="00056F35">
      <w:pPr>
        <w:pStyle w:val="a3"/>
        <w:adjustRightInd w:val="0"/>
        <w:snapToGrid w:val="0"/>
        <w:rPr>
          <w:snapToGrid w:val="0"/>
          <w:lang w:val="pt-PT"/>
        </w:rPr>
      </w:pPr>
    </w:p>
    <w:p w14:paraId="2C82149C" w14:textId="065D391B" w:rsidR="00162CE2" w:rsidRPr="002606DB" w:rsidRDefault="00162CE2" w:rsidP="00056F35">
      <w:pPr>
        <w:pStyle w:val="a3"/>
        <w:adjustRightInd w:val="0"/>
        <w:snapToGrid w:val="0"/>
        <w:rPr>
          <w:snapToGrid w:val="0"/>
          <w:lang w:val="pt-PT"/>
        </w:rPr>
      </w:pPr>
      <w:r w:rsidRPr="002606DB">
        <w:rPr>
          <w:snapToGrid w:val="0"/>
          <w:lang w:val="pt-PT"/>
        </w:rPr>
        <w:t xml:space="preserve">As soluções para perfusão devem ser utilizadas imediatamente após a diluição. Se não forem utilizadas imediatamente, a duração e as condições de conservação após a preparação são da responsabilidade do utilizador, não devendo ser superiores a 24 horas a 2°C-8°C, exceto se as soluções para perfusão tenham sido preparadas num ambiente estéril. Quando a diluição é efetuada num ambiente estéril,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é estável durante 60 dias a 2°C-8°C, mais um período adicional de 7 dias a 2 °C-30 °C.</w:t>
      </w:r>
    </w:p>
    <w:p w14:paraId="155D7BAB" w14:textId="77777777" w:rsidR="00162CE2" w:rsidRPr="002606DB" w:rsidRDefault="00162CE2" w:rsidP="00056F35">
      <w:pPr>
        <w:pStyle w:val="a3"/>
        <w:adjustRightInd w:val="0"/>
        <w:snapToGrid w:val="0"/>
        <w:rPr>
          <w:snapToGrid w:val="0"/>
          <w:lang w:val="pt-PT"/>
        </w:rPr>
      </w:pPr>
    </w:p>
    <w:p w14:paraId="3E5DFE2D" w14:textId="41646B4B" w:rsidR="00162CE2" w:rsidRPr="002606DB" w:rsidRDefault="00162CE2" w:rsidP="00056F35">
      <w:pPr>
        <w:pStyle w:val="a3"/>
        <w:adjustRightInd w:val="0"/>
        <w:snapToGrid w:val="0"/>
        <w:rPr>
          <w:snapToGrid w:val="0"/>
          <w:lang w:val="pt-PT"/>
        </w:rPr>
      </w:pPr>
      <w:r w:rsidRPr="002606DB">
        <w:rPr>
          <w:snapToGrid w:val="0"/>
          <w:lang w:val="pt-PT"/>
        </w:rPr>
        <w:t xml:space="preserve">Não utilize </w:t>
      </w:r>
      <w:r w:rsidR="00FB2483">
        <w:rPr>
          <w:noProof/>
          <w:color w:val="000000"/>
          <w:lang w:val="fr-CA" w:eastAsia="ko-KR"/>
        </w:rPr>
        <w:t>Vegzelma</w:t>
      </w:r>
      <w:r w:rsidRPr="007155C0">
        <w:rPr>
          <w:noProof/>
          <w:color w:val="000000"/>
          <w:lang w:val="fr-CA" w:eastAsia="ko-KR"/>
        </w:rPr>
        <w:t xml:space="preserve"> </w:t>
      </w:r>
      <w:r w:rsidRPr="002606DB">
        <w:rPr>
          <w:snapToGrid w:val="0"/>
          <w:lang w:val="pt-PT"/>
        </w:rPr>
        <w:t>se notar qualquer partícula sólida ou descoloração antes da administração.</w:t>
      </w:r>
    </w:p>
    <w:p w14:paraId="36ECE0E3" w14:textId="77777777" w:rsidR="00162CE2" w:rsidRPr="002606DB" w:rsidRDefault="00162CE2" w:rsidP="00056F35">
      <w:pPr>
        <w:pStyle w:val="a3"/>
        <w:adjustRightInd w:val="0"/>
        <w:snapToGrid w:val="0"/>
        <w:rPr>
          <w:snapToGrid w:val="0"/>
          <w:lang w:val="pt-PT"/>
        </w:rPr>
      </w:pPr>
    </w:p>
    <w:p w14:paraId="387C2474" w14:textId="77777777" w:rsidR="00162CE2" w:rsidRPr="002606DB" w:rsidRDefault="00162CE2" w:rsidP="00AF236D">
      <w:pPr>
        <w:pStyle w:val="a3"/>
        <w:adjustRightInd w:val="0"/>
        <w:snapToGrid w:val="0"/>
        <w:ind w:right="-422"/>
        <w:rPr>
          <w:snapToGrid w:val="0"/>
          <w:lang w:val="pt-PT"/>
        </w:rPr>
      </w:pPr>
      <w:r w:rsidRPr="002606DB">
        <w:rPr>
          <w:snapToGrid w:val="0"/>
          <w:lang w:val="pt-PT"/>
        </w:rPr>
        <w:t>Não deite fora quaisquer medicamentos na canalização ou no lixo doméstico. Pergunte ao seu farmacêutico como deitar fora os medicamentos que já não utiliza. Estas medidas ajudarão a proteger o ambiente.</w:t>
      </w:r>
    </w:p>
    <w:p w14:paraId="0D8F54A1" w14:textId="77777777" w:rsidR="00162CE2" w:rsidRPr="002606DB" w:rsidRDefault="00162CE2" w:rsidP="00056F35">
      <w:pPr>
        <w:pStyle w:val="a3"/>
        <w:adjustRightInd w:val="0"/>
        <w:snapToGrid w:val="0"/>
        <w:rPr>
          <w:snapToGrid w:val="0"/>
          <w:lang w:val="pt-PT"/>
        </w:rPr>
      </w:pPr>
    </w:p>
    <w:p w14:paraId="4EAE59D6" w14:textId="77777777" w:rsidR="00162CE2" w:rsidRPr="002606DB" w:rsidRDefault="00162CE2" w:rsidP="00056F35">
      <w:pPr>
        <w:pStyle w:val="a3"/>
        <w:adjustRightInd w:val="0"/>
        <w:snapToGrid w:val="0"/>
        <w:rPr>
          <w:snapToGrid w:val="0"/>
          <w:lang w:val="pt-PT"/>
        </w:rPr>
      </w:pPr>
    </w:p>
    <w:p w14:paraId="11B94D2C" w14:textId="77777777" w:rsidR="00162CE2" w:rsidRPr="00730741" w:rsidRDefault="00162CE2" w:rsidP="00730741">
      <w:pPr>
        <w:rPr>
          <w:b/>
          <w:bCs/>
          <w:snapToGrid w:val="0"/>
          <w:lang w:val="pt-PT"/>
        </w:rPr>
      </w:pPr>
      <w:r w:rsidRPr="00730741">
        <w:rPr>
          <w:b/>
          <w:bCs/>
          <w:snapToGrid w:val="0"/>
          <w:w w:val="101"/>
          <w:lang w:val="fr-CA"/>
        </w:rPr>
        <w:t>6.</w:t>
      </w:r>
      <w:r w:rsidRPr="00730741">
        <w:rPr>
          <w:b/>
          <w:bCs/>
          <w:snapToGrid w:val="0"/>
          <w:w w:val="101"/>
          <w:lang w:val="fr-CA"/>
        </w:rPr>
        <w:tab/>
      </w:r>
      <w:r w:rsidRPr="00730741">
        <w:rPr>
          <w:b/>
          <w:bCs/>
          <w:snapToGrid w:val="0"/>
          <w:lang w:val="pt-PT"/>
        </w:rPr>
        <w:t xml:space="preserve">Conteúdo da embalagem e outras informações </w:t>
      </w:r>
    </w:p>
    <w:p w14:paraId="0CD25014" w14:textId="77777777" w:rsidR="00162CE2" w:rsidRPr="002606DB" w:rsidRDefault="00162CE2" w:rsidP="00730741">
      <w:pPr>
        <w:rPr>
          <w:snapToGrid w:val="0"/>
          <w:lang w:val="pt-PT"/>
        </w:rPr>
      </w:pPr>
    </w:p>
    <w:p w14:paraId="7B56C07D" w14:textId="4474F5B6" w:rsidR="00162CE2" w:rsidRPr="00730741" w:rsidRDefault="00162CE2" w:rsidP="00730741">
      <w:pPr>
        <w:rPr>
          <w:b/>
          <w:bCs/>
          <w:snapToGrid w:val="0"/>
          <w:lang w:val="pt-PT"/>
        </w:rPr>
      </w:pPr>
      <w:r w:rsidRPr="00730741">
        <w:rPr>
          <w:b/>
          <w:bCs/>
          <w:snapToGrid w:val="0"/>
          <w:lang w:val="pt-PT"/>
        </w:rPr>
        <w:t xml:space="preserve">Qual a composição de </w:t>
      </w:r>
      <w:r w:rsidR="00FB2483" w:rsidRPr="00730741">
        <w:rPr>
          <w:b/>
          <w:bCs/>
          <w:noProof/>
          <w:color w:val="000000"/>
          <w:lang w:val="fr-CA" w:eastAsia="ko-KR"/>
        </w:rPr>
        <w:t>Vegzelma</w:t>
      </w:r>
    </w:p>
    <w:p w14:paraId="4A238893" w14:textId="77777777" w:rsidR="00162CE2" w:rsidRPr="002606DB" w:rsidRDefault="00162CE2" w:rsidP="00730741">
      <w:pPr>
        <w:rPr>
          <w:snapToGrid w:val="0"/>
          <w:lang w:val="pt-PT"/>
        </w:rPr>
      </w:pPr>
    </w:p>
    <w:p w14:paraId="503B5155" w14:textId="0815A18C"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t></w:t>
      </w:r>
      <w:r w:rsidRPr="007155C0">
        <w:rPr>
          <w:rFonts w:ascii="Symbol" w:hAnsi="Symbol" w:cs="Symbol"/>
          <w:snapToGrid w:val="0"/>
          <w:w w:val="101"/>
          <w:lang w:val="fr-CA"/>
        </w:rPr>
        <w:tab/>
      </w:r>
      <w:r w:rsidRPr="002606DB">
        <w:rPr>
          <w:snapToGrid w:val="0"/>
          <w:lang w:val="pt-PT"/>
        </w:rPr>
        <w:t>A substância ativa é bevacizumab. Cada ml de concentrado contém 25 mg de bevacizumab, correspondendo a 1,4 a 16,5 mg/ml quando diluído conforme recomendado.</w:t>
      </w:r>
    </w:p>
    <w:p w14:paraId="0EAC133B" w14:textId="70FDD29B" w:rsidR="00162CE2" w:rsidRPr="002606DB" w:rsidRDefault="00162CE2" w:rsidP="00043CC4">
      <w:pPr>
        <w:pStyle w:val="a3"/>
        <w:adjustRightInd w:val="0"/>
        <w:snapToGrid w:val="0"/>
        <w:ind w:left="567" w:hanging="567"/>
        <w:rPr>
          <w:snapToGrid w:val="0"/>
          <w:lang w:val="pt-PT"/>
        </w:rPr>
      </w:pPr>
      <w:r w:rsidRPr="002606DB">
        <w:rPr>
          <w:snapToGrid w:val="0"/>
          <w:lang w:val="pt-PT"/>
        </w:rPr>
        <w:tab/>
        <w:t>Cada frasco para injetáveis de 4 ml contém 100 mg de bevacizumab correspondendo a 1,4 mg/ml quando diluído conforme recomendado.</w:t>
      </w:r>
    </w:p>
    <w:p w14:paraId="7A6A80BE" w14:textId="2017147A" w:rsidR="00162CE2" w:rsidRPr="002606DB" w:rsidRDefault="00162CE2" w:rsidP="00043CC4">
      <w:pPr>
        <w:pStyle w:val="a3"/>
        <w:adjustRightInd w:val="0"/>
        <w:snapToGrid w:val="0"/>
        <w:ind w:left="567" w:hanging="567"/>
        <w:rPr>
          <w:snapToGrid w:val="0"/>
          <w:lang w:val="pt-PT"/>
        </w:rPr>
      </w:pPr>
      <w:r w:rsidRPr="002606DB">
        <w:rPr>
          <w:snapToGrid w:val="0"/>
          <w:lang w:val="pt-PT"/>
        </w:rPr>
        <w:tab/>
        <w:t>Cada frasco para injetáveis de 16 ml contém 400 mg de bevacizumab correspondendo a 16,5 mg/ml quando diluído conforme recomendado.</w:t>
      </w:r>
    </w:p>
    <w:p w14:paraId="62D9EFB5" w14:textId="77777777" w:rsidR="00162CE2" w:rsidRPr="002606DB" w:rsidRDefault="00162CE2" w:rsidP="00043CC4">
      <w:pPr>
        <w:pStyle w:val="a4"/>
        <w:adjustRightInd w:val="0"/>
        <w:snapToGrid w:val="0"/>
        <w:ind w:left="567" w:hanging="567"/>
        <w:rPr>
          <w:snapToGrid w:val="0"/>
          <w:lang w:val="pt-PT"/>
        </w:rPr>
      </w:pPr>
      <w:r w:rsidRPr="002606DB">
        <w:rPr>
          <w:rFonts w:ascii="Symbol" w:hAnsi="Symbol" w:cs="Symbol"/>
          <w:snapToGrid w:val="0"/>
          <w:w w:val="101"/>
        </w:rPr>
        <w:lastRenderedPageBreak/>
        <w:t></w:t>
      </w:r>
      <w:r w:rsidRPr="007155C0">
        <w:rPr>
          <w:rFonts w:ascii="Symbol" w:hAnsi="Symbol" w:cs="Symbol"/>
          <w:snapToGrid w:val="0"/>
          <w:w w:val="101"/>
          <w:lang w:val="pt-PT"/>
        </w:rPr>
        <w:tab/>
      </w:r>
      <w:r w:rsidRPr="002606DB">
        <w:rPr>
          <w:snapToGrid w:val="0"/>
          <w:lang w:val="pt-PT"/>
        </w:rPr>
        <w:t>Os outros componentes são a trealose dihidratada, o fosfato de sódio, o polissorbato 20 e água para preparações injetáveis.</w:t>
      </w:r>
    </w:p>
    <w:p w14:paraId="5DCDE82A" w14:textId="77777777" w:rsidR="00162CE2" w:rsidRPr="002606DB" w:rsidRDefault="00162CE2" w:rsidP="00056F35">
      <w:pPr>
        <w:pStyle w:val="a3"/>
        <w:adjustRightInd w:val="0"/>
        <w:snapToGrid w:val="0"/>
        <w:rPr>
          <w:snapToGrid w:val="0"/>
          <w:lang w:val="pt-PT"/>
        </w:rPr>
      </w:pPr>
    </w:p>
    <w:p w14:paraId="3F50854D" w14:textId="56031C4F" w:rsidR="00162CE2" w:rsidRPr="00730741" w:rsidRDefault="00162CE2" w:rsidP="00730741">
      <w:pPr>
        <w:rPr>
          <w:b/>
          <w:bCs/>
          <w:snapToGrid w:val="0"/>
          <w:lang w:val="pt-PT"/>
        </w:rPr>
      </w:pPr>
      <w:r w:rsidRPr="00730741">
        <w:rPr>
          <w:b/>
          <w:bCs/>
          <w:snapToGrid w:val="0"/>
          <w:lang w:val="pt-PT"/>
        </w:rPr>
        <w:t xml:space="preserve">Qual o aspeto de </w:t>
      </w:r>
      <w:r w:rsidR="00FB2483" w:rsidRPr="00730741">
        <w:rPr>
          <w:b/>
          <w:bCs/>
          <w:noProof/>
          <w:color w:val="000000"/>
          <w:lang w:val="fr-CA" w:eastAsia="ko-KR"/>
        </w:rPr>
        <w:t>Vegzelma</w:t>
      </w:r>
      <w:r w:rsidRPr="00730741">
        <w:rPr>
          <w:b/>
          <w:bCs/>
          <w:noProof/>
          <w:color w:val="000000"/>
          <w:lang w:val="fr-CA" w:eastAsia="ko-KR"/>
        </w:rPr>
        <w:t xml:space="preserve"> </w:t>
      </w:r>
      <w:r w:rsidRPr="00730741">
        <w:rPr>
          <w:b/>
          <w:bCs/>
          <w:snapToGrid w:val="0"/>
          <w:lang w:val="pt-PT"/>
        </w:rPr>
        <w:t>e conteúdo da embalagem</w:t>
      </w:r>
    </w:p>
    <w:p w14:paraId="0F169FFC" w14:textId="77777777" w:rsidR="00162CE2" w:rsidRPr="002606DB" w:rsidRDefault="00162CE2" w:rsidP="00730741">
      <w:pPr>
        <w:rPr>
          <w:snapToGrid w:val="0"/>
          <w:lang w:val="pt-PT"/>
        </w:rPr>
      </w:pPr>
    </w:p>
    <w:p w14:paraId="7204452F" w14:textId="585BA904" w:rsidR="00162CE2" w:rsidRPr="002606DB" w:rsidRDefault="00FB2483" w:rsidP="00056F35">
      <w:pPr>
        <w:pStyle w:val="a3"/>
        <w:adjustRightInd w:val="0"/>
        <w:snapToGrid w:val="0"/>
        <w:rPr>
          <w:snapToGrid w:val="0"/>
          <w:lang w:val="pt-PT"/>
        </w:rPr>
      </w:pPr>
      <w:r>
        <w:rPr>
          <w:noProof/>
          <w:color w:val="000000"/>
          <w:lang w:val="pt-PT" w:eastAsia="ko-KR"/>
        </w:rPr>
        <w:t>Vegzelma</w:t>
      </w:r>
      <w:r w:rsidR="00162CE2" w:rsidRPr="007155C0">
        <w:rPr>
          <w:noProof/>
          <w:color w:val="000000"/>
          <w:lang w:val="pt-PT" w:eastAsia="ko-KR"/>
        </w:rPr>
        <w:t xml:space="preserve"> </w:t>
      </w:r>
      <w:r w:rsidR="00162CE2" w:rsidRPr="002606DB">
        <w:rPr>
          <w:snapToGrid w:val="0"/>
          <w:lang w:val="pt-PT"/>
        </w:rPr>
        <w:t xml:space="preserve">é um concentrado para solução para perfusão. O concentrado é um líquido transparente, incolor a castanho claro num frasco para injetáveis de vidro, com uma tampa de borracha. Cada frasco para injetáveis contém 100 mg de bevacizumab em 4 ml de solução ou 400 mg de bevacizumab em 16 ml de solução. Cada embalagem de </w:t>
      </w:r>
      <w:r>
        <w:rPr>
          <w:noProof/>
          <w:color w:val="000000"/>
          <w:lang w:val="fr-CA" w:eastAsia="ko-KR"/>
        </w:rPr>
        <w:t>Vegzelma</w:t>
      </w:r>
      <w:r w:rsidR="00162CE2" w:rsidRPr="007155C0">
        <w:rPr>
          <w:noProof/>
          <w:color w:val="000000"/>
          <w:lang w:val="fr-CA" w:eastAsia="ko-KR"/>
        </w:rPr>
        <w:t xml:space="preserve"> </w:t>
      </w:r>
      <w:r w:rsidR="00162CE2" w:rsidRPr="002606DB">
        <w:rPr>
          <w:snapToGrid w:val="0"/>
          <w:lang w:val="pt-PT"/>
        </w:rPr>
        <w:t xml:space="preserve">contém </w:t>
      </w:r>
      <w:r w:rsidR="00BF33F7" w:rsidRPr="002606DB">
        <w:rPr>
          <w:snapToGrid w:val="0"/>
          <w:lang w:val="pt-PT"/>
        </w:rPr>
        <w:t xml:space="preserve">1 frasco </w:t>
      </w:r>
      <w:r w:rsidR="008425E1" w:rsidRPr="002606DB">
        <w:rPr>
          <w:snapToGrid w:val="0"/>
          <w:lang w:val="pt-PT"/>
        </w:rPr>
        <w:t>para injetáveis</w:t>
      </w:r>
      <w:r w:rsidR="004C38AD">
        <w:rPr>
          <w:rFonts w:eastAsia="맑은 고딕" w:hint="eastAsia"/>
          <w:snapToGrid w:val="0"/>
          <w:lang w:val="pt-PT" w:eastAsia="ko-KR"/>
        </w:rPr>
        <w:t>, 2</w:t>
      </w:r>
      <w:r w:rsidR="004C38AD" w:rsidRPr="002606DB">
        <w:rPr>
          <w:snapToGrid w:val="0"/>
          <w:lang w:val="pt-PT"/>
        </w:rPr>
        <w:t xml:space="preserve"> frascos para injetáveis</w:t>
      </w:r>
      <w:r w:rsidR="008425E1" w:rsidRPr="002606DB">
        <w:rPr>
          <w:snapToGrid w:val="0"/>
          <w:lang w:val="pt-PT"/>
        </w:rPr>
        <w:t xml:space="preserve"> </w:t>
      </w:r>
      <w:r w:rsidR="00BF33F7" w:rsidRPr="002606DB">
        <w:rPr>
          <w:snapToGrid w:val="0"/>
          <w:lang w:val="pt-PT"/>
        </w:rPr>
        <w:t xml:space="preserve">ou 10 </w:t>
      </w:r>
      <w:r w:rsidR="00162CE2" w:rsidRPr="002606DB">
        <w:rPr>
          <w:snapToGrid w:val="0"/>
          <w:lang w:val="pt-PT"/>
        </w:rPr>
        <w:t>frasco</w:t>
      </w:r>
      <w:r w:rsidR="00BF33F7" w:rsidRPr="002606DB">
        <w:rPr>
          <w:snapToGrid w:val="0"/>
          <w:lang w:val="pt-PT"/>
        </w:rPr>
        <w:t>s</w:t>
      </w:r>
      <w:r w:rsidR="00162CE2" w:rsidRPr="002606DB">
        <w:rPr>
          <w:snapToGrid w:val="0"/>
          <w:lang w:val="pt-PT"/>
        </w:rPr>
        <w:t xml:space="preserve"> para injetáveis.</w:t>
      </w:r>
    </w:p>
    <w:p w14:paraId="28DF1695" w14:textId="77777777" w:rsidR="00162CE2" w:rsidRPr="002606DB" w:rsidRDefault="00162CE2" w:rsidP="00056F35">
      <w:pPr>
        <w:pStyle w:val="a3"/>
        <w:adjustRightInd w:val="0"/>
        <w:snapToGrid w:val="0"/>
        <w:rPr>
          <w:snapToGrid w:val="0"/>
          <w:lang w:val="pt-PT"/>
        </w:rPr>
      </w:pPr>
    </w:p>
    <w:p w14:paraId="11722B5F" w14:textId="77777777" w:rsidR="00162CE2" w:rsidRPr="00730741" w:rsidRDefault="00162CE2" w:rsidP="00730741">
      <w:pPr>
        <w:rPr>
          <w:b/>
          <w:bCs/>
          <w:snapToGrid w:val="0"/>
          <w:lang w:val="pt-PT"/>
        </w:rPr>
      </w:pPr>
      <w:r w:rsidRPr="00730741">
        <w:rPr>
          <w:b/>
          <w:bCs/>
          <w:snapToGrid w:val="0"/>
          <w:lang w:val="pt-PT"/>
        </w:rPr>
        <w:t>Titular da Autorização de Introdução no Mercado</w:t>
      </w:r>
    </w:p>
    <w:p w14:paraId="63F69BCC" w14:textId="77777777" w:rsidR="00162CE2" w:rsidRPr="002606DB" w:rsidRDefault="00162CE2" w:rsidP="00730741">
      <w:pPr>
        <w:rPr>
          <w:snapToGrid w:val="0"/>
          <w:lang w:val="pt-PT"/>
        </w:rPr>
      </w:pPr>
    </w:p>
    <w:p w14:paraId="06C3DB79" w14:textId="77777777" w:rsidR="00162CE2" w:rsidRPr="002606DB" w:rsidRDefault="00162CE2" w:rsidP="004470B3">
      <w:pPr>
        <w:widowControl/>
        <w:adjustRightInd w:val="0"/>
        <w:snapToGrid w:val="0"/>
        <w:rPr>
          <w:color w:val="000000"/>
          <w:lang w:val="en-GB" w:eastAsia="ko-KR"/>
        </w:rPr>
      </w:pPr>
      <w:r w:rsidRPr="002606DB">
        <w:rPr>
          <w:color w:val="000000"/>
          <w:lang w:val="en-GB" w:eastAsia="ko-KR"/>
        </w:rPr>
        <w:t xml:space="preserve">Celltrion Healthcare Hungary Kft. </w:t>
      </w:r>
    </w:p>
    <w:p w14:paraId="22C755D3" w14:textId="77777777" w:rsidR="00162CE2" w:rsidRPr="002606DB" w:rsidRDefault="00162CE2" w:rsidP="004470B3">
      <w:pPr>
        <w:widowControl/>
        <w:adjustRightInd w:val="0"/>
        <w:snapToGrid w:val="0"/>
        <w:rPr>
          <w:color w:val="000000"/>
          <w:lang w:val="en-GB" w:eastAsia="ko-KR"/>
        </w:rPr>
      </w:pPr>
      <w:r w:rsidRPr="002606DB">
        <w:rPr>
          <w:rFonts w:eastAsia="바탕"/>
          <w:color w:val="000000"/>
          <w:lang w:val="en-GB"/>
        </w:rPr>
        <w:t xml:space="preserve">1062 </w:t>
      </w:r>
      <w:r w:rsidRPr="002606DB">
        <w:rPr>
          <w:color w:val="000000"/>
          <w:lang w:val="en-GB" w:eastAsia="ko-KR"/>
        </w:rPr>
        <w:t>Budapest</w:t>
      </w:r>
    </w:p>
    <w:p w14:paraId="54344137" w14:textId="77777777" w:rsidR="00162CE2" w:rsidRPr="002606DB" w:rsidRDefault="00162CE2" w:rsidP="004470B3">
      <w:pPr>
        <w:widowControl/>
        <w:adjustRightInd w:val="0"/>
        <w:snapToGrid w:val="0"/>
        <w:rPr>
          <w:rFonts w:eastAsia="바탕"/>
          <w:color w:val="000000"/>
          <w:lang w:val="en-GB"/>
        </w:rPr>
      </w:pPr>
      <w:r w:rsidRPr="002606DB">
        <w:rPr>
          <w:rFonts w:eastAsia="바탕"/>
          <w:color w:val="000000"/>
          <w:lang w:val="en-GB"/>
        </w:rPr>
        <w:t xml:space="preserve">Váci </w:t>
      </w:r>
      <w:proofErr w:type="spellStart"/>
      <w:r w:rsidRPr="002606DB">
        <w:rPr>
          <w:rFonts w:eastAsia="바탕"/>
          <w:color w:val="000000"/>
          <w:lang w:val="en-GB"/>
        </w:rPr>
        <w:t>út</w:t>
      </w:r>
      <w:proofErr w:type="spellEnd"/>
      <w:r w:rsidRPr="002606DB">
        <w:rPr>
          <w:rFonts w:eastAsia="바탕"/>
          <w:color w:val="000000"/>
          <w:lang w:val="en-GB"/>
        </w:rPr>
        <w:t xml:space="preserve"> 1-3. </w:t>
      </w:r>
      <w:proofErr w:type="spellStart"/>
      <w:r w:rsidRPr="002606DB">
        <w:rPr>
          <w:rFonts w:eastAsia="바탕"/>
          <w:color w:val="000000"/>
          <w:lang w:val="en-GB"/>
        </w:rPr>
        <w:t>WestEnd</w:t>
      </w:r>
      <w:proofErr w:type="spellEnd"/>
      <w:r w:rsidRPr="002606DB">
        <w:rPr>
          <w:rFonts w:eastAsia="바탕"/>
          <w:color w:val="000000"/>
          <w:lang w:val="en-GB"/>
        </w:rPr>
        <w:t xml:space="preserve"> Office Building B </w:t>
      </w:r>
      <w:proofErr w:type="spellStart"/>
      <w:r w:rsidRPr="002606DB">
        <w:rPr>
          <w:rFonts w:eastAsia="바탕"/>
          <w:color w:val="000000"/>
          <w:lang w:val="en-GB"/>
        </w:rPr>
        <w:t>torony</w:t>
      </w:r>
      <w:proofErr w:type="spellEnd"/>
    </w:p>
    <w:p w14:paraId="4A455CE1" w14:textId="6EE4452E" w:rsidR="00162CE2" w:rsidRPr="002606DB" w:rsidRDefault="00162CE2" w:rsidP="00056F35">
      <w:pPr>
        <w:pStyle w:val="a3"/>
        <w:adjustRightInd w:val="0"/>
        <w:snapToGrid w:val="0"/>
        <w:rPr>
          <w:snapToGrid w:val="0"/>
          <w:lang w:val="pt-PT"/>
        </w:rPr>
      </w:pPr>
      <w:r w:rsidRPr="002606DB">
        <w:rPr>
          <w:color w:val="000000"/>
          <w:lang w:val="en-GB" w:eastAsia="ko-KR"/>
        </w:rPr>
        <w:t>Hungria</w:t>
      </w:r>
    </w:p>
    <w:p w14:paraId="620912DB" w14:textId="77777777" w:rsidR="00162CE2" w:rsidRPr="002606DB" w:rsidRDefault="00162CE2" w:rsidP="00056F35">
      <w:pPr>
        <w:pStyle w:val="a3"/>
        <w:adjustRightInd w:val="0"/>
        <w:snapToGrid w:val="0"/>
        <w:rPr>
          <w:snapToGrid w:val="0"/>
          <w:lang w:val="pt-PT"/>
        </w:rPr>
      </w:pPr>
    </w:p>
    <w:p w14:paraId="112543B6" w14:textId="77777777" w:rsidR="00162CE2" w:rsidRPr="00730741" w:rsidRDefault="00162CE2" w:rsidP="00730741">
      <w:pPr>
        <w:rPr>
          <w:b/>
          <w:bCs/>
          <w:snapToGrid w:val="0"/>
          <w:lang w:val="pt-PT"/>
        </w:rPr>
      </w:pPr>
      <w:r w:rsidRPr="00730741">
        <w:rPr>
          <w:b/>
          <w:bCs/>
          <w:snapToGrid w:val="0"/>
          <w:lang w:val="pt-PT"/>
        </w:rPr>
        <w:t>Fabricante</w:t>
      </w:r>
    </w:p>
    <w:p w14:paraId="5DA36306" w14:textId="77777777" w:rsidR="00162CE2" w:rsidRPr="002606DB" w:rsidRDefault="00162CE2" w:rsidP="00730741">
      <w:pPr>
        <w:rPr>
          <w:snapToGrid w:val="0"/>
          <w:lang w:val="pt-PT"/>
        </w:rPr>
      </w:pPr>
    </w:p>
    <w:p w14:paraId="368F39A0" w14:textId="77777777" w:rsidR="00EA0213" w:rsidRPr="00AD1982" w:rsidRDefault="00EA0213" w:rsidP="00EA0213">
      <w:pPr>
        <w:widowControl/>
        <w:adjustRightInd w:val="0"/>
        <w:snapToGrid w:val="0"/>
        <w:rPr>
          <w:snapToGrid w:val="0"/>
          <w:color w:val="000000"/>
          <w:shd w:val="clear" w:color="auto" w:fill="C1C1C1"/>
          <w:lang w:val="pt-PT"/>
        </w:rPr>
      </w:pPr>
      <w:r w:rsidRPr="00AD1982">
        <w:rPr>
          <w:snapToGrid w:val="0"/>
          <w:color w:val="000000"/>
          <w:shd w:val="clear" w:color="auto" w:fill="C1C1C1"/>
          <w:lang w:val="pt-PT"/>
        </w:rPr>
        <w:t>Nuvisan GmbH</w:t>
      </w:r>
    </w:p>
    <w:p w14:paraId="2FA27DE0" w14:textId="77777777" w:rsidR="00EA0213" w:rsidRPr="00AD1982" w:rsidRDefault="00EA0213" w:rsidP="00EA0213">
      <w:pPr>
        <w:widowControl/>
        <w:adjustRightInd w:val="0"/>
        <w:snapToGrid w:val="0"/>
        <w:rPr>
          <w:snapToGrid w:val="0"/>
          <w:color w:val="000000"/>
          <w:shd w:val="clear" w:color="auto" w:fill="C1C1C1"/>
          <w:lang w:val="pt-PT"/>
        </w:rPr>
      </w:pPr>
      <w:r w:rsidRPr="00AD1982">
        <w:rPr>
          <w:snapToGrid w:val="0"/>
          <w:color w:val="000000"/>
          <w:shd w:val="clear" w:color="auto" w:fill="C1C1C1"/>
          <w:lang w:val="pt-PT"/>
        </w:rPr>
        <w:t>Wegenerstraße 13</w:t>
      </w:r>
    </w:p>
    <w:p w14:paraId="07C3D08C" w14:textId="4F6FDBD0" w:rsidR="00EA0213" w:rsidRPr="00AD1982" w:rsidRDefault="00EA0213" w:rsidP="00EA0213">
      <w:pPr>
        <w:pStyle w:val="a3"/>
        <w:adjustRightInd w:val="0"/>
        <w:snapToGrid w:val="0"/>
        <w:rPr>
          <w:snapToGrid w:val="0"/>
          <w:color w:val="000000"/>
          <w:shd w:val="clear" w:color="auto" w:fill="C1C1C1"/>
          <w:lang w:val="pt-PT"/>
        </w:rPr>
      </w:pPr>
      <w:r w:rsidRPr="00AD1982">
        <w:rPr>
          <w:snapToGrid w:val="0"/>
          <w:color w:val="000000"/>
          <w:shd w:val="clear" w:color="auto" w:fill="C1C1C1"/>
          <w:lang w:val="pt-PT"/>
        </w:rPr>
        <w:t>89231 Neu</w:t>
      </w:r>
      <w:r w:rsidR="00C921C4">
        <w:rPr>
          <w:rFonts w:eastAsia="맑은 고딕" w:hint="eastAsia"/>
          <w:snapToGrid w:val="0"/>
          <w:color w:val="000000"/>
          <w:shd w:val="clear" w:color="auto" w:fill="C1C1C1"/>
          <w:lang w:val="pt-PT" w:eastAsia="ko-KR"/>
        </w:rPr>
        <w:t>-</w:t>
      </w:r>
      <w:r w:rsidRPr="00AD1982">
        <w:rPr>
          <w:snapToGrid w:val="0"/>
          <w:color w:val="000000"/>
          <w:shd w:val="clear" w:color="auto" w:fill="C1C1C1"/>
          <w:lang w:val="pt-PT"/>
        </w:rPr>
        <w:t>Ulm</w:t>
      </w:r>
      <w:r w:rsidRPr="00AD1982" w:rsidDel="00B7461E">
        <w:rPr>
          <w:snapToGrid w:val="0"/>
          <w:color w:val="000000"/>
          <w:shd w:val="clear" w:color="auto" w:fill="C1C1C1"/>
          <w:lang w:val="pt-PT"/>
        </w:rPr>
        <w:t xml:space="preserve"> </w:t>
      </w:r>
    </w:p>
    <w:p w14:paraId="7E2439FC" w14:textId="77777777" w:rsidR="00EA0213" w:rsidRPr="00AD1982" w:rsidRDefault="00EA0213" w:rsidP="00EA0213">
      <w:pPr>
        <w:pStyle w:val="a3"/>
        <w:adjustRightInd w:val="0"/>
        <w:snapToGrid w:val="0"/>
        <w:rPr>
          <w:snapToGrid w:val="0"/>
          <w:color w:val="000000"/>
          <w:shd w:val="clear" w:color="auto" w:fill="C1C1C1"/>
          <w:lang w:val="pt-PT"/>
        </w:rPr>
      </w:pPr>
      <w:r w:rsidRPr="00AD1982">
        <w:rPr>
          <w:snapToGrid w:val="0"/>
          <w:color w:val="000000"/>
          <w:shd w:val="clear" w:color="auto" w:fill="C1C1C1"/>
          <w:lang w:val="pt-PT"/>
        </w:rPr>
        <w:t>Alemanha</w:t>
      </w:r>
    </w:p>
    <w:p w14:paraId="4ED1826A" w14:textId="77777777" w:rsidR="00EA0213" w:rsidRPr="007155C0" w:rsidRDefault="00EA0213" w:rsidP="00EA0213">
      <w:pPr>
        <w:pStyle w:val="a3"/>
        <w:adjustRightInd w:val="0"/>
        <w:snapToGrid w:val="0"/>
        <w:rPr>
          <w:color w:val="000000"/>
          <w:lang w:val="fr-CA"/>
        </w:rPr>
      </w:pPr>
    </w:p>
    <w:p w14:paraId="5684FEBD" w14:textId="77777777" w:rsidR="00EA0213" w:rsidRPr="007155C0" w:rsidRDefault="00EA0213" w:rsidP="00EA0213">
      <w:pPr>
        <w:widowControl/>
        <w:adjustRightInd w:val="0"/>
        <w:snapToGrid w:val="0"/>
        <w:rPr>
          <w:color w:val="000000"/>
          <w:lang w:val="fr-CA"/>
        </w:rPr>
      </w:pPr>
      <w:r w:rsidRPr="007155C0">
        <w:rPr>
          <w:color w:val="000000"/>
          <w:lang w:val="fr-CA"/>
        </w:rPr>
        <w:t>Nuvisan France SARL</w:t>
      </w:r>
    </w:p>
    <w:p w14:paraId="472D7785" w14:textId="77777777" w:rsidR="00EA0213" w:rsidRPr="007155C0" w:rsidRDefault="00EA0213" w:rsidP="00EA0213">
      <w:pPr>
        <w:widowControl/>
        <w:adjustRightInd w:val="0"/>
        <w:snapToGrid w:val="0"/>
        <w:rPr>
          <w:color w:val="000000"/>
          <w:lang w:val="fr-CA"/>
        </w:rPr>
      </w:pPr>
      <w:r w:rsidRPr="007155C0">
        <w:rPr>
          <w:color w:val="000000"/>
          <w:lang w:val="fr-CA"/>
        </w:rPr>
        <w:t>2400, Route des Colles</w:t>
      </w:r>
    </w:p>
    <w:p w14:paraId="364F0182" w14:textId="1150A0D8" w:rsidR="00EA0213" w:rsidRPr="007155C0" w:rsidRDefault="00EA0213" w:rsidP="00EA0213">
      <w:pPr>
        <w:pStyle w:val="a3"/>
        <w:adjustRightInd w:val="0"/>
        <w:snapToGrid w:val="0"/>
        <w:rPr>
          <w:color w:val="000000"/>
          <w:lang w:val="fr-CA"/>
        </w:rPr>
      </w:pPr>
      <w:r w:rsidRPr="007155C0">
        <w:rPr>
          <w:color w:val="000000"/>
          <w:lang w:val="fr-CA"/>
        </w:rPr>
        <w:t xml:space="preserve">06410, </w:t>
      </w:r>
      <w:r w:rsidR="00C921C4" w:rsidRPr="007155C0">
        <w:rPr>
          <w:rFonts w:eastAsia="맑은 고딕" w:hint="eastAsia"/>
          <w:color w:val="000000"/>
          <w:lang w:val="fr-CA" w:eastAsia="ko-KR"/>
        </w:rPr>
        <w:t>Biot</w:t>
      </w:r>
    </w:p>
    <w:p w14:paraId="0FF9AA0D" w14:textId="77777777" w:rsidR="00EA0213" w:rsidRPr="002606DB" w:rsidRDefault="00EA0213" w:rsidP="00EA0213">
      <w:pPr>
        <w:pStyle w:val="a3"/>
        <w:adjustRightInd w:val="0"/>
        <w:snapToGrid w:val="0"/>
        <w:rPr>
          <w:snapToGrid w:val="0"/>
          <w:lang w:val="pt-PT"/>
        </w:rPr>
      </w:pPr>
      <w:r w:rsidRPr="007155C0">
        <w:rPr>
          <w:color w:val="000000"/>
          <w:lang w:val="fr-CA"/>
        </w:rPr>
        <w:t>França</w:t>
      </w:r>
    </w:p>
    <w:p w14:paraId="047144F8" w14:textId="77777777" w:rsidR="00162CE2" w:rsidRDefault="00162CE2" w:rsidP="00056F35">
      <w:pPr>
        <w:pStyle w:val="a3"/>
        <w:adjustRightInd w:val="0"/>
        <w:snapToGrid w:val="0"/>
        <w:rPr>
          <w:snapToGrid w:val="0"/>
          <w:lang w:val="pt-PT"/>
        </w:rPr>
      </w:pPr>
    </w:p>
    <w:p w14:paraId="777C275A" w14:textId="77777777" w:rsidR="00810421" w:rsidRPr="0082359A" w:rsidRDefault="00810421" w:rsidP="00810421">
      <w:pPr>
        <w:adjustRightInd w:val="0"/>
        <w:snapToGrid w:val="0"/>
        <w:rPr>
          <w:color w:val="000000"/>
          <w:lang w:val="pt-PT"/>
        </w:rPr>
      </w:pPr>
      <w:r w:rsidRPr="0082359A">
        <w:rPr>
          <w:color w:val="000000"/>
          <w:lang w:val="pt-PT"/>
        </w:rPr>
        <w:t>Kymos S.L.</w:t>
      </w:r>
    </w:p>
    <w:p w14:paraId="70FEA127" w14:textId="77777777" w:rsidR="00810421" w:rsidRPr="0082359A" w:rsidRDefault="00810421" w:rsidP="00810421">
      <w:pPr>
        <w:adjustRightInd w:val="0"/>
        <w:snapToGrid w:val="0"/>
        <w:rPr>
          <w:color w:val="000000"/>
          <w:lang w:val="pt-PT"/>
        </w:rPr>
      </w:pPr>
      <w:r w:rsidRPr="0082359A">
        <w:rPr>
          <w:color w:val="000000"/>
          <w:lang w:val="pt-PT"/>
        </w:rPr>
        <w:t>Ronda Can Fatjó 7B</w:t>
      </w:r>
    </w:p>
    <w:p w14:paraId="0D96D440" w14:textId="79546D4E" w:rsidR="00810421" w:rsidRPr="0082359A" w:rsidRDefault="00810421" w:rsidP="00810421">
      <w:pPr>
        <w:adjustRightInd w:val="0"/>
        <w:snapToGrid w:val="0"/>
        <w:rPr>
          <w:color w:val="000000"/>
          <w:lang w:val="pt-PT"/>
        </w:rPr>
      </w:pPr>
      <w:r w:rsidRPr="0082359A">
        <w:rPr>
          <w:color w:val="000000"/>
          <w:lang w:val="pt-PT"/>
        </w:rPr>
        <w:t>(Parque Tecnológico del Vallès)</w:t>
      </w:r>
      <w:r>
        <w:rPr>
          <w:color w:val="000000"/>
          <w:lang w:val="pt-PT"/>
        </w:rPr>
        <w:t xml:space="preserve"> </w:t>
      </w:r>
      <w:r w:rsidRPr="0082359A">
        <w:rPr>
          <w:color w:val="000000"/>
          <w:lang w:val="pt-PT"/>
        </w:rPr>
        <w:t>Cerdanyola del Vallés</w:t>
      </w:r>
    </w:p>
    <w:p w14:paraId="6E594AAD" w14:textId="36F233BC" w:rsidR="00810421" w:rsidRPr="0082359A" w:rsidRDefault="00810421" w:rsidP="00810421">
      <w:pPr>
        <w:adjustRightInd w:val="0"/>
        <w:snapToGrid w:val="0"/>
        <w:rPr>
          <w:color w:val="000000"/>
          <w:lang w:val="pt-PT"/>
        </w:rPr>
      </w:pPr>
      <w:r w:rsidRPr="0082359A">
        <w:rPr>
          <w:color w:val="000000"/>
          <w:lang w:val="pt-PT"/>
        </w:rPr>
        <w:t>08290 Barcelona</w:t>
      </w:r>
    </w:p>
    <w:p w14:paraId="365FE99A" w14:textId="77777777" w:rsidR="00AD68A6" w:rsidRPr="0060603C" w:rsidRDefault="00AD68A6" w:rsidP="00AD68A6">
      <w:pPr>
        <w:spacing w:before="10" w:line="240" w:lineRule="exact"/>
        <w:rPr>
          <w:kern w:val="24"/>
          <w:lang w:val="fr-FR"/>
        </w:rPr>
      </w:pPr>
      <w:r w:rsidRPr="007155C0">
        <w:rPr>
          <w:shd w:val="clear" w:color="auto" w:fill="FFFFFF"/>
          <w:lang w:val="fr-CA"/>
        </w:rPr>
        <w:t>Espanha</w:t>
      </w:r>
    </w:p>
    <w:p w14:paraId="2821EE19" w14:textId="77777777" w:rsidR="00AD68A6" w:rsidRDefault="00AD68A6" w:rsidP="00056F35">
      <w:pPr>
        <w:pStyle w:val="a3"/>
        <w:adjustRightInd w:val="0"/>
        <w:snapToGrid w:val="0"/>
        <w:rPr>
          <w:snapToGrid w:val="0"/>
          <w:lang w:val="pt-PT"/>
        </w:rPr>
      </w:pPr>
    </w:p>
    <w:p w14:paraId="653A1339" w14:textId="77777777" w:rsidR="00C83E89" w:rsidRPr="00B00997" w:rsidRDefault="00C83E89" w:rsidP="00C83E89">
      <w:pPr>
        <w:rPr>
          <w:lang w:val="fr-FR"/>
        </w:rPr>
      </w:pPr>
      <w:r w:rsidRPr="00B00997">
        <w:rPr>
          <w:spacing w:val="-5"/>
          <w:lang w:val="fr-FR"/>
        </w:rPr>
        <w:t>Midas Pharma GmbH</w:t>
      </w:r>
    </w:p>
    <w:p w14:paraId="000051FE" w14:textId="77777777" w:rsidR="00C83E89" w:rsidRPr="00B00997" w:rsidRDefault="00C83E89" w:rsidP="00C83E89">
      <w:pPr>
        <w:rPr>
          <w:lang w:val="fr-FR"/>
        </w:rPr>
      </w:pPr>
      <w:r w:rsidRPr="00B00997">
        <w:rPr>
          <w:lang w:val="fr-FR"/>
        </w:rPr>
        <w:t>Rheinstraße 49</w:t>
      </w:r>
    </w:p>
    <w:p w14:paraId="27564069" w14:textId="77777777" w:rsidR="00C83E89" w:rsidRPr="00B00997" w:rsidRDefault="00C83E89" w:rsidP="00C83E89">
      <w:pPr>
        <w:rPr>
          <w:lang w:val="fr-FR" w:eastAsia="ko-KR"/>
        </w:rPr>
      </w:pPr>
      <w:r w:rsidRPr="00B00997">
        <w:rPr>
          <w:lang w:val="fr-FR"/>
        </w:rPr>
        <w:t>55218 Ingelheim am Rhein</w:t>
      </w:r>
    </w:p>
    <w:p w14:paraId="32F1CC65" w14:textId="77777777" w:rsidR="00C83E89" w:rsidRPr="007155C0" w:rsidRDefault="00C83E89" w:rsidP="00C83E89">
      <w:pPr>
        <w:spacing w:before="10" w:line="240" w:lineRule="exact"/>
        <w:rPr>
          <w:lang w:val="fr-FR"/>
        </w:rPr>
      </w:pPr>
      <w:r w:rsidRPr="007155C0">
        <w:rPr>
          <w:lang w:val="fr-FR"/>
        </w:rPr>
        <w:t>Alemanha</w:t>
      </w:r>
    </w:p>
    <w:p w14:paraId="7ACFA3B2" w14:textId="77777777" w:rsidR="00C83E89" w:rsidRPr="002606DB" w:rsidRDefault="00C83E89" w:rsidP="00056F35">
      <w:pPr>
        <w:pStyle w:val="a3"/>
        <w:adjustRightInd w:val="0"/>
        <w:snapToGrid w:val="0"/>
        <w:rPr>
          <w:snapToGrid w:val="0"/>
          <w:lang w:val="pt-PT"/>
        </w:rPr>
      </w:pPr>
    </w:p>
    <w:p w14:paraId="086F9CD0" w14:textId="77777777" w:rsidR="00162CE2" w:rsidRPr="002606DB" w:rsidRDefault="00162CE2" w:rsidP="00056F35">
      <w:pPr>
        <w:pStyle w:val="a3"/>
        <w:adjustRightInd w:val="0"/>
        <w:snapToGrid w:val="0"/>
        <w:rPr>
          <w:snapToGrid w:val="0"/>
          <w:lang w:val="pt-PT"/>
        </w:rPr>
      </w:pPr>
      <w:r w:rsidRPr="002606DB">
        <w:rPr>
          <w:snapToGrid w:val="0"/>
          <w:lang w:val="pt-PT"/>
        </w:rPr>
        <w:t>Para quaisquer informações sobre este medicamento, queira contactar o representante local do Titular da Autorização de Introdução no Mercado.</w:t>
      </w:r>
    </w:p>
    <w:p w14:paraId="3CDF8C50" w14:textId="2586F6B9" w:rsidR="00162CE2" w:rsidRPr="002606DB" w:rsidRDefault="00162CE2" w:rsidP="00056F35">
      <w:pPr>
        <w:pStyle w:val="a3"/>
        <w:adjustRightInd w:val="0"/>
        <w:snapToGrid w:val="0"/>
        <w:rPr>
          <w:snapToGrid w:val="0"/>
          <w:lang w:val="pt-PT"/>
        </w:rPr>
      </w:pPr>
    </w:p>
    <w:tbl>
      <w:tblPr>
        <w:tblW w:w="5000" w:type="pct"/>
        <w:tblLook w:val="04A0" w:firstRow="1" w:lastRow="0" w:firstColumn="1" w:lastColumn="0" w:noHBand="0" w:noVBand="1"/>
      </w:tblPr>
      <w:tblGrid>
        <w:gridCol w:w="4538"/>
        <w:gridCol w:w="4538"/>
      </w:tblGrid>
      <w:tr w:rsidR="00AB5CCB" w14:paraId="565F5F0C" w14:textId="77777777" w:rsidTr="00BF16A7">
        <w:tc>
          <w:tcPr>
            <w:tcW w:w="2500" w:type="pct"/>
            <w:hideMark/>
          </w:tcPr>
          <w:p w14:paraId="765B0777" w14:textId="77777777" w:rsidR="00AB5CCB" w:rsidRPr="00811842" w:rsidRDefault="00AB5CCB" w:rsidP="00BF16A7">
            <w:pPr>
              <w:keepNext/>
              <w:keepLines/>
              <w:adjustRightInd w:val="0"/>
              <w:snapToGrid w:val="0"/>
              <w:rPr>
                <w:b/>
                <w:noProof/>
                <w:lang w:val="fr-CA" w:eastAsia="fr-FR"/>
              </w:rPr>
            </w:pPr>
            <w:bookmarkStart w:id="22" w:name="_Hlk169852830"/>
            <w:r w:rsidRPr="00811842">
              <w:rPr>
                <w:rFonts w:eastAsia="맑은 고딕"/>
                <w:b/>
                <w:noProof/>
                <w:lang w:val="fr-CA" w:eastAsia="fr-FR"/>
              </w:rPr>
              <w:t>België/Belgique/Belgien</w:t>
            </w:r>
          </w:p>
          <w:p w14:paraId="1D3A5D23" w14:textId="77777777" w:rsidR="00AB5CCB" w:rsidRDefault="00AB5CCB" w:rsidP="00BF16A7">
            <w:pPr>
              <w:keepNext/>
              <w:keepLines/>
              <w:adjustRightInd w:val="0"/>
              <w:snapToGrid w:val="0"/>
            </w:pPr>
            <w:r w:rsidRPr="00131FCB">
              <w:t xml:space="preserve">Celltrion Healthcare Belgium BVBA </w:t>
            </w:r>
          </w:p>
          <w:p w14:paraId="6313D9C2" w14:textId="77777777" w:rsidR="00AB5CCB" w:rsidRDefault="00AB5CCB" w:rsidP="00BF16A7">
            <w:pPr>
              <w:keepNext/>
              <w:keepLines/>
              <w:adjustRightInd w:val="0"/>
              <w:snapToGrid w:val="0"/>
            </w:pPr>
            <w:proofErr w:type="spellStart"/>
            <w:r w:rsidRPr="00131FCB">
              <w:t>Tél</w:t>
            </w:r>
            <w:proofErr w:type="spellEnd"/>
            <w:r w:rsidRPr="00131FCB">
              <w:t>/Tel: + 32 1528 7418</w:t>
            </w:r>
          </w:p>
          <w:p w14:paraId="0B95E3B6" w14:textId="77777777" w:rsidR="00AB5CCB" w:rsidRPr="00267BCE" w:rsidRDefault="00AB5CCB" w:rsidP="00BF16A7">
            <w:pPr>
              <w:keepNext/>
              <w:keepLines/>
              <w:adjustRightInd w:val="0"/>
              <w:snapToGrid w:val="0"/>
              <w:rPr>
                <w:rFonts w:eastAsia="맑은 고딕"/>
                <w:noProof/>
                <w:lang w:eastAsia="ko-KR"/>
              </w:rPr>
            </w:pPr>
          </w:p>
        </w:tc>
        <w:tc>
          <w:tcPr>
            <w:tcW w:w="2500" w:type="pct"/>
          </w:tcPr>
          <w:p w14:paraId="104D76BE" w14:textId="77777777" w:rsidR="00AB5CCB" w:rsidRPr="00811842" w:rsidRDefault="00AB5CCB" w:rsidP="00BF16A7">
            <w:pPr>
              <w:keepNext/>
              <w:keepLines/>
              <w:tabs>
                <w:tab w:val="left" w:pos="-720"/>
              </w:tabs>
              <w:suppressAutoHyphens/>
              <w:adjustRightInd w:val="0"/>
              <w:snapToGrid w:val="0"/>
              <w:rPr>
                <w:b/>
                <w:noProof/>
                <w:lang w:eastAsia="fr-FR"/>
              </w:rPr>
            </w:pPr>
            <w:r w:rsidRPr="00811842">
              <w:rPr>
                <w:b/>
                <w:noProof/>
                <w:lang w:eastAsia="fr-FR"/>
              </w:rPr>
              <w:t>Lietuva</w:t>
            </w:r>
          </w:p>
          <w:p w14:paraId="06D0FE4A" w14:textId="77777777" w:rsidR="00AB5CCB" w:rsidRPr="00507267" w:rsidRDefault="00AB5CCB" w:rsidP="00BF16A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1AB81741" w14:textId="77777777" w:rsidR="00AB5CCB" w:rsidRDefault="00AB5CCB" w:rsidP="00BF16A7">
            <w:pPr>
              <w:keepNext/>
              <w:keepLines/>
              <w:adjustRightInd w:val="0"/>
              <w:snapToGrid w:val="0"/>
              <w:rPr>
                <w:noProof/>
                <w:lang w:eastAsia="fr-FR"/>
              </w:rPr>
            </w:pPr>
            <w:r w:rsidRPr="007E01E8">
              <w:rPr>
                <w:noProof/>
                <w:lang w:eastAsia="fr-FR"/>
              </w:rPr>
              <w:t>Tel.: +36 1 231 0493</w:t>
            </w:r>
          </w:p>
          <w:p w14:paraId="2360DF33" w14:textId="77777777" w:rsidR="00AB5CCB" w:rsidRPr="00507267" w:rsidRDefault="00AB5CCB" w:rsidP="00BF16A7">
            <w:pPr>
              <w:keepNext/>
              <w:keepLines/>
              <w:adjustRightInd w:val="0"/>
              <w:snapToGrid w:val="0"/>
              <w:rPr>
                <w:noProof/>
                <w:lang w:eastAsia="fr-FR"/>
              </w:rPr>
            </w:pPr>
          </w:p>
        </w:tc>
      </w:tr>
      <w:tr w:rsidR="00AB5CCB" w14:paraId="518E5794" w14:textId="77777777" w:rsidTr="00BF16A7">
        <w:trPr>
          <w:trHeight w:val="619"/>
        </w:trPr>
        <w:tc>
          <w:tcPr>
            <w:tcW w:w="2500" w:type="pct"/>
          </w:tcPr>
          <w:p w14:paraId="23CE400E" w14:textId="77777777" w:rsidR="00AB5CCB" w:rsidRPr="008C5B9D" w:rsidRDefault="00AB5CCB" w:rsidP="00BF16A7">
            <w:pPr>
              <w:adjustRightInd w:val="0"/>
              <w:snapToGrid w:val="0"/>
              <w:rPr>
                <w:rFonts w:eastAsia="맑은 고딕"/>
                <w:b/>
                <w:noProof/>
                <w:lang w:eastAsia="fr-FR"/>
              </w:rPr>
            </w:pPr>
            <w:r w:rsidRPr="008C5B9D">
              <w:rPr>
                <w:b/>
                <w:bCs/>
              </w:rPr>
              <w:t>България</w:t>
            </w:r>
          </w:p>
          <w:p w14:paraId="3A7C13C1" w14:textId="77777777" w:rsidR="00AB5CCB" w:rsidRPr="00507267" w:rsidRDefault="00AB5CCB"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60586F70" w14:textId="4EDF2E4B" w:rsidR="00AB5CCB" w:rsidRPr="00507267" w:rsidRDefault="00AB5CCB" w:rsidP="00AB5CCB">
            <w:pPr>
              <w:adjustRightInd w:val="0"/>
              <w:snapToGrid w:val="0"/>
              <w:rPr>
                <w:noProof/>
                <w:lang w:eastAsia="fr-FR"/>
              </w:rPr>
            </w:pPr>
            <w:r w:rsidRPr="007E01E8">
              <w:rPr>
                <w:rFonts w:eastAsia="맑은 고딕"/>
                <w:noProof/>
                <w:lang w:eastAsia="fr-FR"/>
              </w:rPr>
              <w:t>Teл.: +36 1 231 0493</w:t>
            </w:r>
          </w:p>
        </w:tc>
        <w:tc>
          <w:tcPr>
            <w:tcW w:w="2500" w:type="pct"/>
            <w:hideMark/>
          </w:tcPr>
          <w:p w14:paraId="3BB80DE1" w14:textId="77777777" w:rsidR="00AB5CCB" w:rsidRPr="00D05A06" w:rsidRDefault="00AB5CCB" w:rsidP="00BF16A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1EF943B0" w14:textId="77777777" w:rsidR="00AB5CCB" w:rsidRDefault="00AB5CCB" w:rsidP="00BF16A7">
            <w:pPr>
              <w:tabs>
                <w:tab w:val="left" w:pos="-720"/>
              </w:tabs>
              <w:suppressAutoHyphens/>
              <w:adjustRightInd w:val="0"/>
              <w:snapToGrid w:val="0"/>
            </w:pPr>
            <w:r w:rsidRPr="00131FCB">
              <w:t xml:space="preserve">Celltrion Healthcare Belgium BVBA </w:t>
            </w:r>
          </w:p>
          <w:p w14:paraId="1ABD5123" w14:textId="72F57D92" w:rsidR="00AB5CCB" w:rsidRPr="00507267" w:rsidRDefault="00AB5CCB" w:rsidP="00BF16A7">
            <w:pPr>
              <w:tabs>
                <w:tab w:val="left" w:pos="-720"/>
              </w:tabs>
              <w:suppressAutoHyphens/>
              <w:adjustRightInd w:val="0"/>
              <w:snapToGrid w:val="0"/>
              <w:rPr>
                <w:rFonts w:eastAsia="맑은 고딕"/>
                <w:lang w:eastAsia="ko-KR"/>
              </w:rPr>
            </w:pPr>
            <w:proofErr w:type="spellStart"/>
            <w:r w:rsidRPr="00131FCB">
              <w:t>Tél</w:t>
            </w:r>
            <w:proofErr w:type="spellEnd"/>
            <w:r w:rsidRPr="00131FCB">
              <w:t>/Tel: + 32 1528 7418</w:t>
            </w:r>
          </w:p>
          <w:p w14:paraId="6BDE7DD5" w14:textId="77777777" w:rsidR="00AB5CCB" w:rsidRPr="00267BCE" w:rsidRDefault="00AB5CCB" w:rsidP="00BF16A7">
            <w:pPr>
              <w:tabs>
                <w:tab w:val="left" w:pos="-720"/>
              </w:tabs>
              <w:suppressAutoHyphens/>
              <w:adjustRightInd w:val="0"/>
              <w:snapToGrid w:val="0"/>
              <w:rPr>
                <w:rFonts w:eastAsia="맑은 고딕"/>
                <w:lang w:eastAsia="ko-KR"/>
              </w:rPr>
            </w:pPr>
          </w:p>
        </w:tc>
      </w:tr>
      <w:tr w:rsidR="00AB5CCB" w14:paraId="5C4C430B" w14:textId="77777777" w:rsidTr="00BF16A7">
        <w:tc>
          <w:tcPr>
            <w:tcW w:w="2500" w:type="pct"/>
            <w:hideMark/>
          </w:tcPr>
          <w:p w14:paraId="5CC2A4B4" w14:textId="77777777" w:rsidR="00AB5CCB" w:rsidRPr="008C5B9D" w:rsidRDefault="00AB5CCB" w:rsidP="00BF16A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3235625C" w14:textId="77777777" w:rsidR="00AB5CCB" w:rsidRPr="00507267" w:rsidRDefault="00AB5CCB" w:rsidP="00BF16A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450B3C83" w14:textId="77777777" w:rsidR="00AB5CCB" w:rsidRDefault="00AB5CCB" w:rsidP="00BF16A7">
            <w:pPr>
              <w:tabs>
                <w:tab w:val="left" w:pos="-720"/>
              </w:tabs>
              <w:suppressAutoHyphens/>
              <w:adjustRightInd w:val="0"/>
              <w:snapToGrid w:val="0"/>
              <w:rPr>
                <w:noProof/>
                <w:lang w:eastAsia="fr-FR"/>
              </w:rPr>
            </w:pPr>
            <w:r w:rsidRPr="007E01E8">
              <w:rPr>
                <w:rFonts w:eastAsia="맑은 고딕"/>
                <w:noProof/>
                <w:lang w:eastAsia="fr-FR"/>
              </w:rPr>
              <w:t>Tel: +36 1 231 0493</w:t>
            </w:r>
          </w:p>
          <w:p w14:paraId="5B1D464E" w14:textId="77777777" w:rsidR="00AB5CCB" w:rsidRPr="00507267" w:rsidRDefault="00AB5CCB" w:rsidP="00BF16A7">
            <w:pPr>
              <w:tabs>
                <w:tab w:val="left" w:pos="-720"/>
              </w:tabs>
              <w:suppressAutoHyphens/>
              <w:adjustRightInd w:val="0"/>
              <w:snapToGrid w:val="0"/>
              <w:rPr>
                <w:noProof/>
                <w:lang w:eastAsia="fr-FR"/>
              </w:rPr>
            </w:pPr>
          </w:p>
        </w:tc>
        <w:tc>
          <w:tcPr>
            <w:tcW w:w="2500" w:type="pct"/>
          </w:tcPr>
          <w:p w14:paraId="0D1EFA93" w14:textId="77777777" w:rsidR="00AB5CCB" w:rsidRPr="00D05A06" w:rsidRDefault="00AB5CCB" w:rsidP="00BF16A7">
            <w:pPr>
              <w:adjustRightInd w:val="0"/>
              <w:snapToGrid w:val="0"/>
              <w:rPr>
                <w:rFonts w:eastAsia="맑은 고딕"/>
                <w:b/>
                <w:noProof/>
                <w:lang w:eastAsia="fr-FR"/>
              </w:rPr>
            </w:pPr>
            <w:r w:rsidRPr="00811842">
              <w:rPr>
                <w:b/>
                <w:noProof/>
              </w:rPr>
              <w:t>Magyarország</w:t>
            </w:r>
          </w:p>
          <w:p w14:paraId="787FA3E1" w14:textId="77777777" w:rsidR="00AB5CCB" w:rsidRPr="00507267" w:rsidRDefault="00AB5CCB" w:rsidP="00BF16A7">
            <w:pPr>
              <w:adjustRightInd w:val="0"/>
              <w:snapToGrid w:val="0"/>
              <w:rPr>
                <w:rFonts w:eastAsia="맑은 고딕"/>
                <w:noProof/>
                <w:lang w:eastAsia="fr-FR"/>
              </w:rPr>
            </w:pPr>
            <w:r w:rsidRPr="00507267">
              <w:rPr>
                <w:rFonts w:eastAsia="맑은 고딕"/>
                <w:noProof/>
                <w:lang w:eastAsia="fr-FR"/>
              </w:rPr>
              <w:t>Celltrion Healthcare Hungary Kft.</w:t>
            </w:r>
          </w:p>
          <w:p w14:paraId="53BEDDB5" w14:textId="77777777" w:rsidR="00AB5CCB" w:rsidRPr="00507267" w:rsidRDefault="00AB5CCB" w:rsidP="00BF16A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AB5CCB" w14:paraId="03A4A625" w14:textId="77777777" w:rsidTr="00BF16A7">
        <w:tc>
          <w:tcPr>
            <w:tcW w:w="2500" w:type="pct"/>
            <w:hideMark/>
          </w:tcPr>
          <w:p w14:paraId="74B4D21D" w14:textId="77777777" w:rsidR="00AB5CCB" w:rsidRPr="008C5B9D" w:rsidRDefault="00AB5CCB" w:rsidP="002B2707">
            <w:pPr>
              <w:keepNext/>
              <w:keepLines/>
              <w:tabs>
                <w:tab w:val="left" w:pos="-720"/>
              </w:tabs>
              <w:suppressAutoHyphens/>
              <w:adjustRightInd w:val="0"/>
              <w:snapToGrid w:val="0"/>
              <w:rPr>
                <w:b/>
                <w:bCs/>
                <w:i/>
                <w:iCs/>
                <w:noProof/>
                <w:lang w:eastAsia="fr-FR"/>
              </w:rPr>
            </w:pPr>
            <w:r w:rsidRPr="008C5B9D">
              <w:rPr>
                <w:b/>
                <w:noProof/>
              </w:rPr>
              <w:lastRenderedPageBreak/>
              <w:t>Danmark</w:t>
            </w:r>
          </w:p>
          <w:p w14:paraId="57ED898F" w14:textId="77777777" w:rsidR="00AB5CCB" w:rsidRDefault="00AB5CCB" w:rsidP="002B2707">
            <w:pPr>
              <w:pStyle w:val="paragraph"/>
              <w:keepNext/>
              <w:keepLines/>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4EC329DC" w14:textId="77777777" w:rsidR="00AB5CCB" w:rsidRDefault="00AB5CCB" w:rsidP="002B2707">
            <w:pPr>
              <w:pStyle w:val="paragraph"/>
              <w:keepNext/>
              <w:keepLines/>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3029C0E1" w14:textId="77777777" w:rsidR="00AB5CCB" w:rsidRPr="00576C4F" w:rsidRDefault="00AB5CCB" w:rsidP="002B2707">
            <w:pPr>
              <w:pStyle w:val="paragraph"/>
              <w:keepNext/>
              <w:keepLines/>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4CD9370D" w14:textId="77777777" w:rsidR="00AB5CCB" w:rsidRPr="00F51A8D" w:rsidRDefault="00AB5CCB" w:rsidP="00BF16A7">
            <w:pPr>
              <w:tabs>
                <w:tab w:val="left" w:pos="-720"/>
              </w:tabs>
              <w:suppressAutoHyphens/>
              <w:adjustRightInd w:val="0"/>
              <w:snapToGrid w:val="0"/>
              <w:rPr>
                <w:rFonts w:eastAsia="맑은 고딕"/>
                <w:noProof/>
                <w:lang w:eastAsia="fr-FR"/>
              </w:rPr>
            </w:pPr>
          </w:p>
          <w:p w14:paraId="4421DA38" w14:textId="77777777" w:rsidR="00AB5CCB" w:rsidRPr="00811842" w:rsidRDefault="00AB5CCB" w:rsidP="00BF16A7">
            <w:pPr>
              <w:tabs>
                <w:tab w:val="left" w:pos="-720"/>
              </w:tabs>
              <w:suppressAutoHyphens/>
              <w:adjustRightInd w:val="0"/>
              <w:snapToGrid w:val="0"/>
              <w:rPr>
                <w:rFonts w:eastAsia="맑은 고딕"/>
                <w:noProof/>
                <w:lang w:eastAsia="fr-FR"/>
              </w:rPr>
            </w:pPr>
          </w:p>
        </w:tc>
        <w:tc>
          <w:tcPr>
            <w:tcW w:w="2500" w:type="pct"/>
          </w:tcPr>
          <w:p w14:paraId="61BD70C8" w14:textId="77777777" w:rsidR="00AB5CCB" w:rsidRPr="00BA3060" w:rsidRDefault="00AB5CCB" w:rsidP="00BF16A7">
            <w:pPr>
              <w:adjustRightInd w:val="0"/>
              <w:snapToGrid w:val="0"/>
              <w:rPr>
                <w:noProof/>
                <w:lang w:eastAsia="fr-FR"/>
              </w:rPr>
            </w:pPr>
            <w:r w:rsidRPr="00BA3060">
              <w:rPr>
                <w:rFonts w:eastAsia="맑은 고딕"/>
                <w:b/>
                <w:noProof/>
                <w:lang w:eastAsia="fr-FR"/>
              </w:rPr>
              <w:t>Malta</w:t>
            </w:r>
          </w:p>
          <w:p w14:paraId="3B9C8BB6" w14:textId="77777777" w:rsidR="00AB5CCB" w:rsidRDefault="00AB5CCB" w:rsidP="00BF16A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7FA8A3E6" w14:textId="77777777" w:rsidR="00AB5CCB" w:rsidRPr="00D05A06" w:rsidRDefault="00AB5CCB" w:rsidP="00BF16A7">
            <w:pPr>
              <w:adjustRightInd w:val="0"/>
              <w:snapToGrid w:val="0"/>
              <w:rPr>
                <w:rFonts w:eastAsia="맑은 고딕"/>
                <w:noProof/>
                <w:lang w:eastAsia="ko-KR"/>
              </w:rPr>
            </w:pPr>
            <w:r w:rsidRPr="002410B7">
              <w:rPr>
                <w:rFonts w:eastAsia="맑은 고딕"/>
                <w:noProof/>
                <w:lang w:eastAsia="fr-FR"/>
              </w:rPr>
              <w:t>Tel: +356 2093 9800</w:t>
            </w:r>
          </w:p>
        </w:tc>
      </w:tr>
      <w:tr w:rsidR="00AB5CCB" w14:paraId="0EFC641C" w14:textId="77777777" w:rsidTr="00BF16A7">
        <w:tc>
          <w:tcPr>
            <w:tcW w:w="2500" w:type="pct"/>
            <w:hideMark/>
          </w:tcPr>
          <w:p w14:paraId="5E868905" w14:textId="77777777" w:rsidR="00AB5CCB" w:rsidRPr="008C5B9D" w:rsidRDefault="00AB5CCB" w:rsidP="00BF16A7">
            <w:pPr>
              <w:adjustRightInd w:val="0"/>
              <w:snapToGrid w:val="0"/>
              <w:rPr>
                <w:b/>
                <w:noProof/>
                <w:lang w:eastAsia="fr-FR"/>
              </w:rPr>
            </w:pPr>
            <w:r w:rsidRPr="008C5B9D">
              <w:rPr>
                <w:rFonts w:eastAsia="맑은 고딕"/>
                <w:b/>
                <w:noProof/>
                <w:lang w:eastAsia="fr-FR"/>
              </w:rPr>
              <w:t>Deutschland</w:t>
            </w:r>
          </w:p>
          <w:p w14:paraId="6A436BC4" w14:textId="77777777" w:rsidR="00AB5CCB" w:rsidRDefault="00AB5CCB" w:rsidP="00BF16A7">
            <w:pPr>
              <w:tabs>
                <w:tab w:val="left" w:pos="-720"/>
              </w:tabs>
              <w:suppressAutoHyphens/>
              <w:adjustRightInd w:val="0"/>
              <w:snapToGrid w:val="0"/>
            </w:pPr>
            <w:r w:rsidRPr="00131FCB">
              <w:t xml:space="preserve">Celltrion Healthcare </w:t>
            </w:r>
            <w:r w:rsidRPr="00E110AA">
              <w:t>Deutschland GmbH</w:t>
            </w:r>
            <w:r w:rsidRPr="00131FCB">
              <w:t xml:space="preserve"> </w:t>
            </w:r>
          </w:p>
          <w:p w14:paraId="378A2E12" w14:textId="77777777" w:rsidR="00AB5CCB" w:rsidRDefault="00AB5CCB" w:rsidP="00BF16A7">
            <w:pPr>
              <w:tabs>
                <w:tab w:val="left" w:pos="-720"/>
              </w:tabs>
              <w:suppressAutoHyphens/>
              <w:adjustRightInd w:val="0"/>
              <w:snapToGrid w:val="0"/>
            </w:pPr>
            <w:r w:rsidRPr="00131FCB">
              <w:t xml:space="preserve">Tel: </w:t>
            </w:r>
            <w:r w:rsidRPr="00E110AA">
              <w:t>+49 (0)30 346494150</w:t>
            </w:r>
          </w:p>
          <w:p w14:paraId="4B1649A5" w14:textId="77777777" w:rsidR="00AB5CCB" w:rsidRDefault="00AB5CCB" w:rsidP="00BF16A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3114285E" w14:textId="77777777" w:rsidR="00AB5CCB" w:rsidRDefault="00AB5CCB" w:rsidP="00BF16A7">
            <w:pPr>
              <w:tabs>
                <w:tab w:val="left" w:pos="-720"/>
              </w:tabs>
              <w:suppressAutoHyphens/>
              <w:adjustRightInd w:val="0"/>
              <w:snapToGrid w:val="0"/>
              <w:rPr>
                <w:rFonts w:eastAsia="맑은 고딕"/>
                <w:noProof/>
                <w:lang w:eastAsia="fr-FR"/>
              </w:rPr>
            </w:pPr>
          </w:p>
          <w:p w14:paraId="6D5D676D" w14:textId="77777777" w:rsidR="00AB5CCB" w:rsidRPr="008C5B9D" w:rsidRDefault="00AB5CCB" w:rsidP="00BF16A7">
            <w:pPr>
              <w:tabs>
                <w:tab w:val="left" w:pos="-720"/>
              </w:tabs>
              <w:suppressAutoHyphens/>
              <w:adjustRightInd w:val="0"/>
              <w:snapToGrid w:val="0"/>
              <w:rPr>
                <w:rFonts w:eastAsia="맑은 고딕"/>
                <w:noProof/>
                <w:lang w:eastAsia="fr-FR"/>
              </w:rPr>
            </w:pPr>
          </w:p>
        </w:tc>
        <w:tc>
          <w:tcPr>
            <w:tcW w:w="2500" w:type="pct"/>
          </w:tcPr>
          <w:p w14:paraId="3355B32A" w14:textId="77777777" w:rsidR="00AB5CCB" w:rsidRPr="00811842" w:rsidRDefault="00AB5CCB" w:rsidP="00BF16A7">
            <w:pPr>
              <w:adjustRightInd w:val="0"/>
              <w:snapToGrid w:val="0"/>
              <w:rPr>
                <w:noProof/>
                <w:lang w:eastAsia="fr-FR"/>
              </w:rPr>
            </w:pPr>
            <w:r w:rsidRPr="00811842">
              <w:rPr>
                <w:rFonts w:eastAsia="맑은 고딕"/>
                <w:b/>
                <w:noProof/>
                <w:lang w:eastAsia="fr-FR"/>
              </w:rPr>
              <w:t>Nederland</w:t>
            </w:r>
          </w:p>
          <w:p w14:paraId="79C721C1" w14:textId="77777777" w:rsidR="00AB5CCB" w:rsidRDefault="00AB5CCB" w:rsidP="00BF16A7">
            <w:pPr>
              <w:adjustRightInd w:val="0"/>
              <w:snapToGrid w:val="0"/>
            </w:pPr>
            <w:r w:rsidRPr="00131FCB">
              <w:t xml:space="preserve">Celltrion Healthcare Netherlands B.V. </w:t>
            </w:r>
          </w:p>
          <w:p w14:paraId="6766DE99" w14:textId="77777777" w:rsidR="00AB5CCB" w:rsidRPr="008C5B9D" w:rsidRDefault="00AB5CCB" w:rsidP="00BF16A7">
            <w:pPr>
              <w:adjustRightInd w:val="0"/>
              <w:snapToGrid w:val="0"/>
              <w:rPr>
                <w:rFonts w:eastAsia="맑은 고딕"/>
                <w:noProof/>
                <w:lang w:eastAsia="fr-FR"/>
              </w:rPr>
            </w:pPr>
            <w:r w:rsidRPr="00131FCB">
              <w:t>Tel: + 31 20 888 7300</w:t>
            </w:r>
          </w:p>
          <w:p w14:paraId="70768C97" w14:textId="77777777" w:rsidR="00AB5CCB" w:rsidRPr="00811842" w:rsidRDefault="00AB5CCB" w:rsidP="00BF16A7">
            <w:pPr>
              <w:adjustRightInd w:val="0"/>
              <w:snapToGrid w:val="0"/>
              <w:rPr>
                <w:rFonts w:eastAsia="맑은 고딕"/>
                <w:noProof/>
                <w:lang w:eastAsia="fr-FR"/>
              </w:rPr>
            </w:pPr>
          </w:p>
        </w:tc>
      </w:tr>
      <w:tr w:rsidR="00AB5CCB" w14:paraId="775D7C43" w14:textId="77777777" w:rsidTr="00BF16A7">
        <w:tc>
          <w:tcPr>
            <w:tcW w:w="2500" w:type="pct"/>
            <w:hideMark/>
          </w:tcPr>
          <w:p w14:paraId="03994557" w14:textId="77777777" w:rsidR="00AB5CCB" w:rsidRPr="00576C4F" w:rsidRDefault="00AB5CCB" w:rsidP="00BF16A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2A05D2CE" w14:textId="77777777" w:rsidR="00AB5CCB" w:rsidRPr="00576C4F" w:rsidRDefault="00AB5CCB" w:rsidP="00BF16A7">
            <w:pPr>
              <w:tabs>
                <w:tab w:val="left" w:pos="-720"/>
              </w:tabs>
              <w:suppressAutoHyphens/>
              <w:adjustRightInd w:val="0"/>
              <w:snapToGrid w:val="0"/>
            </w:pPr>
            <w:r w:rsidRPr="00576C4F">
              <w:t xml:space="preserve">Celltrion Healthcare Hungary Kft. </w:t>
            </w:r>
          </w:p>
          <w:p w14:paraId="3C74E527" w14:textId="77777777" w:rsidR="00AB5CCB" w:rsidRPr="00576C4F" w:rsidRDefault="00AB5CCB" w:rsidP="00BF16A7">
            <w:pPr>
              <w:tabs>
                <w:tab w:val="left" w:pos="-720"/>
              </w:tabs>
              <w:suppressAutoHyphens/>
              <w:adjustRightInd w:val="0"/>
              <w:snapToGrid w:val="0"/>
            </w:pPr>
            <w:r w:rsidRPr="00576C4F">
              <w:t>Tel: +36 1 231 0493</w:t>
            </w:r>
          </w:p>
          <w:p w14:paraId="6B87EB79" w14:textId="77777777" w:rsidR="00AB5CCB" w:rsidRPr="00576C4F" w:rsidRDefault="00AB5CCB" w:rsidP="00BF16A7">
            <w:pPr>
              <w:tabs>
                <w:tab w:val="left" w:pos="-720"/>
              </w:tabs>
              <w:suppressAutoHyphens/>
              <w:adjustRightInd w:val="0"/>
              <w:snapToGrid w:val="0"/>
              <w:rPr>
                <w:rFonts w:eastAsia="맑은 고딕"/>
                <w:noProof/>
                <w:lang w:eastAsia="fr-FR"/>
              </w:rPr>
            </w:pPr>
          </w:p>
          <w:p w14:paraId="586166C9" w14:textId="77777777" w:rsidR="00AB5CCB" w:rsidRPr="00576C4F" w:rsidRDefault="00AB5CCB" w:rsidP="00BF16A7">
            <w:pPr>
              <w:tabs>
                <w:tab w:val="left" w:pos="-720"/>
              </w:tabs>
              <w:suppressAutoHyphens/>
              <w:adjustRightInd w:val="0"/>
              <w:snapToGrid w:val="0"/>
              <w:rPr>
                <w:rFonts w:eastAsia="맑은 고딕"/>
                <w:noProof/>
                <w:lang w:eastAsia="ko-KR"/>
              </w:rPr>
            </w:pPr>
          </w:p>
        </w:tc>
        <w:tc>
          <w:tcPr>
            <w:tcW w:w="2500" w:type="pct"/>
          </w:tcPr>
          <w:p w14:paraId="2BB1012A" w14:textId="77777777" w:rsidR="00AB5CCB" w:rsidRPr="00576C4F" w:rsidRDefault="00AB5CCB" w:rsidP="00BF16A7">
            <w:pPr>
              <w:tabs>
                <w:tab w:val="left" w:pos="-720"/>
              </w:tabs>
              <w:suppressAutoHyphens/>
              <w:adjustRightInd w:val="0"/>
              <w:snapToGrid w:val="0"/>
              <w:rPr>
                <w:noProof/>
                <w:lang w:eastAsia="fr-FR"/>
              </w:rPr>
            </w:pPr>
            <w:r w:rsidRPr="00576C4F">
              <w:rPr>
                <w:rFonts w:eastAsia="맑은 고딕"/>
                <w:b/>
                <w:noProof/>
                <w:lang w:eastAsia="fr-FR"/>
              </w:rPr>
              <w:t>Norge</w:t>
            </w:r>
          </w:p>
          <w:p w14:paraId="4086816C" w14:textId="77777777" w:rsidR="00AB5CCB" w:rsidRPr="00576C4F" w:rsidRDefault="00AB5CCB"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031FEBEC" w14:textId="77777777" w:rsidR="00AB5CCB" w:rsidRPr="00576C4F" w:rsidRDefault="00AB5CCB" w:rsidP="00BF16A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7AAA6E7C" w14:textId="77777777" w:rsidR="00AB5CCB" w:rsidRPr="00576C4F" w:rsidRDefault="00AB5CCB" w:rsidP="00BF16A7">
            <w:pPr>
              <w:tabs>
                <w:tab w:val="left" w:pos="-720"/>
              </w:tabs>
              <w:suppressAutoHyphens/>
              <w:adjustRightInd w:val="0"/>
              <w:snapToGrid w:val="0"/>
              <w:rPr>
                <w:rFonts w:eastAsia="맑은 고딕"/>
                <w:noProof/>
                <w:lang w:eastAsia="ko-KR"/>
              </w:rPr>
            </w:pPr>
          </w:p>
        </w:tc>
      </w:tr>
      <w:tr w:rsidR="00AB5CCB" w14:paraId="11466959" w14:textId="77777777" w:rsidTr="00BF16A7">
        <w:tc>
          <w:tcPr>
            <w:tcW w:w="2500" w:type="pct"/>
            <w:hideMark/>
          </w:tcPr>
          <w:p w14:paraId="587518CA" w14:textId="77777777" w:rsidR="00AB5CCB" w:rsidRPr="007155C0" w:rsidRDefault="00AB5CCB" w:rsidP="00BF16A7">
            <w:pPr>
              <w:adjustRightInd w:val="0"/>
              <w:snapToGrid w:val="0"/>
              <w:rPr>
                <w:noProof/>
                <w:lang w:val="fr-CA" w:eastAsia="fr-FR"/>
              </w:rPr>
            </w:pPr>
            <w:r w:rsidRPr="007155C0">
              <w:rPr>
                <w:b/>
                <w:noProof/>
                <w:lang w:val="fr-CA"/>
              </w:rPr>
              <w:t>España</w:t>
            </w:r>
          </w:p>
          <w:p w14:paraId="1F44E05E" w14:textId="50FDD950" w:rsidR="00AB5CCB" w:rsidRPr="007155C0" w:rsidRDefault="00AB5CCB" w:rsidP="00BF16A7">
            <w:pPr>
              <w:adjustRightInd w:val="0"/>
              <w:snapToGrid w:val="0"/>
              <w:rPr>
                <w:rFonts w:eastAsia="맑은 고딕"/>
                <w:noProof/>
                <w:lang w:val="fr-CA" w:eastAsia="ko-KR"/>
              </w:rPr>
            </w:pPr>
            <w:r w:rsidRPr="007155C0">
              <w:rPr>
                <w:rFonts w:eastAsia="맑은 고딕"/>
                <w:noProof/>
                <w:lang w:val="fr-CA" w:eastAsia="fr-FR"/>
              </w:rPr>
              <w:t>CELLTRION FARMACEUTICA (ESPAÑA) S.L</w:t>
            </w:r>
            <w:r w:rsidRPr="007155C0">
              <w:rPr>
                <w:rFonts w:eastAsia="맑은 고딕" w:hint="eastAsia"/>
                <w:noProof/>
                <w:lang w:val="fr-CA" w:eastAsia="ko-KR"/>
              </w:rPr>
              <w:t>.</w:t>
            </w:r>
          </w:p>
          <w:p w14:paraId="3060279A" w14:textId="3586A635" w:rsidR="00AB5CCB" w:rsidRDefault="00AB5CCB" w:rsidP="00BF16A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73DC1449" w14:textId="77777777" w:rsidR="00AB5CCB" w:rsidRPr="00811842" w:rsidRDefault="00AB5CCB" w:rsidP="00BF16A7">
            <w:pPr>
              <w:adjustRightInd w:val="0"/>
              <w:snapToGrid w:val="0"/>
              <w:rPr>
                <w:rFonts w:eastAsia="맑은 고딕"/>
                <w:noProof/>
                <w:lang w:eastAsia="ko-KR"/>
              </w:rPr>
            </w:pPr>
          </w:p>
          <w:p w14:paraId="5D033073" w14:textId="77777777" w:rsidR="00AB5CCB" w:rsidRPr="00811842" w:rsidRDefault="00AB5CCB" w:rsidP="00BF16A7">
            <w:pPr>
              <w:adjustRightInd w:val="0"/>
              <w:snapToGrid w:val="0"/>
              <w:rPr>
                <w:b/>
                <w:noProof/>
                <w:lang w:eastAsia="fr-FR"/>
              </w:rPr>
            </w:pPr>
          </w:p>
        </w:tc>
        <w:tc>
          <w:tcPr>
            <w:tcW w:w="2500" w:type="pct"/>
          </w:tcPr>
          <w:p w14:paraId="5E669666" w14:textId="77777777" w:rsidR="00AB5CCB" w:rsidRPr="00D05A06" w:rsidRDefault="00AB5CCB" w:rsidP="00BF16A7">
            <w:pPr>
              <w:adjustRightInd w:val="0"/>
              <w:snapToGrid w:val="0"/>
              <w:rPr>
                <w:noProof/>
                <w:lang w:eastAsia="fr-FR"/>
              </w:rPr>
            </w:pPr>
            <w:r w:rsidRPr="00811842">
              <w:rPr>
                <w:b/>
                <w:noProof/>
              </w:rPr>
              <w:t>Österreich</w:t>
            </w:r>
          </w:p>
          <w:p w14:paraId="20A4B31B" w14:textId="77777777" w:rsidR="00AB5CCB" w:rsidRPr="00D05A06" w:rsidRDefault="00AB5CCB" w:rsidP="00BF16A7">
            <w:pPr>
              <w:adjustRightInd w:val="0"/>
              <w:snapToGrid w:val="0"/>
              <w:rPr>
                <w:rFonts w:eastAsia="맑은 고딕"/>
                <w:noProof/>
                <w:lang w:eastAsia="ko-KR"/>
              </w:rPr>
            </w:pPr>
            <w:r w:rsidRPr="00D05A06">
              <w:rPr>
                <w:rFonts w:eastAsia="맑은 고딕"/>
                <w:noProof/>
                <w:lang w:eastAsia="fr-FR"/>
              </w:rPr>
              <w:t>Astro-Pharma GmbH</w:t>
            </w:r>
          </w:p>
          <w:p w14:paraId="6977C36F" w14:textId="77777777" w:rsidR="00AB5CCB" w:rsidRPr="00D05A06" w:rsidRDefault="00AB5CCB" w:rsidP="00BF16A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3291751B" w14:textId="77777777" w:rsidR="00AB5CCB" w:rsidRPr="00D05A06" w:rsidRDefault="00AB5CCB" w:rsidP="00BF16A7">
            <w:pPr>
              <w:tabs>
                <w:tab w:val="left" w:pos="-720"/>
              </w:tabs>
              <w:suppressAutoHyphens/>
              <w:adjustRightInd w:val="0"/>
              <w:snapToGrid w:val="0"/>
              <w:rPr>
                <w:noProof/>
                <w:lang w:eastAsia="fr-FR"/>
              </w:rPr>
            </w:pPr>
          </w:p>
        </w:tc>
      </w:tr>
      <w:tr w:rsidR="00AB5CCB" w14:paraId="50FBC4EB" w14:textId="77777777" w:rsidTr="00BF16A7">
        <w:tc>
          <w:tcPr>
            <w:tcW w:w="2500" w:type="pct"/>
          </w:tcPr>
          <w:p w14:paraId="55443B52" w14:textId="77777777" w:rsidR="00AB5CCB" w:rsidRPr="008C5B9D" w:rsidRDefault="00AB5CCB" w:rsidP="00BF16A7">
            <w:pPr>
              <w:adjustRightInd w:val="0"/>
              <w:snapToGrid w:val="0"/>
              <w:rPr>
                <w:b/>
                <w:noProof/>
                <w:lang w:eastAsia="fr-FR"/>
              </w:rPr>
            </w:pPr>
            <w:r w:rsidRPr="008C5B9D">
              <w:rPr>
                <w:b/>
                <w:noProof/>
                <w:lang w:eastAsia="fr-FR"/>
              </w:rPr>
              <w:t>Ελλάδα</w:t>
            </w:r>
          </w:p>
          <w:p w14:paraId="35A49746" w14:textId="77777777" w:rsidR="00AB5CCB" w:rsidRPr="00811842" w:rsidRDefault="00AB5CCB" w:rsidP="00BF16A7">
            <w:pPr>
              <w:adjustRightInd w:val="0"/>
              <w:snapToGrid w:val="0"/>
              <w:rPr>
                <w:noProof/>
                <w:lang w:eastAsia="fr-FR"/>
              </w:rPr>
            </w:pPr>
            <w:r w:rsidRPr="00811842">
              <w:rPr>
                <w:noProof/>
                <w:lang w:eastAsia="fr-FR"/>
              </w:rPr>
              <w:t>ΒΙΑΝΕΞ Α.Ε.</w:t>
            </w:r>
          </w:p>
          <w:p w14:paraId="064C3425" w14:textId="77777777" w:rsidR="00AB5CCB" w:rsidRPr="00811842" w:rsidRDefault="00AB5CCB" w:rsidP="00BF16A7">
            <w:pPr>
              <w:adjustRightInd w:val="0"/>
              <w:snapToGrid w:val="0"/>
              <w:rPr>
                <w:noProof/>
                <w:lang w:eastAsia="fr-FR"/>
              </w:rPr>
            </w:pPr>
            <w:r w:rsidRPr="00811842">
              <w:rPr>
                <w:noProof/>
                <w:lang w:eastAsia="fr-FR"/>
              </w:rPr>
              <w:t>Τηλ: +30 210 8009111 - 120</w:t>
            </w:r>
          </w:p>
          <w:p w14:paraId="34792F82" w14:textId="77777777" w:rsidR="00AB5CCB" w:rsidRPr="00811842" w:rsidRDefault="00AB5CCB" w:rsidP="00BF16A7">
            <w:pPr>
              <w:adjustRightInd w:val="0"/>
              <w:snapToGrid w:val="0"/>
              <w:rPr>
                <w:rFonts w:eastAsia="맑은 고딕"/>
                <w:noProof/>
                <w:lang w:eastAsia="fr-FR"/>
              </w:rPr>
            </w:pPr>
          </w:p>
        </w:tc>
        <w:tc>
          <w:tcPr>
            <w:tcW w:w="2500" w:type="pct"/>
          </w:tcPr>
          <w:p w14:paraId="28204D51" w14:textId="77777777" w:rsidR="00AB5CCB" w:rsidRPr="00D05A06" w:rsidRDefault="00AB5CCB" w:rsidP="00BF16A7">
            <w:pPr>
              <w:adjustRightInd w:val="0"/>
              <w:snapToGrid w:val="0"/>
              <w:rPr>
                <w:rFonts w:eastAsia="맑은 고딕"/>
                <w:b/>
                <w:noProof/>
                <w:lang w:eastAsia="fr-FR"/>
              </w:rPr>
            </w:pPr>
            <w:r w:rsidRPr="00811842">
              <w:rPr>
                <w:rFonts w:eastAsia="맑은 고딕"/>
                <w:b/>
                <w:noProof/>
                <w:lang w:eastAsia="fr-FR"/>
              </w:rPr>
              <w:t>Polska</w:t>
            </w:r>
          </w:p>
          <w:p w14:paraId="7A42F404" w14:textId="77777777" w:rsidR="00AB5CCB" w:rsidRPr="002410B7" w:rsidRDefault="00AB5CCB"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75982440" w14:textId="77777777" w:rsidR="00AB5CCB" w:rsidRDefault="00AB5CCB" w:rsidP="00BF16A7">
            <w:pPr>
              <w:adjustRightInd w:val="0"/>
              <w:snapToGrid w:val="0"/>
              <w:rPr>
                <w:b/>
                <w:noProof/>
              </w:rPr>
            </w:pPr>
            <w:r w:rsidRPr="007E01E8">
              <w:rPr>
                <w:rFonts w:eastAsia="맑은 고딕"/>
                <w:noProof/>
                <w:lang w:eastAsia="fr-FR"/>
              </w:rPr>
              <w:t>Tel.: +36 1 231 0493</w:t>
            </w:r>
          </w:p>
          <w:p w14:paraId="68B3B38B" w14:textId="77777777" w:rsidR="00AB5CCB" w:rsidRPr="00D05A06" w:rsidRDefault="00AB5CCB" w:rsidP="00BF16A7">
            <w:pPr>
              <w:adjustRightInd w:val="0"/>
              <w:snapToGrid w:val="0"/>
              <w:rPr>
                <w:b/>
                <w:noProof/>
              </w:rPr>
            </w:pPr>
          </w:p>
        </w:tc>
      </w:tr>
      <w:tr w:rsidR="00AB5CCB" w:rsidRPr="008F0C27" w14:paraId="4079128E" w14:textId="77777777" w:rsidTr="00BF16A7">
        <w:tc>
          <w:tcPr>
            <w:tcW w:w="2500" w:type="pct"/>
          </w:tcPr>
          <w:p w14:paraId="65BE5B03" w14:textId="77777777" w:rsidR="00AB5CCB" w:rsidRPr="008C5B9D" w:rsidRDefault="00AB5CCB" w:rsidP="00BF16A7">
            <w:pPr>
              <w:adjustRightInd w:val="0"/>
              <w:snapToGrid w:val="0"/>
              <w:rPr>
                <w:b/>
                <w:noProof/>
                <w:lang w:eastAsia="ko-KR"/>
              </w:rPr>
            </w:pPr>
            <w:r w:rsidRPr="008C5B9D">
              <w:rPr>
                <w:b/>
                <w:noProof/>
                <w:lang w:eastAsia="ko-KR"/>
              </w:rPr>
              <w:t>France</w:t>
            </w:r>
          </w:p>
          <w:p w14:paraId="52B674A8" w14:textId="77777777" w:rsidR="00AB5CCB" w:rsidRPr="00811842" w:rsidRDefault="00AB5CCB" w:rsidP="00BF16A7">
            <w:pPr>
              <w:adjustRightInd w:val="0"/>
              <w:snapToGrid w:val="0"/>
              <w:rPr>
                <w:noProof/>
                <w:lang w:eastAsia="ko-KR"/>
              </w:rPr>
            </w:pPr>
            <w:r w:rsidRPr="00811842">
              <w:rPr>
                <w:noProof/>
                <w:lang w:eastAsia="ko-KR"/>
              </w:rPr>
              <w:t>CELLTRION HEALTHCARE FRANCE SAS</w:t>
            </w:r>
          </w:p>
          <w:p w14:paraId="3CA62075" w14:textId="77777777" w:rsidR="00AB5CCB" w:rsidRPr="00811842" w:rsidRDefault="00AB5CCB" w:rsidP="00BF16A7">
            <w:pPr>
              <w:adjustRightInd w:val="0"/>
              <w:snapToGrid w:val="0"/>
              <w:rPr>
                <w:rFonts w:eastAsia="맑은 고딕"/>
                <w:noProof/>
                <w:lang w:eastAsia="ko-KR"/>
              </w:rPr>
            </w:pPr>
            <w:r w:rsidRPr="00811842">
              <w:rPr>
                <w:noProof/>
                <w:lang w:eastAsia="ko-KR"/>
              </w:rPr>
              <w:t>Tél.: +33 (0)1 71 25 27 00</w:t>
            </w:r>
          </w:p>
          <w:p w14:paraId="4C37F0A9" w14:textId="77777777" w:rsidR="00AB5CCB" w:rsidRPr="00811842" w:rsidRDefault="00AB5CCB" w:rsidP="00BF16A7">
            <w:pPr>
              <w:adjustRightInd w:val="0"/>
              <w:snapToGrid w:val="0"/>
              <w:rPr>
                <w:rFonts w:eastAsia="맑은 고딕"/>
                <w:noProof/>
                <w:lang w:eastAsia="fr-FR"/>
              </w:rPr>
            </w:pPr>
          </w:p>
        </w:tc>
        <w:tc>
          <w:tcPr>
            <w:tcW w:w="2500" w:type="pct"/>
            <w:tcMar>
              <w:right w:w="108" w:type="dxa"/>
            </w:tcMar>
          </w:tcPr>
          <w:p w14:paraId="19185A2A" w14:textId="77777777" w:rsidR="00AB5CCB" w:rsidRPr="00D05A06" w:rsidRDefault="00AB5CCB" w:rsidP="00BF16A7">
            <w:pPr>
              <w:adjustRightInd w:val="0"/>
              <w:snapToGrid w:val="0"/>
              <w:rPr>
                <w:noProof/>
                <w:lang w:val="fr-CA" w:eastAsia="fr-FR"/>
              </w:rPr>
            </w:pPr>
            <w:r w:rsidRPr="00811842">
              <w:rPr>
                <w:rFonts w:eastAsia="맑은 고딕"/>
                <w:b/>
                <w:noProof/>
                <w:lang w:val="fr-CA" w:eastAsia="fr-FR"/>
              </w:rPr>
              <w:t>Portugal</w:t>
            </w:r>
          </w:p>
          <w:p w14:paraId="5647BDC5" w14:textId="09A3186C" w:rsidR="00AB5CCB" w:rsidRPr="00D05A06" w:rsidRDefault="00AB5CCB" w:rsidP="00BF16A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19481778" w14:textId="50ECA08E" w:rsidR="00AB5CCB" w:rsidRPr="007155C0" w:rsidRDefault="00AB5CCB" w:rsidP="00BF16A7">
            <w:pPr>
              <w:adjustRightInd w:val="0"/>
              <w:snapToGrid w:val="0"/>
              <w:rPr>
                <w:rFonts w:eastAsia="맑은 고딕"/>
                <w:noProof/>
                <w:lang w:val="fr-CA" w:eastAsia="ko-KR"/>
              </w:rPr>
            </w:pPr>
            <w:r w:rsidRPr="007155C0">
              <w:rPr>
                <w:rFonts w:eastAsia="맑은 고딕"/>
                <w:noProof/>
                <w:lang w:val="fr-CA" w:eastAsia="fr-FR"/>
              </w:rPr>
              <w:t>Tel: +351 21 936 8542</w:t>
            </w:r>
          </w:p>
          <w:p w14:paraId="7DB91575" w14:textId="77777777" w:rsidR="00AB5CCB" w:rsidRPr="007155C0" w:rsidRDefault="00AB5CCB" w:rsidP="00BF16A7">
            <w:pPr>
              <w:adjustRightInd w:val="0"/>
              <w:snapToGrid w:val="0"/>
              <w:rPr>
                <w:b/>
                <w:noProof/>
                <w:lang w:val="fr-CA"/>
              </w:rPr>
            </w:pPr>
          </w:p>
        </w:tc>
      </w:tr>
      <w:tr w:rsidR="00AB5CCB" w14:paraId="272EC156" w14:textId="77777777" w:rsidTr="00BF16A7">
        <w:tc>
          <w:tcPr>
            <w:tcW w:w="2500" w:type="pct"/>
          </w:tcPr>
          <w:p w14:paraId="7FC99E89" w14:textId="77777777" w:rsidR="00AB5CCB" w:rsidRPr="008C5B9D" w:rsidRDefault="00AB5CCB" w:rsidP="00BF16A7">
            <w:pPr>
              <w:adjustRightInd w:val="0"/>
              <w:snapToGrid w:val="0"/>
              <w:rPr>
                <w:b/>
                <w:noProof/>
                <w:lang w:eastAsia="ko-KR"/>
              </w:rPr>
            </w:pPr>
            <w:r w:rsidRPr="008C5B9D">
              <w:rPr>
                <w:b/>
                <w:noProof/>
                <w:lang w:eastAsia="ko-KR"/>
              </w:rPr>
              <w:t>Hrvatska</w:t>
            </w:r>
          </w:p>
          <w:p w14:paraId="74D3DC83" w14:textId="77777777" w:rsidR="00AB5CCB" w:rsidRPr="00811842" w:rsidRDefault="00AB5CCB" w:rsidP="00BF16A7">
            <w:pPr>
              <w:adjustRightInd w:val="0"/>
              <w:snapToGrid w:val="0"/>
              <w:rPr>
                <w:noProof/>
                <w:lang w:eastAsia="ko-KR"/>
              </w:rPr>
            </w:pPr>
            <w:r w:rsidRPr="00811842">
              <w:rPr>
                <w:noProof/>
                <w:lang w:eastAsia="ko-KR"/>
              </w:rPr>
              <w:t>Oktal Pharma d.o.o.</w:t>
            </w:r>
          </w:p>
          <w:p w14:paraId="7EBF7968" w14:textId="77777777" w:rsidR="00AB5CCB" w:rsidRPr="00811842" w:rsidRDefault="00AB5CCB" w:rsidP="00BF16A7">
            <w:pPr>
              <w:adjustRightInd w:val="0"/>
              <w:snapToGrid w:val="0"/>
              <w:rPr>
                <w:noProof/>
                <w:lang w:eastAsia="ko-KR"/>
              </w:rPr>
            </w:pPr>
            <w:r w:rsidRPr="00811842">
              <w:rPr>
                <w:noProof/>
                <w:lang w:eastAsia="ko-KR"/>
              </w:rPr>
              <w:t>Tel: +385 1 6595 777</w:t>
            </w:r>
          </w:p>
          <w:p w14:paraId="12A199AC" w14:textId="77777777" w:rsidR="00AB5CCB" w:rsidRPr="00811842" w:rsidRDefault="00AB5CCB" w:rsidP="00BF16A7">
            <w:pPr>
              <w:adjustRightInd w:val="0"/>
              <w:snapToGrid w:val="0"/>
              <w:rPr>
                <w:rFonts w:eastAsia="맑은 고딕"/>
                <w:noProof/>
                <w:lang w:eastAsia="fr-FR"/>
              </w:rPr>
            </w:pPr>
          </w:p>
        </w:tc>
        <w:tc>
          <w:tcPr>
            <w:tcW w:w="2500" w:type="pct"/>
          </w:tcPr>
          <w:p w14:paraId="5C911DF2" w14:textId="77777777" w:rsidR="00AB5CCB" w:rsidRPr="00BA3060" w:rsidRDefault="00AB5CCB" w:rsidP="00BF16A7">
            <w:pPr>
              <w:tabs>
                <w:tab w:val="left" w:pos="-720"/>
              </w:tabs>
              <w:suppressAutoHyphens/>
              <w:adjustRightInd w:val="0"/>
              <w:snapToGrid w:val="0"/>
              <w:rPr>
                <w:rFonts w:eastAsia="맑은 고딕"/>
                <w:b/>
                <w:noProof/>
                <w:lang w:eastAsia="fr-FR"/>
              </w:rPr>
            </w:pPr>
            <w:r w:rsidRPr="00BA3060">
              <w:rPr>
                <w:b/>
                <w:noProof/>
              </w:rPr>
              <w:t>România</w:t>
            </w:r>
          </w:p>
          <w:p w14:paraId="4636AB2C" w14:textId="77777777" w:rsidR="00AB5CCB" w:rsidRPr="00BA3060" w:rsidRDefault="00AB5CCB" w:rsidP="00BF16A7">
            <w:pPr>
              <w:pStyle w:val="Default"/>
              <w:rPr>
                <w:sz w:val="22"/>
                <w:szCs w:val="22"/>
              </w:rPr>
            </w:pPr>
            <w:r w:rsidRPr="00BA3060">
              <w:rPr>
                <w:sz w:val="22"/>
                <w:szCs w:val="22"/>
              </w:rPr>
              <w:t xml:space="preserve">Celltrion Healthcare Hungary Kft. </w:t>
            </w:r>
          </w:p>
          <w:p w14:paraId="3A51A428" w14:textId="77777777" w:rsidR="00AB5CCB" w:rsidRPr="00BA3060" w:rsidRDefault="00AB5CCB" w:rsidP="00BF16A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69135EF5" w14:textId="77777777" w:rsidR="00AB5CCB" w:rsidRPr="00BA3060" w:rsidRDefault="00AB5CCB" w:rsidP="00BF16A7">
            <w:pPr>
              <w:adjustRightInd w:val="0"/>
              <w:snapToGrid w:val="0"/>
              <w:rPr>
                <w:b/>
                <w:noProof/>
              </w:rPr>
            </w:pPr>
          </w:p>
        </w:tc>
      </w:tr>
      <w:tr w:rsidR="00AB5CCB" w14:paraId="3DF9AEB4" w14:textId="77777777" w:rsidTr="00BF16A7">
        <w:tc>
          <w:tcPr>
            <w:tcW w:w="2500" w:type="pct"/>
          </w:tcPr>
          <w:p w14:paraId="47BBBC09" w14:textId="77777777" w:rsidR="00AB5CCB" w:rsidRPr="008C5B9D" w:rsidRDefault="00AB5CCB" w:rsidP="00BF16A7">
            <w:pPr>
              <w:tabs>
                <w:tab w:val="left" w:pos="-720"/>
              </w:tabs>
              <w:suppressAutoHyphens/>
              <w:adjustRightInd w:val="0"/>
              <w:snapToGrid w:val="0"/>
              <w:rPr>
                <w:noProof/>
                <w:lang w:eastAsia="fr-FR"/>
              </w:rPr>
            </w:pPr>
            <w:r w:rsidRPr="008C5B9D">
              <w:rPr>
                <w:rFonts w:eastAsia="맑은 고딕"/>
                <w:b/>
                <w:noProof/>
                <w:lang w:eastAsia="fr-FR"/>
              </w:rPr>
              <w:t>Ireland</w:t>
            </w:r>
          </w:p>
          <w:p w14:paraId="08297D2A" w14:textId="77777777" w:rsidR="00AB5CCB" w:rsidRDefault="00AB5CCB" w:rsidP="00BF16A7">
            <w:pPr>
              <w:adjustRightInd w:val="0"/>
              <w:snapToGrid w:val="0"/>
            </w:pPr>
            <w:r w:rsidRPr="00131FCB">
              <w:t xml:space="preserve">Celltrion Healthcare Ireland Limited </w:t>
            </w:r>
          </w:p>
          <w:p w14:paraId="3AB36A35" w14:textId="77777777" w:rsidR="00AB5CCB" w:rsidRPr="008C5B9D" w:rsidRDefault="00AB5CCB" w:rsidP="00BF16A7">
            <w:pPr>
              <w:adjustRightInd w:val="0"/>
              <w:snapToGrid w:val="0"/>
              <w:rPr>
                <w:rFonts w:eastAsia="맑은 고딕"/>
                <w:noProof/>
                <w:lang w:eastAsia="fr-FR"/>
              </w:rPr>
            </w:pPr>
            <w:r w:rsidRPr="00131FCB">
              <w:t>Tel: +353 1 223 4026</w:t>
            </w:r>
          </w:p>
          <w:p w14:paraId="0FFE44B4" w14:textId="77777777" w:rsidR="00AB5CCB" w:rsidRPr="00811842" w:rsidRDefault="00AB5CCB" w:rsidP="00BF16A7">
            <w:pPr>
              <w:adjustRightInd w:val="0"/>
              <w:snapToGrid w:val="0"/>
              <w:rPr>
                <w:rFonts w:eastAsia="맑은 고딕"/>
                <w:noProof/>
                <w:lang w:eastAsia="fr-FR"/>
              </w:rPr>
            </w:pPr>
          </w:p>
        </w:tc>
        <w:tc>
          <w:tcPr>
            <w:tcW w:w="2500" w:type="pct"/>
          </w:tcPr>
          <w:p w14:paraId="289E71E0" w14:textId="77777777" w:rsidR="00AB5CCB" w:rsidRPr="00BA3060" w:rsidRDefault="00AB5CCB" w:rsidP="00BF16A7">
            <w:pPr>
              <w:adjustRightInd w:val="0"/>
              <w:snapToGrid w:val="0"/>
              <w:rPr>
                <w:rFonts w:eastAsia="맑은 고딕"/>
                <w:b/>
                <w:noProof/>
                <w:lang w:eastAsia="fr-FR"/>
              </w:rPr>
            </w:pPr>
            <w:r w:rsidRPr="00BA3060">
              <w:rPr>
                <w:rFonts w:eastAsia="맑은 고딕"/>
                <w:b/>
                <w:noProof/>
                <w:lang w:eastAsia="fr-FR"/>
              </w:rPr>
              <w:t>Slovenija</w:t>
            </w:r>
          </w:p>
          <w:p w14:paraId="618378F6" w14:textId="77777777" w:rsidR="00AB5CCB" w:rsidRPr="00BA3060" w:rsidRDefault="00AB5CCB" w:rsidP="00BF16A7">
            <w:pPr>
              <w:adjustRightInd w:val="0"/>
              <w:snapToGrid w:val="0"/>
              <w:rPr>
                <w:rFonts w:eastAsia="맑은 고딕"/>
                <w:noProof/>
                <w:lang w:eastAsia="fr-FR"/>
              </w:rPr>
            </w:pPr>
            <w:r w:rsidRPr="00BA3060">
              <w:rPr>
                <w:rFonts w:eastAsia="맑은 고딕"/>
                <w:noProof/>
                <w:lang w:eastAsia="fr-FR"/>
              </w:rPr>
              <w:t>OPH Oktal Pharma d.o.o.</w:t>
            </w:r>
          </w:p>
          <w:p w14:paraId="0BC4665D" w14:textId="77777777" w:rsidR="00AB5CCB" w:rsidRPr="00BA3060" w:rsidRDefault="00AB5CCB" w:rsidP="00BF16A7">
            <w:pPr>
              <w:adjustRightInd w:val="0"/>
              <w:snapToGrid w:val="0"/>
              <w:rPr>
                <w:rFonts w:eastAsia="맑은 고딕"/>
                <w:noProof/>
                <w:lang w:eastAsia="fr-FR"/>
              </w:rPr>
            </w:pPr>
            <w:r w:rsidRPr="00BA3060">
              <w:rPr>
                <w:rFonts w:eastAsia="맑은 고딕"/>
                <w:noProof/>
                <w:lang w:eastAsia="fr-FR"/>
              </w:rPr>
              <w:t>Tel.: +386 1 519 29 22</w:t>
            </w:r>
          </w:p>
          <w:p w14:paraId="0897ADF8" w14:textId="77777777" w:rsidR="00AB5CCB" w:rsidRPr="00BA3060" w:rsidRDefault="00AB5CCB" w:rsidP="00BF16A7">
            <w:pPr>
              <w:adjustRightInd w:val="0"/>
              <w:snapToGrid w:val="0"/>
              <w:rPr>
                <w:b/>
                <w:noProof/>
              </w:rPr>
            </w:pPr>
          </w:p>
        </w:tc>
      </w:tr>
      <w:tr w:rsidR="00AB5CCB" w14:paraId="48124C0C" w14:textId="77777777" w:rsidTr="00BF16A7">
        <w:tc>
          <w:tcPr>
            <w:tcW w:w="2500" w:type="pct"/>
          </w:tcPr>
          <w:p w14:paraId="2EAFFE4B" w14:textId="77777777" w:rsidR="00AB5CCB" w:rsidRPr="008C5B9D" w:rsidRDefault="00AB5CCB" w:rsidP="00BF16A7">
            <w:pPr>
              <w:adjustRightInd w:val="0"/>
              <w:snapToGrid w:val="0"/>
              <w:rPr>
                <w:rFonts w:eastAsia="맑은 고딕"/>
                <w:noProof/>
                <w:lang w:eastAsia="fr-FR"/>
              </w:rPr>
            </w:pPr>
            <w:r w:rsidRPr="008C5B9D">
              <w:rPr>
                <w:rFonts w:eastAsia="맑은 고딕"/>
                <w:b/>
                <w:noProof/>
                <w:lang w:eastAsia="fr-FR"/>
              </w:rPr>
              <w:t>Ísland</w:t>
            </w:r>
          </w:p>
          <w:p w14:paraId="30BB40FD" w14:textId="77777777" w:rsidR="00AB5CCB" w:rsidRDefault="00AB5CCB" w:rsidP="00BF16A7">
            <w:pPr>
              <w:adjustRightInd w:val="0"/>
              <w:snapToGrid w:val="0"/>
            </w:pPr>
            <w:r w:rsidRPr="00131FCB">
              <w:t xml:space="preserve">Celltrion Healthcare Hungary Kft. </w:t>
            </w:r>
          </w:p>
          <w:p w14:paraId="1AB8F72A" w14:textId="77777777" w:rsidR="00AB5CCB" w:rsidRPr="008C5B9D" w:rsidRDefault="00AB5CCB" w:rsidP="00BF16A7">
            <w:pPr>
              <w:adjustRightInd w:val="0"/>
              <w:snapToGrid w:val="0"/>
              <w:rPr>
                <w:rFonts w:eastAsia="맑은 고딕"/>
                <w:noProof/>
                <w:lang w:eastAsia="fr-FR"/>
              </w:rPr>
            </w:pPr>
            <w:r w:rsidRPr="00131FCB">
              <w:t>Sími: +36 1 231 0493</w:t>
            </w:r>
          </w:p>
          <w:p w14:paraId="44EEC426" w14:textId="77777777" w:rsidR="00AB5CCB" w:rsidRPr="00811842" w:rsidRDefault="00AB5CCB" w:rsidP="00BF16A7">
            <w:pPr>
              <w:adjustRightInd w:val="0"/>
              <w:snapToGrid w:val="0"/>
              <w:rPr>
                <w:rFonts w:eastAsia="맑은 고딕"/>
                <w:noProof/>
                <w:lang w:eastAsia="fr-FR"/>
              </w:rPr>
            </w:pPr>
          </w:p>
        </w:tc>
        <w:tc>
          <w:tcPr>
            <w:tcW w:w="2500" w:type="pct"/>
          </w:tcPr>
          <w:p w14:paraId="16E7C0FF" w14:textId="77777777" w:rsidR="00AB5CCB" w:rsidRPr="00811842" w:rsidRDefault="00AB5CCB" w:rsidP="00BF16A7">
            <w:pPr>
              <w:adjustRightInd w:val="0"/>
              <w:snapToGrid w:val="0"/>
              <w:rPr>
                <w:rFonts w:eastAsia="맑은 고딕"/>
                <w:b/>
                <w:noProof/>
                <w:lang w:eastAsia="fr-FR"/>
              </w:rPr>
            </w:pPr>
            <w:r w:rsidRPr="00811842">
              <w:rPr>
                <w:b/>
                <w:noProof/>
              </w:rPr>
              <w:t>Slovenská republika</w:t>
            </w:r>
          </w:p>
          <w:p w14:paraId="53E3AC49" w14:textId="77777777" w:rsidR="00AB5CCB" w:rsidRPr="002410B7" w:rsidRDefault="00AB5CCB" w:rsidP="00BF16A7">
            <w:pPr>
              <w:adjustRightInd w:val="0"/>
              <w:snapToGrid w:val="0"/>
              <w:rPr>
                <w:rFonts w:eastAsia="맑은 고딕"/>
                <w:noProof/>
                <w:lang w:eastAsia="fr-FR"/>
              </w:rPr>
            </w:pPr>
            <w:r w:rsidRPr="002410B7">
              <w:rPr>
                <w:rFonts w:eastAsia="맑은 고딕"/>
                <w:noProof/>
                <w:lang w:eastAsia="fr-FR"/>
              </w:rPr>
              <w:t>Celltrion Healthcare Hungary Kft.</w:t>
            </w:r>
          </w:p>
          <w:p w14:paraId="60554874" w14:textId="77777777" w:rsidR="00AB5CCB" w:rsidRPr="002410B7" w:rsidRDefault="00AB5CCB" w:rsidP="00BF16A7">
            <w:pPr>
              <w:adjustRightInd w:val="0"/>
              <w:snapToGrid w:val="0"/>
              <w:rPr>
                <w:rFonts w:eastAsia="맑은 고딕"/>
                <w:b/>
                <w:noProof/>
                <w:lang w:eastAsia="fr-FR"/>
              </w:rPr>
            </w:pPr>
            <w:r w:rsidRPr="007E01E8">
              <w:rPr>
                <w:rFonts w:eastAsia="맑은 고딕"/>
                <w:noProof/>
                <w:lang w:eastAsia="fr-FR"/>
              </w:rPr>
              <w:t>Tel: +36 1 231 0493</w:t>
            </w:r>
          </w:p>
          <w:p w14:paraId="42C98579" w14:textId="77777777" w:rsidR="00AB5CCB" w:rsidRPr="002410B7" w:rsidRDefault="00AB5CCB" w:rsidP="00BF16A7">
            <w:pPr>
              <w:adjustRightInd w:val="0"/>
              <w:snapToGrid w:val="0"/>
              <w:rPr>
                <w:rFonts w:eastAsia="맑은 고딕"/>
                <w:b/>
                <w:noProof/>
                <w:lang w:eastAsia="fr-FR"/>
              </w:rPr>
            </w:pPr>
          </w:p>
        </w:tc>
      </w:tr>
      <w:tr w:rsidR="00AB5CCB" w14:paraId="1BC4EE34" w14:textId="77777777" w:rsidTr="00BF16A7">
        <w:tc>
          <w:tcPr>
            <w:tcW w:w="2500" w:type="pct"/>
          </w:tcPr>
          <w:p w14:paraId="00FC4114" w14:textId="77777777" w:rsidR="00AB5CCB" w:rsidRPr="008C5B9D" w:rsidRDefault="00AB5CCB" w:rsidP="00BF16A7">
            <w:pPr>
              <w:adjustRightInd w:val="0"/>
              <w:snapToGrid w:val="0"/>
              <w:rPr>
                <w:noProof/>
                <w:lang w:eastAsia="fr-FR"/>
              </w:rPr>
            </w:pPr>
            <w:r w:rsidRPr="008C5B9D">
              <w:rPr>
                <w:rFonts w:eastAsia="맑은 고딕"/>
                <w:b/>
                <w:noProof/>
                <w:lang w:eastAsia="fr-FR"/>
              </w:rPr>
              <w:t>Italia</w:t>
            </w:r>
          </w:p>
          <w:p w14:paraId="68595223" w14:textId="77777777" w:rsidR="00AB5CCB" w:rsidRDefault="00AB5CCB" w:rsidP="00BF16A7">
            <w:pPr>
              <w:adjustRightInd w:val="0"/>
              <w:snapToGrid w:val="0"/>
            </w:pPr>
            <w:r w:rsidRPr="00131FCB">
              <w:t xml:space="preserve">Celltrion Healthcare Italy S.R.L. </w:t>
            </w:r>
          </w:p>
          <w:p w14:paraId="45B0F98F" w14:textId="77777777" w:rsidR="00AB5CCB" w:rsidRPr="008C5B9D" w:rsidRDefault="00AB5CCB" w:rsidP="00BF16A7">
            <w:pPr>
              <w:adjustRightInd w:val="0"/>
              <w:snapToGrid w:val="0"/>
              <w:rPr>
                <w:rFonts w:eastAsia="맑은 고딕"/>
                <w:noProof/>
                <w:lang w:eastAsia="fr-FR"/>
              </w:rPr>
            </w:pPr>
            <w:r w:rsidRPr="00131FCB">
              <w:t>Tel: +39 02</w:t>
            </w:r>
            <w:r>
              <w:t>47927040</w:t>
            </w:r>
          </w:p>
          <w:p w14:paraId="3162B705" w14:textId="77777777" w:rsidR="00AB5CCB" w:rsidRPr="00811842" w:rsidRDefault="00AB5CCB" w:rsidP="00BF16A7">
            <w:pPr>
              <w:adjustRightInd w:val="0"/>
              <w:snapToGrid w:val="0"/>
              <w:rPr>
                <w:rFonts w:eastAsia="맑은 고딕"/>
                <w:noProof/>
                <w:lang w:eastAsia="fr-FR"/>
              </w:rPr>
            </w:pPr>
          </w:p>
        </w:tc>
        <w:tc>
          <w:tcPr>
            <w:tcW w:w="2500" w:type="pct"/>
          </w:tcPr>
          <w:p w14:paraId="33140D04" w14:textId="77777777" w:rsidR="00AB5CCB" w:rsidRPr="00267BCE" w:rsidRDefault="00AB5CCB" w:rsidP="00BF16A7">
            <w:pPr>
              <w:adjustRightInd w:val="0"/>
              <w:snapToGrid w:val="0"/>
              <w:rPr>
                <w:noProof/>
                <w:lang w:eastAsia="fr-FR"/>
              </w:rPr>
            </w:pPr>
            <w:r w:rsidRPr="00267BCE">
              <w:rPr>
                <w:rFonts w:eastAsia="맑은 고딕"/>
                <w:b/>
                <w:noProof/>
                <w:lang w:eastAsia="fr-FR"/>
              </w:rPr>
              <w:t>Suomi/Finland</w:t>
            </w:r>
          </w:p>
          <w:p w14:paraId="142093AC" w14:textId="77777777" w:rsidR="00B6520E" w:rsidRPr="00B6520E" w:rsidRDefault="00B6520E" w:rsidP="00B6520E">
            <w:pPr>
              <w:adjustRightInd w:val="0"/>
              <w:snapToGrid w:val="0"/>
              <w:rPr>
                <w:rFonts w:eastAsiaTheme="minorEastAsia"/>
              </w:rPr>
            </w:pPr>
            <w:r w:rsidRPr="00B6520E">
              <w:rPr>
                <w:rFonts w:eastAsiaTheme="minorEastAsia"/>
              </w:rPr>
              <w:t>Celltrion Healthcare Finland Oy.</w:t>
            </w:r>
          </w:p>
          <w:p w14:paraId="40CDDA38" w14:textId="77777777" w:rsidR="00B6520E" w:rsidRPr="00B6520E" w:rsidRDefault="00B6520E" w:rsidP="00B6520E">
            <w:pPr>
              <w:adjustRightInd w:val="0"/>
              <w:snapToGrid w:val="0"/>
              <w:rPr>
                <w:ins w:id="23" w:author="만든 이"/>
                <w:rFonts w:eastAsia="맑은 고딕"/>
                <w:noProof/>
                <w:lang w:eastAsia="ko-KR"/>
              </w:rPr>
            </w:pPr>
            <w:r w:rsidRPr="00B6520E">
              <w:rPr>
                <w:rFonts w:eastAsiaTheme="minorEastAsia"/>
              </w:rPr>
              <w:t>Puh/Tel: +358 29 170 7755</w:t>
            </w:r>
          </w:p>
          <w:p w14:paraId="34395AAE" w14:textId="77777777" w:rsidR="00B6520E" w:rsidRPr="00B6520E" w:rsidRDefault="00B6520E" w:rsidP="00B6520E">
            <w:pPr>
              <w:adjustRightInd w:val="0"/>
              <w:snapToGrid w:val="0"/>
              <w:rPr>
                <w:ins w:id="24" w:author="만든 이"/>
                <w:rFonts w:eastAsia="맑은 고딕"/>
                <w:noProof/>
                <w:lang w:eastAsia="ko-KR"/>
              </w:rPr>
            </w:pPr>
            <w:ins w:id="25" w:author="만든 이">
              <w:r w:rsidRPr="00B6520E">
                <w:rPr>
                  <w:rFonts w:eastAsia="맑은 고딕"/>
                  <w:noProof/>
                  <w:lang w:eastAsia="ko-KR"/>
                </w:rPr>
                <w:t>contact_fi@celltrionhc.com</w:t>
              </w:r>
            </w:ins>
          </w:p>
          <w:p w14:paraId="05229BF0" w14:textId="12BDBDA1" w:rsidR="00AB5CCB" w:rsidRPr="00267BCE" w:rsidRDefault="00AB5CCB" w:rsidP="00BF16A7">
            <w:pPr>
              <w:adjustRightInd w:val="0"/>
              <w:snapToGrid w:val="0"/>
              <w:rPr>
                <w:rFonts w:eastAsia="맑은 고딕"/>
                <w:noProof/>
                <w:lang w:eastAsia="ko-KR"/>
              </w:rPr>
            </w:pPr>
          </w:p>
        </w:tc>
      </w:tr>
      <w:tr w:rsidR="00AB5CCB" w14:paraId="0EA9DDA0" w14:textId="77777777" w:rsidTr="00BF16A7">
        <w:tc>
          <w:tcPr>
            <w:tcW w:w="2500" w:type="pct"/>
          </w:tcPr>
          <w:p w14:paraId="6CF2F437" w14:textId="77777777" w:rsidR="00AB5CCB" w:rsidRPr="00BA3060" w:rsidRDefault="00AB5CCB" w:rsidP="00BF16A7">
            <w:pPr>
              <w:keepNext/>
              <w:keepLines/>
              <w:tabs>
                <w:tab w:val="left" w:pos="-720"/>
              </w:tabs>
              <w:suppressAutoHyphens/>
              <w:adjustRightInd w:val="0"/>
              <w:snapToGrid w:val="0"/>
              <w:rPr>
                <w:b/>
                <w:bCs/>
                <w:noProof/>
                <w:lang w:eastAsia="fr-FR"/>
              </w:rPr>
            </w:pPr>
            <w:r w:rsidRPr="00BA3060">
              <w:rPr>
                <w:b/>
                <w:noProof/>
              </w:rPr>
              <w:t>Κύπρος</w:t>
            </w:r>
          </w:p>
          <w:p w14:paraId="3F8FCC14" w14:textId="77777777" w:rsidR="00AB5CCB" w:rsidRPr="00BA3060" w:rsidRDefault="00AB5CCB" w:rsidP="00BF16A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0A94FCE7" w14:textId="77777777" w:rsidR="00AB5CCB" w:rsidRPr="00BA3060" w:rsidRDefault="00AB5CCB" w:rsidP="00BF16A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10B6D109" w14:textId="77777777" w:rsidR="00AB5CCB" w:rsidRPr="00BA3060" w:rsidRDefault="00AB5CCB" w:rsidP="00BF16A7">
            <w:pPr>
              <w:keepNext/>
              <w:keepLines/>
              <w:adjustRightInd w:val="0"/>
              <w:snapToGrid w:val="0"/>
              <w:rPr>
                <w:rFonts w:eastAsia="맑은 고딕"/>
                <w:b/>
                <w:noProof/>
                <w:lang w:eastAsia="fr-FR"/>
              </w:rPr>
            </w:pPr>
          </w:p>
        </w:tc>
        <w:tc>
          <w:tcPr>
            <w:tcW w:w="2500" w:type="pct"/>
          </w:tcPr>
          <w:p w14:paraId="507DF2B4" w14:textId="77777777" w:rsidR="00AB5CCB" w:rsidRPr="00BA3060" w:rsidRDefault="00AB5CCB" w:rsidP="00BF16A7">
            <w:pPr>
              <w:keepNext/>
              <w:keepLines/>
              <w:tabs>
                <w:tab w:val="left" w:pos="-720"/>
              </w:tabs>
              <w:suppressAutoHyphens/>
              <w:adjustRightInd w:val="0"/>
              <w:snapToGrid w:val="0"/>
              <w:rPr>
                <w:b/>
                <w:noProof/>
                <w:lang w:eastAsia="fr-FR"/>
              </w:rPr>
            </w:pPr>
            <w:r w:rsidRPr="00BA3060">
              <w:rPr>
                <w:b/>
                <w:noProof/>
              </w:rPr>
              <w:t>Sverige</w:t>
            </w:r>
          </w:p>
          <w:p w14:paraId="7D51C69F" w14:textId="77777777" w:rsidR="00B6520E" w:rsidRPr="00B6520E" w:rsidRDefault="00B6520E" w:rsidP="00B6520E">
            <w:pPr>
              <w:keepNext/>
              <w:keepLines/>
              <w:tabs>
                <w:tab w:val="left" w:pos="-720"/>
              </w:tabs>
              <w:suppressAutoHyphens/>
              <w:autoSpaceDE/>
              <w:autoSpaceDN/>
              <w:adjustRightInd w:val="0"/>
              <w:snapToGrid w:val="0"/>
              <w:rPr>
                <w:ins w:id="26" w:author="만든 이"/>
                <w:rFonts w:eastAsiaTheme="minorEastAsia"/>
                <w:lang w:eastAsia="ko-KR"/>
              </w:rPr>
            </w:pPr>
            <w:r w:rsidRPr="00B6520E">
              <w:rPr>
                <w:rFonts w:eastAsiaTheme="minorEastAsia" w:hint="eastAsia"/>
                <w:lang w:eastAsia="ko-KR"/>
              </w:rPr>
              <w:t>Celltrion Sweden AB</w:t>
            </w:r>
          </w:p>
          <w:p w14:paraId="453DC88F" w14:textId="77777777" w:rsidR="00B6520E" w:rsidRPr="00B6520E" w:rsidRDefault="00B6520E" w:rsidP="00B6520E">
            <w:pPr>
              <w:keepNext/>
              <w:keepLines/>
              <w:tabs>
                <w:tab w:val="left" w:pos="-720"/>
              </w:tabs>
              <w:suppressAutoHyphens/>
              <w:autoSpaceDE/>
              <w:autoSpaceDN/>
              <w:adjustRightInd w:val="0"/>
              <w:snapToGrid w:val="0"/>
              <w:rPr>
                <w:rFonts w:eastAsiaTheme="minorEastAsia"/>
                <w:lang w:eastAsia="ko-KR"/>
              </w:rPr>
            </w:pPr>
            <w:ins w:id="27" w:author="만든 이">
              <w:r w:rsidRPr="00B6520E">
                <w:rPr>
                  <w:rFonts w:eastAsiaTheme="minorEastAsia"/>
                  <w:lang w:eastAsia="ko-KR"/>
                </w:rPr>
                <w:t>Tel: +46 8 80 11 77</w:t>
              </w:r>
            </w:ins>
          </w:p>
          <w:p w14:paraId="6E43E718" w14:textId="0EF62E36" w:rsidR="00B6520E" w:rsidRPr="00B6520E" w:rsidRDefault="00B6520E" w:rsidP="00B6520E">
            <w:pPr>
              <w:keepNext/>
              <w:keepLines/>
              <w:tabs>
                <w:tab w:val="left" w:pos="-720"/>
              </w:tabs>
              <w:suppressAutoHyphens/>
              <w:autoSpaceDE/>
              <w:autoSpaceDN/>
              <w:adjustRightInd w:val="0"/>
              <w:snapToGrid w:val="0"/>
              <w:rPr>
                <w:rFonts w:eastAsia="맑은 고딕"/>
                <w:bCs/>
                <w:noProof/>
                <w:lang w:eastAsia="ko-KR"/>
              </w:rPr>
            </w:pPr>
            <w:del w:id="28" w:author="만든 이">
              <w:r w:rsidRPr="00B6520E" w:rsidDel="006F229F">
                <w:rPr>
                  <w:rFonts w:eastAsia="맑은 고딕" w:hint="eastAsia"/>
                  <w:bCs/>
                  <w:noProof/>
                  <w:lang w:eastAsia="ko-KR"/>
                </w:rPr>
                <w:delText>c</w:delText>
              </w:r>
            </w:del>
            <w:ins w:id="29" w:author="만든 이">
              <w:r w:rsidR="006F229F">
                <w:rPr>
                  <w:rFonts w:eastAsia="맑은 고딕" w:hint="eastAsia"/>
                  <w:bCs/>
                  <w:noProof/>
                  <w:lang w:eastAsia="ko-KR"/>
                </w:rPr>
                <w:t>C</w:t>
              </w:r>
            </w:ins>
            <w:r w:rsidRPr="00B6520E">
              <w:rPr>
                <w:rFonts w:eastAsia="맑은 고딕" w:hint="eastAsia"/>
                <w:bCs/>
                <w:noProof/>
                <w:lang w:eastAsia="ko-KR"/>
              </w:rPr>
              <w:t>ontact_se@celltrionhc.com</w:t>
            </w:r>
          </w:p>
          <w:p w14:paraId="16F9F7F3" w14:textId="77777777" w:rsidR="00AB5CCB" w:rsidRPr="00BA3060" w:rsidRDefault="00AB5CCB" w:rsidP="00BF16A7">
            <w:pPr>
              <w:keepNext/>
              <w:keepLines/>
              <w:tabs>
                <w:tab w:val="left" w:pos="-720"/>
              </w:tabs>
              <w:suppressAutoHyphens/>
              <w:adjustRightInd w:val="0"/>
              <w:snapToGrid w:val="0"/>
              <w:rPr>
                <w:rFonts w:eastAsia="맑은 고딕"/>
                <w:b/>
                <w:noProof/>
                <w:lang w:eastAsia="fr-FR"/>
              </w:rPr>
            </w:pPr>
          </w:p>
        </w:tc>
      </w:tr>
      <w:tr w:rsidR="00AB5CCB" w14:paraId="61EC5899" w14:textId="77777777" w:rsidTr="00BF16A7">
        <w:tc>
          <w:tcPr>
            <w:tcW w:w="2500" w:type="pct"/>
          </w:tcPr>
          <w:p w14:paraId="25A80D62" w14:textId="77777777" w:rsidR="00AB5CCB" w:rsidRPr="00BA3060" w:rsidRDefault="00AB5CCB" w:rsidP="00BF16A7">
            <w:pPr>
              <w:adjustRightInd w:val="0"/>
              <w:snapToGrid w:val="0"/>
              <w:rPr>
                <w:rFonts w:eastAsia="맑은 고딕"/>
                <w:b/>
                <w:noProof/>
                <w:lang w:eastAsia="fr-FR"/>
              </w:rPr>
            </w:pPr>
            <w:r w:rsidRPr="00BA3060">
              <w:rPr>
                <w:rFonts w:eastAsia="맑은 고딕"/>
                <w:b/>
                <w:noProof/>
                <w:lang w:eastAsia="fr-FR"/>
              </w:rPr>
              <w:t>Latvija</w:t>
            </w:r>
          </w:p>
          <w:p w14:paraId="3B161C4D" w14:textId="77777777" w:rsidR="00AB5CCB" w:rsidRPr="00BA3060" w:rsidRDefault="00AB5CCB" w:rsidP="00BF16A7">
            <w:pPr>
              <w:adjustRightInd w:val="0"/>
              <w:snapToGrid w:val="0"/>
              <w:rPr>
                <w:rFonts w:eastAsia="맑은 고딕"/>
                <w:noProof/>
                <w:lang w:eastAsia="fr-FR"/>
              </w:rPr>
            </w:pPr>
            <w:r w:rsidRPr="00BA3060">
              <w:rPr>
                <w:rFonts w:eastAsia="맑은 고딕"/>
                <w:noProof/>
                <w:lang w:eastAsia="fr-FR"/>
              </w:rPr>
              <w:t>Celltrion Healthcare Hungary Kft.</w:t>
            </w:r>
          </w:p>
          <w:p w14:paraId="5A489C8C" w14:textId="77777777" w:rsidR="00AB5CCB" w:rsidRPr="00BA3060" w:rsidRDefault="00AB5CCB" w:rsidP="00BF16A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2EAA9A40" w14:textId="77777777" w:rsidR="00AB5CCB" w:rsidRPr="00BA3060" w:rsidRDefault="00AB5CCB" w:rsidP="00BF16A7">
            <w:pPr>
              <w:tabs>
                <w:tab w:val="left" w:pos="-720"/>
              </w:tabs>
              <w:suppressAutoHyphens/>
              <w:adjustRightInd w:val="0"/>
              <w:snapToGrid w:val="0"/>
              <w:rPr>
                <w:rFonts w:eastAsia="맑은 고딕"/>
                <w:b/>
                <w:noProof/>
                <w:lang w:eastAsia="fr-FR"/>
              </w:rPr>
            </w:pPr>
          </w:p>
        </w:tc>
      </w:tr>
      <w:bookmarkEnd w:id="22"/>
    </w:tbl>
    <w:p w14:paraId="336200C0" w14:textId="77777777" w:rsidR="00B8498B" w:rsidRDefault="00B8498B" w:rsidP="00730741">
      <w:pPr>
        <w:rPr>
          <w:rFonts w:eastAsia="맑은 고딕"/>
          <w:snapToGrid w:val="0"/>
          <w:lang w:eastAsia="ko-KR"/>
        </w:rPr>
      </w:pPr>
    </w:p>
    <w:p w14:paraId="587239AA" w14:textId="77777777" w:rsidR="00B8498B" w:rsidRDefault="00B8498B" w:rsidP="00730741">
      <w:pPr>
        <w:rPr>
          <w:rFonts w:eastAsia="맑은 고딕"/>
          <w:snapToGrid w:val="0"/>
          <w:lang w:eastAsia="ko-KR"/>
        </w:rPr>
      </w:pPr>
    </w:p>
    <w:p w14:paraId="27F78144" w14:textId="51C39D31" w:rsidR="00162CE2" w:rsidRPr="00730741" w:rsidRDefault="00162CE2" w:rsidP="00730741">
      <w:pPr>
        <w:rPr>
          <w:b/>
          <w:bCs/>
          <w:snapToGrid w:val="0"/>
          <w:lang w:val="pt-PT"/>
        </w:rPr>
      </w:pPr>
      <w:r w:rsidRPr="00730741">
        <w:rPr>
          <w:b/>
          <w:bCs/>
          <w:snapToGrid w:val="0"/>
          <w:lang w:val="pt-PT"/>
        </w:rPr>
        <w:t xml:space="preserve">Este folheto foi revisto pela última vez em </w:t>
      </w:r>
      <w:r w:rsidRPr="00730741">
        <w:rPr>
          <w:b/>
          <w:bCs/>
          <w:noProof/>
          <w:color w:val="000000"/>
          <w:lang w:val="fr-CA"/>
        </w:rPr>
        <w:t>&lt;{MM/AAAA}&gt;</w:t>
      </w:r>
      <w:r w:rsidRPr="00730741">
        <w:rPr>
          <w:b/>
          <w:bCs/>
          <w:noProof/>
          <w:color w:val="000000"/>
          <w:lang w:val="fr-CA" w:eastAsia="ko-KR"/>
        </w:rPr>
        <w:t>.</w:t>
      </w:r>
    </w:p>
    <w:p w14:paraId="5D26C779" w14:textId="77777777" w:rsidR="00162CE2" w:rsidRPr="00730741" w:rsidRDefault="00162CE2" w:rsidP="00730741">
      <w:pPr>
        <w:rPr>
          <w:b/>
          <w:bCs/>
          <w:snapToGrid w:val="0"/>
          <w:lang w:val="pt-PT"/>
        </w:rPr>
      </w:pPr>
    </w:p>
    <w:p w14:paraId="33BF4885" w14:textId="77777777" w:rsidR="00162CE2" w:rsidRPr="00730741" w:rsidRDefault="00162CE2" w:rsidP="00730741">
      <w:pPr>
        <w:rPr>
          <w:b/>
          <w:bCs/>
          <w:snapToGrid w:val="0"/>
          <w:lang w:val="pt-PT"/>
        </w:rPr>
      </w:pPr>
      <w:r w:rsidRPr="00730741">
        <w:rPr>
          <w:b/>
          <w:bCs/>
          <w:snapToGrid w:val="0"/>
          <w:lang w:val="pt-PT"/>
        </w:rPr>
        <w:lastRenderedPageBreak/>
        <w:t>Outras fontes de informação</w:t>
      </w:r>
    </w:p>
    <w:p w14:paraId="4C4DEECE" w14:textId="77777777" w:rsidR="00162CE2" w:rsidRPr="002606DB" w:rsidRDefault="00162CE2" w:rsidP="00730741">
      <w:pPr>
        <w:rPr>
          <w:snapToGrid w:val="0"/>
          <w:lang w:val="pt-PT"/>
        </w:rPr>
      </w:pPr>
    </w:p>
    <w:p w14:paraId="4CF01BDF" w14:textId="292AC699" w:rsidR="005E36F9" w:rsidRPr="002606DB" w:rsidRDefault="00162CE2" w:rsidP="00056F35">
      <w:pPr>
        <w:pStyle w:val="a3"/>
        <w:adjustRightInd w:val="0"/>
        <w:snapToGrid w:val="0"/>
        <w:rPr>
          <w:snapToGrid w:val="0"/>
          <w:lang w:val="pt-PT"/>
        </w:rPr>
      </w:pPr>
      <w:r w:rsidRPr="002606DB">
        <w:rPr>
          <w:snapToGrid w:val="0"/>
          <w:lang w:val="pt-PT"/>
        </w:rPr>
        <w:t xml:space="preserve">Está disponível informação pormenorizada sobre este medicamento no sítio da internet da Agência Europeia de Medicamentos: </w:t>
      </w:r>
      <w:hyperlink w:history="1">
        <w:r w:rsidR="00C25AC8" w:rsidRPr="009E2922">
          <w:rPr>
            <w:rStyle w:val="ac"/>
            <w:snapToGrid w:val="0"/>
            <w:lang w:val="de-DE"/>
          </w:rPr>
          <w:t>https://www.ema.europa.eu</w:t>
        </w:r>
      </w:hyperlink>
    </w:p>
    <w:sectPr w:rsidR="005E36F9" w:rsidRPr="002606DB" w:rsidSect="00056F35">
      <w:footerReference w:type="default" r:id="rId14"/>
      <w:pgSz w:w="11910"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12B7" w14:textId="77777777" w:rsidR="007F1A26" w:rsidRDefault="007F1A26">
      <w:r>
        <w:separator/>
      </w:r>
    </w:p>
  </w:endnote>
  <w:endnote w:type="continuationSeparator" w:id="0">
    <w:p w14:paraId="476D2F23" w14:textId="77777777" w:rsidR="007F1A26" w:rsidRDefault="007F1A26">
      <w:r>
        <w:continuationSeparator/>
      </w:r>
    </w:p>
  </w:endnote>
  <w:endnote w:type="continuationNotice" w:id="1">
    <w:p w14:paraId="645AF99B" w14:textId="77777777" w:rsidR="007F1A26" w:rsidRDefault="007F1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B45B" w14:textId="2E9DE8DC" w:rsidR="003C1AAE" w:rsidRDefault="003C1AAE" w:rsidP="007A26EF">
    <w:pPr>
      <w:spacing w:before="13"/>
      <w:jc w:val="center"/>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noProof/>
        <w:spacing w:val="-5"/>
        <w:sz w:val="16"/>
      </w:rPr>
      <w:t>73</w:t>
    </w:r>
    <w:r>
      <w:rPr>
        <w:rFonts w:ascii="Arial"/>
        <w:spacing w:val="-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409B" w14:textId="77777777" w:rsidR="007F1A26" w:rsidRDefault="007F1A26">
      <w:r>
        <w:separator/>
      </w:r>
    </w:p>
  </w:footnote>
  <w:footnote w:type="continuationSeparator" w:id="0">
    <w:p w14:paraId="1A6766D5" w14:textId="77777777" w:rsidR="007F1A26" w:rsidRDefault="007F1A26">
      <w:r>
        <w:continuationSeparator/>
      </w:r>
    </w:p>
  </w:footnote>
  <w:footnote w:type="continuationNotice" w:id="1">
    <w:p w14:paraId="47EC215B" w14:textId="77777777" w:rsidR="007F1A26" w:rsidRDefault="007F1A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BT_1000x858px" style="width:15.75pt;height:13.5pt;visibility:visible;mso-wrap-style:square" o:bullet="t">
        <v:imagedata r:id="rId1" o:title="BT_1000x858px"/>
      </v:shape>
    </w:pict>
  </w:numPicBullet>
  <w:abstractNum w:abstractNumId="0" w15:restartNumberingAfterBreak="0">
    <w:nsid w:val="0CA84396"/>
    <w:multiLevelType w:val="multilevel"/>
    <w:tmpl w:val="158293A4"/>
    <w:lvl w:ilvl="0">
      <w:start w:val="1"/>
      <w:numFmt w:val="decimal"/>
      <w:lvlText w:val="%1."/>
      <w:lvlJc w:val="left"/>
      <w:pPr>
        <w:ind w:left="827" w:hanging="569"/>
      </w:pPr>
      <w:rPr>
        <w:rFonts w:ascii="Times New Roman" w:eastAsia="Times New Roman" w:hAnsi="Times New Roman" w:cs="Times New Roman" w:hint="default"/>
        <w:b/>
        <w:bCs/>
        <w:i w:val="0"/>
        <w:iCs w:val="0"/>
        <w:spacing w:val="0"/>
        <w:w w:val="101"/>
        <w:sz w:val="22"/>
        <w:szCs w:val="22"/>
      </w:rPr>
    </w:lvl>
    <w:lvl w:ilvl="1">
      <w:start w:val="1"/>
      <w:numFmt w:val="decimal"/>
      <w:lvlText w:val="%1.%2"/>
      <w:lvlJc w:val="left"/>
      <w:pPr>
        <w:ind w:left="827" w:hanging="569"/>
      </w:pPr>
      <w:rPr>
        <w:rFonts w:ascii="Times New Roman" w:eastAsia="Times New Roman" w:hAnsi="Times New Roman" w:cs="Times New Roman" w:hint="default"/>
        <w:b/>
        <w:bCs/>
        <w:i w:val="0"/>
        <w:iCs w:val="0"/>
        <w:spacing w:val="-6"/>
        <w:w w:val="101"/>
        <w:sz w:val="22"/>
        <w:szCs w:val="22"/>
      </w:rPr>
    </w:lvl>
    <w:lvl w:ilvl="2">
      <w:numFmt w:val="bullet"/>
      <w:lvlText w:val="•"/>
      <w:lvlJc w:val="left"/>
      <w:pPr>
        <w:ind w:left="2573" w:hanging="569"/>
      </w:pPr>
      <w:rPr>
        <w:rFonts w:hint="default"/>
      </w:rPr>
    </w:lvl>
    <w:lvl w:ilvl="3">
      <w:numFmt w:val="bullet"/>
      <w:lvlText w:val="•"/>
      <w:lvlJc w:val="left"/>
      <w:pPr>
        <w:ind w:left="3450" w:hanging="569"/>
      </w:pPr>
      <w:rPr>
        <w:rFonts w:hint="default"/>
      </w:rPr>
    </w:lvl>
    <w:lvl w:ilvl="4">
      <w:numFmt w:val="bullet"/>
      <w:lvlText w:val="•"/>
      <w:lvlJc w:val="left"/>
      <w:pPr>
        <w:ind w:left="4327" w:hanging="569"/>
      </w:pPr>
      <w:rPr>
        <w:rFonts w:hint="default"/>
      </w:rPr>
    </w:lvl>
    <w:lvl w:ilvl="5">
      <w:numFmt w:val="bullet"/>
      <w:lvlText w:val="•"/>
      <w:lvlJc w:val="left"/>
      <w:pPr>
        <w:ind w:left="5204" w:hanging="569"/>
      </w:pPr>
      <w:rPr>
        <w:rFonts w:hint="default"/>
      </w:rPr>
    </w:lvl>
    <w:lvl w:ilvl="6">
      <w:numFmt w:val="bullet"/>
      <w:lvlText w:val="•"/>
      <w:lvlJc w:val="left"/>
      <w:pPr>
        <w:ind w:left="6081" w:hanging="569"/>
      </w:pPr>
      <w:rPr>
        <w:rFonts w:hint="default"/>
      </w:rPr>
    </w:lvl>
    <w:lvl w:ilvl="7">
      <w:numFmt w:val="bullet"/>
      <w:lvlText w:val="•"/>
      <w:lvlJc w:val="left"/>
      <w:pPr>
        <w:ind w:left="6958" w:hanging="569"/>
      </w:pPr>
      <w:rPr>
        <w:rFonts w:hint="default"/>
      </w:rPr>
    </w:lvl>
    <w:lvl w:ilvl="8">
      <w:numFmt w:val="bullet"/>
      <w:lvlText w:val="•"/>
      <w:lvlJc w:val="left"/>
      <w:pPr>
        <w:ind w:left="7835" w:hanging="569"/>
      </w:pPr>
      <w:rPr>
        <w:rFonts w:hint="default"/>
      </w:rPr>
    </w:lvl>
  </w:abstractNum>
  <w:abstractNum w:abstractNumId="1" w15:restartNumberingAfterBreak="0">
    <w:nsid w:val="0FC35683"/>
    <w:multiLevelType w:val="hybridMultilevel"/>
    <w:tmpl w:val="8236F76E"/>
    <w:lvl w:ilvl="0" w:tplc="140EC036">
      <w:numFmt w:val="bullet"/>
      <w:lvlText w:val="•"/>
      <w:lvlJc w:val="left"/>
      <w:pPr>
        <w:ind w:left="930" w:hanging="570"/>
      </w:pPr>
      <w:rPr>
        <w:rFonts w:ascii="Times New Roman" w:eastAsia="Times New Roman" w:hAnsi="Times New Roman" w:cs="Times New Roman" w:hint="default"/>
        <w:w w:val="10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A63EC"/>
    <w:multiLevelType w:val="hybridMultilevel"/>
    <w:tmpl w:val="4044F72C"/>
    <w:lvl w:ilvl="0" w:tplc="EBBADAB2">
      <w:numFmt w:val="bullet"/>
      <w:lvlText w:val="•"/>
      <w:lvlJc w:val="left"/>
      <w:pPr>
        <w:ind w:left="978" w:hanging="361"/>
      </w:pPr>
      <w:rPr>
        <w:rFonts w:ascii="Times New Roman" w:eastAsia="Times New Roman" w:hAnsi="Times New Roman" w:hint="default"/>
        <w:b w:val="0"/>
        <w:i w:val="0"/>
        <w:w w:val="101"/>
        <w:sz w:val="22"/>
      </w:rPr>
    </w:lvl>
    <w:lvl w:ilvl="1" w:tplc="9D007A9A">
      <w:numFmt w:val="bullet"/>
      <w:lvlText w:val="•"/>
      <w:lvlJc w:val="left"/>
      <w:pPr>
        <w:ind w:left="1396" w:hanging="497"/>
      </w:pPr>
      <w:rPr>
        <w:rFonts w:ascii="Times New Roman" w:eastAsia="Times New Roman" w:hAnsi="Times New Roman" w:hint="default"/>
        <w:b w:val="0"/>
        <w:i w:val="0"/>
        <w:w w:val="102"/>
        <w:sz w:val="31"/>
      </w:rPr>
    </w:lvl>
    <w:lvl w:ilvl="2" w:tplc="DEA850CA">
      <w:numFmt w:val="bullet"/>
      <w:lvlText w:val="•"/>
      <w:lvlJc w:val="left"/>
      <w:pPr>
        <w:ind w:left="1532" w:hanging="281"/>
      </w:pPr>
      <w:rPr>
        <w:rFonts w:ascii="Times New Roman" w:eastAsia="Times New Roman" w:hAnsi="Times New Roman" w:hint="default"/>
        <w:b w:val="0"/>
        <w:i w:val="0"/>
        <w:w w:val="102"/>
        <w:sz w:val="31"/>
      </w:rPr>
    </w:lvl>
    <w:lvl w:ilvl="3" w:tplc="C812EA7A">
      <w:numFmt w:val="bullet"/>
      <w:lvlText w:val="•"/>
      <w:lvlJc w:val="left"/>
      <w:pPr>
        <w:ind w:left="2546" w:hanging="281"/>
      </w:pPr>
      <w:rPr>
        <w:rFonts w:hint="default"/>
      </w:rPr>
    </w:lvl>
    <w:lvl w:ilvl="4" w:tplc="068A2576">
      <w:numFmt w:val="bullet"/>
      <w:lvlText w:val="•"/>
      <w:lvlJc w:val="left"/>
      <w:pPr>
        <w:ind w:left="3552" w:hanging="281"/>
      </w:pPr>
      <w:rPr>
        <w:rFonts w:hint="default"/>
      </w:rPr>
    </w:lvl>
    <w:lvl w:ilvl="5" w:tplc="A4246354">
      <w:numFmt w:val="bullet"/>
      <w:lvlText w:val="•"/>
      <w:lvlJc w:val="left"/>
      <w:pPr>
        <w:ind w:left="4558" w:hanging="281"/>
      </w:pPr>
      <w:rPr>
        <w:rFonts w:hint="default"/>
      </w:rPr>
    </w:lvl>
    <w:lvl w:ilvl="6" w:tplc="2AD49520">
      <w:numFmt w:val="bullet"/>
      <w:lvlText w:val="•"/>
      <w:lvlJc w:val="left"/>
      <w:pPr>
        <w:ind w:left="5564" w:hanging="281"/>
      </w:pPr>
      <w:rPr>
        <w:rFonts w:hint="default"/>
      </w:rPr>
    </w:lvl>
    <w:lvl w:ilvl="7" w:tplc="967A5FE6">
      <w:numFmt w:val="bullet"/>
      <w:lvlText w:val="•"/>
      <w:lvlJc w:val="left"/>
      <w:pPr>
        <w:ind w:left="6570" w:hanging="281"/>
      </w:pPr>
      <w:rPr>
        <w:rFonts w:hint="default"/>
      </w:rPr>
    </w:lvl>
    <w:lvl w:ilvl="8" w:tplc="6C60FEDC">
      <w:numFmt w:val="bullet"/>
      <w:lvlText w:val="•"/>
      <w:lvlJc w:val="left"/>
      <w:pPr>
        <w:ind w:left="7576" w:hanging="281"/>
      </w:pPr>
      <w:rPr>
        <w:rFonts w:hint="default"/>
      </w:rPr>
    </w:lvl>
  </w:abstractNum>
  <w:abstractNum w:abstractNumId="3" w15:restartNumberingAfterBreak="0">
    <w:nsid w:val="17BD65F9"/>
    <w:multiLevelType w:val="hybridMultilevel"/>
    <w:tmpl w:val="B0D423A2"/>
    <w:lvl w:ilvl="0" w:tplc="4EFA5B82">
      <w:numFmt w:val="bullet"/>
      <w:lvlText w:val="•"/>
      <w:lvlJc w:val="left"/>
      <w:pPr>
        <w:ind w:left="899" w:hanging="360"/>
      </w:pPr>
      <w:rPr>
        <w:rFonts w:ascii="Times New Roman" w:eastAsia="Times New Roman" w:hAnsi="Times New Roman" w:hint="default"/>
        <w:b w:val="0"/>
        <w:i w:val="0"/>
        <w:w w:val="102"/>
        <w:sz w:val="31"/>
      </w:rPr>
    </w:lvl>
    <w:lvl w:ilvl="1" w:tplc="0F22EA0C">
      <w:numFmt w:val="bullet"/>
      <w:lvlText w:val="•"/>
      <w:lvlJc w:val="left"/>
      <w:pPr>
        <w:ind w:left="1532" w:hanging="281"/>
      </w:pPr>
      <w:rPr>
        <w:rFonts w:ascii="Times New Roman" w:eastAsia="Times New Roman" w:hAnsi="Times New Roman" w:hint="default"/>
        <w:b w:val="0"/>
        <w:i w:val="0"/>
        <w:w w:val="102"/>
        <w:sz w:val="31"/>
      </w:rPr>
    </w:lvl>
    <w:lvl w:ilvl="2" w:tplc="4E187FB4">
      <w:numFmt w:val="bullet"/>
      <w:lvlText w:val="•"/>
      <w:lvlJc w:val="left"/>
      <w:pPr>
        <w:ind w:left="2434" w:hanging="281"/>
      </w:pPr>
      <w:rPr>
        <w:rFonts w:hint="default"/>
      </w:rPr>
    </w:lvl>
    <w:lvl w:ilvl="3" w:tplc="ADA2A732">
      <w:numFmt w:val="bullet"/>
      <w:lvlText w:val="•"/>
      <w:lvlJc w:val="left"/>
      <w:pPr>
        <w:ind w:left="3328" w:hanging="281"/>
      </w:pPr>
      <w:rPr>
        <w:rFonts w:hint="default"/>
      </w:rPr>
    </w:lvl>
    <w:lvl w:ilvl="4" w:tplc="A80EAB94">
      <w:numFmt w:val="bullet"/>
      <w:lvlText w:val="•"/>
      <w:lvlJc w:val="left"/>
      <w:pPr>
        <w:ind w:left="4222" w:hanging="281"/>
      </w:pPr>
      <w:rPr>
        <w:rFonts w:hint="default"/>
      </w:rPr>
    </w:lvl>
    <w:lvl w:ilvl="5" w:tplc="CEE49314">
      <w:numFmt w:val="bullet"/>
      <w:lvlText w:val="•"/>
      <w:lvlJc w:val="left"/>
      <w:pPr>
        <w:ind w:left="5117" w:hanging="281"/>
      </w:pPr>
      <w:rPr>
        <w:rFonts w:hint="default"/>
      </w:rPr>
    </w:lvl>
    <w:lvl w:ilvl="6" w:tplc="E96C582C">
      <w:numFmt w:val="bullet"/>
      <w:lvlText w:val="•"/>
      <w:lvlJc w:val="left"/>
      <w:pPr>
        <w:ind w:left="6011" w:hanging="281"/>
      </w:pPr>
      <w:rPr>
        <w:rFonts w:hint="default"/>
      </w:rPr>
    </w:lvl>
    <w:lvl w:ilvl="7" w:tplc="259AD7AA">
      <w:numFmt w:val="bullet"/>
      <w:lvlText w:val="•"/>
      <w:lvlJc w:val="left"/>
      <w:pPr>
        <w:ind w:left="6905" w:hanging="281"/>
      </w:pPr>
      <w:rPr>
        <w:rFonts w:hint="default"/>
      </w:rPr>
    </w:lvl>
    <w:lvl w:ilvl="8" w:tplc="3A1E0D22">
      <w:numFmt w:val="bullet"/>
      <w:lvlText w:val="•"/>
      <w:lvlJc w:val="left"/>
      <w:pPr>
        <w:ind w:left="7800" w:hanging="281"/>
      </w:pPr>
      <w:rPr>
        <w:rFonts w:hint="default"/>
      </w:rPr>
    </w:lvl>
  </w:abstractNum>
  <w:abstractNum w:abstractNumId="4" w15:restartNumberingAfterBreak="0">
    <w:nsid w:val="1B0B2969"/>
    <w:multiLevelType w:val="hybridMultilevel"/>
    <w:tmpl w:val="AE28CBBA"/>
    <w:lvl w:ilvl="0" w:tplc="E52099A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4544F"/>
    <w:multiLevelType w:val="hybridMultilevel"/>
    <w:tmpl w:val="2166BCB0"/>
    <w:lvl w:ilvl="0" w:tplc="26A8722E">
      <w:start w:val="1"/>
      <w:numFmt w:val="decimal"/>
      <w:lvlText w:val="%1."/>
      <w:lvlJc w:val="left"/>
      <w:pPr>
        <w:ind w:left="828" w:hanging="569"/>
      </w:pPr>
      <w:rPr>
        <w:rFonts w:ascii="Times New Roman" w:eastAsia="Times New Roman" w:hAnsi="Times New Roman" w:cs="Times New Roman" w:hint="default"/>
        <w:b w:val="0"/>
        <w:bCs w:val="0"/>
        <w:i w:val="0"/>
        <w:iCs w:val="0"/>
        <w:spacing w:val="0"/>
        <w:w w:val="101"/>
        <w:sz w:val="22"/>
        <w:szCs w:val="22"/>
      </w:rPr>
    </w:lvl>
    <w:lvl w:ilvl="1" w:tplc="C69ABDFA">
      <w:numFmt w:val="bullet"/>
      <w:lvlText w:val="•"/>
      <w:lvlJc w:val="left"/>
      <w:pPr>
        <w:ind w:left="1696" w:hanging="569"/>
      </w:pPr>
      <w:rPr>
        <w:rFonts w:hint="default"/>
      </w:rPr>
    </w:lvl>
    <w:lvl w:ilvl="2" w:tplc="988A85D4">
      <w:numFmt w:val="bullet"/>
      <w:lvlText w:val="•"/>
      <w:lvlJc w:val="left"/>
      <w:pPr>
        <w:ind w:left="2573" w:hanging="569"/>
      </w:pPr>
      <w:rPr>
        <w:rFonts w:hint="default"/>
      </w:rPr>
    </w:lvl>
    <w:lvl w:ilvl="3" w:tplc="AFDE85E6">
      <w:numFmt w:val="bullet"/>
      <w:lvlText w:val="•"/>
      <w:lvlJc w:val="left"/>
      <w:pPr>
        <w:ind w:left="3450" w:hanging="569"/>
      </w:pPr>
      <w:rPr>
        <w:rFonts w:hint="default"/>
      </w:rPr>
    </w:lvl>
    <w:lvl w:ilvl="4" w:tplc="3A40144E">
      <w:numFmt w:val="bullet"/>
      <w:lvlText w:val="•"/>
      <w:lvlJc w:val="left"/>
      <w:pPr>
        <w:ind w:left="4327" w:hanging="569"/>
      </w:pPr>
      <w:rPr>
        <w:rFonts w:hint="default"/>
      </w:rPr>
    </w:lvl>
    <w:lvl w:ilvl="5" w:tplc="5CA230DE">
      <w:numFmt w:val="bullet"/>
      <w:lvlText w:val="•"/>
      <w:lvlJc w:val="left"/>
      <w:pPr>
        <w:ind w:left="5204" w:hanging="569"/>
      </w:pPr>
      <w:rPr>
        <w:rFonts w:hint="default"/>
      </w:rPr>
    </w:lvl>
    <w:lvl w:ilvl="6" w:tplc="059EC57E">
      <w:numFmt w:val="bullet"/>
      <w:lvlText w:val="•"/>
      <w:lvlJc w:val="left"/>
      <w:pPr>
        <w:ind w:left="6081" w:hanging="569"/>
      </w:pPr>
      <w:rPr>
        <w:rFonts w:hint="default"/>
      </w:rPr>
    </w:lvl>
    <w:lvl w:ilvl="7" w:tplc="01B00BFC">
      <w:numFmt w:val="bullet"/>
      <w:lvlText w:val="•"/>
      <w:lvlJc w:val="left"/>
      <w:pPr>
        <w:ind w:left="6958" w:hanging="569"/>
      </w:pPr>
      <w:rPr>
        <w:rFonts w:hint="default"/>
      </w:rPr>
    </w:lvl>
    <w:lvl w:ilvl="8" w:tplc="1778D4EA">
      <w:numFmt w:val="bullet"/>
      <w:lvlText w:val="•"/>
      <w:lvlJc w:val="left"/>
      <w:pPr>
        <w:ind w:left="7835" w:hanging="569"/>
      </w:pPr>
      <w:rPr>
        <w:rFonts w:hint="default"/>
      </w:rPr>
    </w:lvl>
  </w:abstractNum>
  <w:abstractNum w:abstractNumId="6" w15:restartNumberingAfterBreak="0">
    <w:nsid w:val="29333A06"/>
    <w:multiLevelType w:val="hybridMultilevel"/>
    <w:tmpl w:val="8CEC9D60"/>
    <w:lvl w:ilvl="0" w:tplc="DE2E1B7A">
      <w:start w:val="1"/>
      <w:numFmt w:val="decimal"/>
      <w:lvlText w:val="%1."/>
      <w:lvlJc w:val="left"/>
      <w:pPr>
        <w:ind w:left="827" w:hanging="569"/>
      </w:pPr>
      <w:rPr>
        <w:rFonts w:ascii="Times New Roman" w:eastAsia="Times New Roman" w:hAnsi="Times New Roman" w:cs="Times New Roman" w:hint="default"/>
        <w:b/>
        <w:bCs/>
        <w:i w:val="0"/>
        <w:iCs w:val="0"/>
        <w:spacing w:val="0"/>
        <w:w w:val="101"/>
        <w:sz w:val="22"/>
        <w:szCs w:val="22"/>
      </w:rPr>
    </w:lvl>
    <w:lvl w:ilvl="1" w:tplc="6E48522E">
      <w:numFmt w:val="bullet"/>
      <w:lvlText w:val="•"/>
      <w:lvlJc w:val="left"/>
      <w:pPr>
        <w:ind w:left="1696" w:hanging="569"/>
      </w:pPr>
      <w:rPr>
        <w:rFonts w:hint="default"/>
      </w:rPr>
    </w:lvl>
    <w:lvl w:ilvl="2" w:tplc="3232FFB8">
      <w:numFmt w:val="bullet"/>
      <w:lvlText w:val="•"/>
      <w:lvlJc w:val="left"/>
      <w:pPr>
        <w:ind w:left="2573" w:hanging="569"/>
      </w:pPr>
      <w:rPr>
        <w:rFonts w:hint="default"/>
      </w:rPr>
    </w:lvl>
    <w:lvl w:ilvl="3" w:tplc="E8BACE5A">
      <w:numFmt w:val="bullet"/>
      <w:lvlText w:val="•"/>
      <w:lvlJc w:val="left"/>
      <w:pPr>
        <w:ind w:left="3450" w:hanging="569"/>
      </w:pPr>
      <w:rPr>
        <w:rFonts w:hint="default"/>
      </w:rPr>
    </w:lvl>
    <w:lvl w:ilvl="4" w:tplc="D410E426">
      <w:numFmt w:val="bullet"/>
      <w:lvlText w:val="•"/>
      <w:lvlJc w:val="left"/>
      <w:pPr>
        <w:ind w:left="4327" w:hanging="569"/>
      </w:pPr>
      <w:rPr>
        <w:rFonts w:hint="default"/>
      </w:rPr>
    </w:lvl>
    <w:lvl w:ilvl="5" w:tplc="22A0B706">
      <w:numFmt w:val="bullet"/>
      <w:lvlText w:val="•"/>
      <w:lvlJc w:val="left"/>
      <w:pPr>
        <w:ind w:left="5204" w:hanging="569"/>
      </w:pPr>
      <w:rPr>
        <w:rFonts w:hint="default"/>
      </w:rPr>
    </w:lvl>
    <w:lvl w:ilvl="6" w:tplc="07F835AA">
      <w:numFmt w:val="bullet"/>
      <w:lvlText w:val="•"/>
      <w:lvlJc w:val="left"/>
      <w:pPr>
        <w:ind w:left="6081" w:hanging="569"/>
      </w:pPr>
      <w:rPr>
        <w:rFonts w:hint="default"/>
      </w:rPr>
    </w:lvl>
    <w:lvl w:ilvl="7" w:tplc="1B8663DE">
      <w:numFmt w:val="bullet"/>
      <w:lvlText w:val="•"/>
      <w:lvlJc w:val="left"/>
      <w:pPr>
        <w:ind w:left="6958" w:hanging="569"/>
      </w:pPr>
      <w:rPr>
        <w:rFonts w:hint="default"/>
      </w:rPr>
    </w:lvl>
    <w:lvl w:ilvl="8" w:tplc="91423D40">
      <w:numFmt w:val="bullet"/>
      <w:lvlText w:val="•"/>
      <w:lvlJc w:val="left"/>
      <w:pPr>
        <w:ind w:left="7835" w:hanging="569"/>
      </w:pPr>
      <w:rPr>
        <w:rFonts w:hint="default"/>
      </w:rPr>
    </w:lvl>
  </w:abstractNum>
  <w:abstractNum w:abstractNumId="7" w15:restartNumberingAfterBreak="0">
    <w:nsid w:val="339F0DD1"/>
    <w:multiLevelType w:val="hybridMultilevel"/>
    <w:tmpl w:val="7A2C7CAC"/>
    <w:lvl w:ilvl="0" w:tplc="32263ABE">
      <w:numFmt w:val="bullet"/>
      <w:lvlText w:val=""/>
      <w:lvlJc w:val="left"/>
      <w:pPr>
        <w:ind w:left="1043" w:hanging="785"/>
      </w:pPr>
      <w:rPr>
        <w:rFonts w:ascii="Symbol" w:eastAsia="Times New Roman" w:hAnsi="Symbol" w:hint="default"/>
        <w:b w:val="0"/>
        <w:i w:val="0"/>
        <w:w w:val="101"/>
        <w:sz w:val="22"/>
      </w:rPr>
    </w:lvl>
    <w:lvl w:ilvl="1" w:tplc="194826B0">
      <w:numFmt w:val="bullet"/>
      <w:lvlText w:val="•"/>
      <w:lvlJc w:val="left"/>
      <w:pPr>
        <w:ind w:left="740" w:hanging="245"/>
      </w:pPr>
      <w:rPr>
        <w:rFonts w:ascii="Times New Roman" w:eastAsia="Times New Roman" w:hAnsi="Times New Roman" w:hint="default"/>
        <w:b w:val="0"/>
        <w:i w:val="0"/>
        <w:w w:val="101"/>
        <w:sz w:val="22"/>
      </w:rPr>
    </w:lvl>
    <w:lvl w:ilvl="2" w:tplc="9144626C">
      <w:numFmt w:val="bullet"/>
      <w:lvlText w:val="•"/>
      <w:lvlJc w:val="left"/>
      <w:pPr>
        <w:ind w:left="1989" w:hanging="245"/>
      </w:pPr>
      <w:rPr>
        <w:rFonts w:hint="default"/>
      </w:rPr>
    </w:lvl>
    <w:lvl w:ilvl="3" w:tplc="63A29D6E">
      <w:numFmt w:val="bullet"/>
      <w:lvlText w:val="•"/>
      <w:lvlJc w:val="left"/>
      <w:pPr>
        <w:ind w:left="2939" w:hanging="245"/>
      </w:pPr>
      <w:rPr>
        <w:rFonts w:hint="default"/>
      </w:rPr>
    </w:lvl>
    <w:lvl w:ilvl="4" w:tplc="22C669BA">
      <w:numFmt w:val="bullet"/>
      <w:lvlText w:val="•"/>
      <w:lvlJc w:val="left"/>
      <w:pPr>
        <w:ind w:left="3889" w:hanging="245"/>
      </w:pPr>
      <w:rPr>
        <w:rFonts w:hint="default"/>
      </w:rPr>
    </w:lvl>
    <w:lvl w:ilvl="5" w:tplc="73FADBA4">
      <w:numFmt w:val="bullet"/>
      <w:lvlText w:val="•"/>
      <w:lvlJc w:val="left"/>
      <w:pPr>
        <w:ind w:left="4839" w:hanging="245"/>
      </w:pPr>
      <w:rPr>
        <w:rFonts w:hint="default"/>
      </w:rPr>
    </w:lvl>
    <w:lvl w:ilvl="6" w:tplc="D3B8EEFE">
      <w:numFmt w:val="bullet"/>
      <w:lvlText w:val="•"/>
      <w:lvlJc w:val="left"/>
      <w:pPr>
        <w:ind w:left="5789" w:hanging="245"/>
      </w:pPr>
      <w:rPr>
        <w:rFonts w:hint="default"/>
      </w:rPr>
    </w:lvl>
    <w:lvl w:ilvl="7" w:tplc="207A693A">
      <w:numFmt w:val="bullet"/>
      <w:lvlText w:val="•"/>
      <w:lvlJc w:val="left"/>
      <w:pPr>
        <w:ind w:left="6739" w:hanging="245"/>
      </w:pPr>
      <w:rPr>
        <w:rFonts w:hint="default"/>
      </w:rPr>
    </w:lvl>
    <w:lvl w:ilvl="8" w:tplc="62A25176">
      <w:numFmt w:val="bullet"/>
      <w:lvlText w:val="•"/>
      <w:lvlJc w:val="left"/>
      <w:pPr>
        <w:ind w:left="7689" w:hanging="245"/>
      </w:pPr>
      <w:rPr>
        <w:rFonts w:hint="default"/>
      </w:rPr>
    </w:lvl>
  </w:abstractNum>
  <w:abstractNum w:abstractNumId="8" w15:restartNumberingAfterBreak="0">
    <w:nsid w:val="464338EA"/>
    <w:multiLevelType w:val="hybridMultilevel"/>
    <w:tmpl w:val="223CC696"/>
    <w:lvl w:ilvl="0" w:tplc="E52099A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00C02"/>
    <w:multiLevelType w:val="hybridMultilevel"/>
    <w:tmpl w:val="D14C0E3C"/>
    <w:lvl w:ilvl="0" w:tplc="71BEEC20">
      <w:numFmt w:val="bullet"/>
      <w:lvlText w:val="•"/>
      <w:lvlJc w:val="left"/>
      <w:pPr>
        <w:ind w:left="827" w:hanging="569"/>
      </w:pPr>
      <w:rPr>
        <w:rFonts w:ascii="Times New Roman" w:eastAsia="Times New Roman" w:hAnsi="Times New Roman" w:hint="default"/>
        <w:w w:val="101"/>
      </w:rPr>
    </w:lvl>
    <w:lvl w:ilvl="1" w:tplc="23E8C852">
      <w:numFmt w:val="bullet"/>
      <w:lvlText w:val=""/>
      <w:lvlJc w:val="left"/>
      <w:pPr>
        <w:ind w:left="978" w:hanging="361"/>
      </w:pPr>
      <w:rPr>
        <w:rFonts w:ascii="Symbol" w:eastAsia="Times New Roman" w:hAnsi="Symbol" w:hint="default"/>
        <w:b w:val="0"/>
        <w:i w:val="0"/>
        <w:w w:val="101"/>
        <w:sz w:val="22"/>
      </w:rPr>
    </w:lvl>
    <w:lvl w:ilvl="2" w:tplc="6F36C604">
      <w:numFmt w:val="bullet"/>
      <w:lvlText w:val="•"/>
      <w:lvlJc w:val="left"/>
      <w:pPr>
        <w:ind w:left="1936" w:hanging="361"/>
      </w:pPr>
      <w:rPr>
        <w:rFonts w:hint="default"/>
      </w:rPr>
    </w:lvl>
    <w:lvl w:ilvl="3" w:tplc="F9F829BE">
      <w:numFmt w:val="bullet"/>
      <w:lvlText w:val="•"/>
      <w:lvlJc w:val="left"/>
      <w:pPr>
        <w:ind w:left="2893" w:hanging="361"/>
      </w:pPr>
      <w:rPr>
        <w:rFonts w:hint="default"/>
      </w:rPr>
    </w:lvl>
    <w:lvl w:ilvl="4" w:tplc="DE145FF0">
      <w:numFmt w:val="bullet"/>
      <w:lvlText w:val="•"/>
      <w:lvlJc w:val="left"/>
      <w:pPr>
        <w:ind w:left="3849" w:hanging="361"/>
      </w:pPr>
      <w:rPr>
        <w:rFonts w:hint="default"/>
      </w:rPr>
    </w:lvl>
    <w:lvl w:ilvl="5" w:tplc="188AC0F4">
      <w:numFmt w:val="bullet"/>
      <w:lvlText w:val="•"/>
      <w:lvlJc w:val="left"/>
      <w:pPr>
        <w:ind w:left="4806" w:hanging="361"/>
      </w:pPr>
      <w:rPr>
        <w:rFonts w:hint="default"/>
      </w:rPr>
    </w:lvl>
    <w:lvl w:ilvl="6" w:tplc="01E4FA7E">
      <w:numFmt w:val="bullet"/>
      <w:lvlText w:val="•"/>
      <w:lvlJc w:val="left"/>
      <w:pPr>
        <w:ind w:left="5762" w:hanging="361"/>
      </w:pPr>
      <w:rPr>
        <w:rFonts w:hint="default"/>
      </w:rPr>
    </w:lvl>
    <w:lvl w:ilvl="7" w:tplc="67662392">
      <w:numFmt w:val="bullet"/>
      <w:lvlText w:val="•"/>
      <w:lvlJc w:val="left"/>
      <w:pPr>
        <w:ind w:left="6719" w:hanging="361"/>
      </w:pPr>
      <w:rPr>
        <w:rFonts w:hint="default"/>
      </w:rPr>
    </w:lvl>
    <w:lvl w:ilvl="8" w:tplc="0B82BB46">
      <w:numFmt w:val="bullet"/>
      <w:lvlText w:val="•"/>
      <w:lvlJc w:val="left"/>
      <w:pPr>
        <w:ind w:left="7675" w:hanging="361"/>
      </w:pPr>
      <w:rPr>
        <w:rFonts w:hint="default"/>
      </w:rPr>
    </w:lvl>
  </w:abstractNum>
  <w:abstractNum w:abstractNumId="10" w15:restartNumberingAfterBreak="0">
    <w:nsid w:val="54CB404A"/>
    <w:multiLevelType w:val="hybridMultilevel"/>
    <w:tmpl w:val="45C4C382"/>
    <w:lvl w:ilvl="0" w:tplc="CC1CC2FC">
      <w:start w:val="2"/>
      <w:numFmt w:val="upperLetter"/>
      <w:lvlText w:val="%1."/>
      <w:lvlJc w:val="left"/>
      <w:pPr>
        <w:ind w:left="827" w:hanging="569"/>
      </w:pPr>
      <w:rPr>
        <w:rFonts w:ascii="Times New Roman" w:eastAsia="Times New Roman" w:hAnsi="Times New Roman" w:cs="Times New Roman" w:hint="default"/>
        <w:b/>
        <w:bCs/>
        <w:i w:val="0"/>
        <w:iCs w:val="0"/>
        <w:spacing w:val="0"/>
        <w:w w:val="101"/>
        <w:sz w:val="22"/>
        <w:szCs w:val="22"/>
      </w:rPr>
    </w:lvl>
    <w:lvl w:ilvl="1" w:tplc="EDC08BE2">
      <w:start w:val="1"/>
      <w:numFmt w:val="upperLetter"/>
      <w:lvlText w:val="%2."/>
      <w:lvlJc w:val="left"/>
      <w:pPr>
        <w:ind w:left="4196" w:hanging="274"/>
      </w:pPr>
      <w:rPr>
        <w:rFonts w:ascii="Times New Roman" w:eastAsia="Times New Roman" w:hAnsi="Times New Roman" w:cs="Times New Roman" w:hint="default"/>
        <w:b/>
        <w:bCs/>
        <w:i w:val="0"/>
        <w:iCs w:val="0"/>
        <w:spacing w:val="-3"/>
        <w:w w:val="101"/>
        <w:sz w:val="22"/>
        <w:szCs w:val="22"/>
      </w:rPr>
    </w:lvl>
    <w:lvl w:ilvl="2" w:tplc="F1829C74">
      <w:numFmt w:val="bullet"/>
      <w:lvlText w:val="•"/>
      <w:lvlJc w:val="left"/>
      <w:pPr>
        <w:ind w:left="4798" w:hanging="274"/>
      </w:pPr>
      <w:rPr>
        <w:rFonts w:hint="default"/>
      </w:rPr>
    </w:lvl>
    <w:lvl w:ilvl="3" w:tplc="B7C477B8">
      <w:numFmt w:val="bullet"/>
      <w:lvlText w:val="•"/>
      <w:lvlJc w:val="left"/>
      <w:pPr>
        <w:ind w:left="5397" w:hanging="274"/>
      </w:pPr>
      <w:rPr>
        <w:rFonts w:hint="default"/>
      </w:rPr>
    </w:lvl>
    <w:lvl w:ilvl="4" w:tplc="502E52EC">
      <w:numFmt w:val="bullet"/>
      <w:lvlText w:val="•"/>
      <w:lvlJc w:val="left"/>
      <w:pPr>
        <w:ind w:left="5996" w:hanging="274"/>
      </w:pPr>
      <w:rPr>
        <w:rFonts w:hint="default"/>
      </w:rPr>
    </w:lvl>
    <w:lvl w:ilvl="5" w:tplc="B9C0B036">
      <w:numFmt w:val="bullet"/>
      <w:lvlText w:val="•"/>
      <w:lvlJc w:val="left"/>
      <w:pPr>
        <w:ind w:left="6595" w:hanging="274"/>
      </w:pPr>
      <w:rPr>
        <w:rFonts w:hint="default"/>
      </w:rPr>
    </w:lvl>
    <w:lvl w:ilvl="6" w:tplc="83C0DE8C">
      <w:numFmt w:val="bullet"/>
      <w:lvlText w:val="•"/>
      <w:lvlJc w:val="left"/>
      <w:pPr>
        <w:ind w:left="7193" w:hanging="274"/>
      </w:pPr>
      <w:rPr>
        <w:rFonts w:hint="default"/>
      </w:rPr>
    </w:lvl>
    <w:lvl w:ilvl="7" w:tplc="3D9AC08A">
      <w:numFmt w:val="bullet"/>
      <w:lvlText w:val="•"/>
      <w:lvlJc w:val="left"/>
      <w:pPr>
        <w:ind w:left="7792" w:hanging="274"/>
      </w:pPr>
      <w:rPr>
        <w:rFonts w:hint="default"/>
      </w:rPr>
    </w:lvl>
    <w:lvl w:ilvl="8" w:tplc="29FADB4E">
      <w:numFmt w:val="bullet"/>
      <w:lvlText w:val="•"/>
      <w:lvlJc w:val="left"/>
      <w:pPr>
        <w:ind w:left="8391" w:hanging="274"/>
      </w:pPr>
      <w:rPr>
        <w:rFonts w:hint="default"/>
      </w:rPr>
    </w:lvl>
  </w:abstractNum>
  <w:abstractNum w:abstractNumId="11" w15:restartNumberingAfterBreak="0">
    <w:nsid w:val="5C4A509E"/>
    <w:multiLevelType w:val="hybridMultilevel"/>
    <w:tmpl w:val="FC0E4546"/>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B085293"/>
    <w:multiLevelType w:val="hybridMultilevel"/>
    <w:tmpl w:val="584AAB0C"/>
    <w:lvl w:ilvl="0" w:tplc="5A888A2C">
      <w:numFmt w:val="bullet"/>
      <w:lvlText w:val="•"/>
      <w:lvlJc w:val="left"/>
      <w:pPr>
        <w:ind w:left="930" w:hanging="570"/>
      </w:pPr>
      <w:rPr>
        <w:rFonts w:ascii="Times New Roman" w:eastAsia="Times New Roman" w:hAnsi="Times New Roman" w:cs="Times New Roman" w:hint="default"/>
        <w:w w:val="10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60157"/>
    <w:multiLevelType w:val="hybridMultilevel"/>
    <w:tmpl w:val="1BF04BCA"/>
    <w:lvl w:ilvl="0" w:tplc="F3082590">
      <w:numFmt w:val="bullet"/>
      <w:lvlText w:val="*"/>
      <w:lvlJc w:val="left"/>
      <w:pPr>
        <w:ind w:left="401" w:hanging="152"/>
      </w:pPr>
      <w:rPr>
        <w:rFonts w:ascii="Times New Roman" w:eastAsia="Times New Roman" w:hAnsi="Times New Roman" w:hint="default"/>
        <w:b w:val="0"/>
        <w:i w:val="0"/>
        <w:w w:val="100"/>
        <w:sz w:val="20"/>
      </w:rPr>
    </w:lvl>
    <w:lvl w:ilvl="1" w:tplc="63D20C30">
      <w:numFmt w:val="bullet"/>
      <w:lvlText w:val="•"/>
      <w:lvlJc w:val="left"/>
      <w:pPr>
        <w:ind w:left="964" w:hanging="353"/>
      </w:pPr>
      <w:rPr>
        <w:rFonts w:ascii="Times New Roman" w:eastAsia="Times New Roman" w:hAnsi="Times New Roman" w:hint="default"/>
        <w:w w:val="101"/>
      </w:rPr>
    </w:lvl>
    <w:lvl w:ilvl="2" w:tplc="E640E63E">
      <w:numFmt w:val="bullet"/>
      <w:lvlText w:val="•"/>
      <w:lvlJc w:val="left"/>
      <w:pPr>
        <w:ind w:left="1713" w:hanging="346"/>
      </w:pPr>
      <w:rPr>
        <w:rFonts w:ascii="Times New Roman" w:eastAsia="Times New Roman" w:hAnsi="Times New Roman" w:hint="default"/>
        <w:w w:val="101"/>
      </w:rPr>
    </w:lvl>
    <w:lvl w:ilvl="3" w:tplc="8C869304">
      <w:numFmt w:val="bullet"/>
      <w:lvlText w:val="•"/>
      <w:lvlJc w:val="left"/>
      <w:pPr>
        <w:ind w:left="960" w:hanging="346"/>
      </w:pPr>
      <w:rPr>
        <w:rFonts w:hint="default"/>
      </w:rPr>
    </w:lvl>
    <w:lvl w:ilvl="4" w:tplc="9780B220">
      <w:numFmt w:val="bullet"/>
      <w:lvlText w:val="•"/>
      <w:lvlJc w:val="left"/>
      <w:pPr>
        <w:ind w:left="980" w:hanging="346"/>
      </w:pPr>
      <w:rPr>
        <w:rFonts w:hint="default"/>
      </w:rPr>
    </w:lvl>
    <w:lvl w:ilvl="5" w:tplc="E7FEAF52">
      <w:numFmt w:val="bullet"/>
      <w:lvlText w:val="•"/>
      <w:lvlJc w:val="left"/>
      <w:pPr>
        <w:ind w:left="1720" w:hanging="346"/>
      </w:pPr>
      <w:rPr>
        <w:rFonts w:hint="default"/>
      </w:rPr>
    </w:lvl>
    <w:lvl w:ilvl="6" w:tplc="5250436E">
      <w:numFmt w:val="bullet"/>
      <w:lvlText w:val="•"/>
      <w:lvlJc w:val="left"/>
      <w:pPr>
        <w:ind w:left="3293" w:hanging="346"/>
      </w:pPr>
      <w:rPr>
        <w:rFonts w:hint="default"/>
      </w:rPr>
    </w:lvl>
    <w:lvl w:ilvl="7" w:tplc="27EABA5E">
      <w:numFmt w:val="bullet"/>
      <w:lvlText w:val="•"/>
      <w:lvlJc w:val="left"/>
      <w:pPr>
        <w:ind w:left="4867" w:hanging="346"/>
      </w:pPr>
      <w:rPr>
        <w:rFonts w:hint="default"/>
      </w:rPr>
    </w:lvl>
    <w:lvl w:ilvl="8" w:tplc="1A3A9ED2">
      <w:numFmt w:val="bullet"/>
      <w:lvlText w:val="•"/>
      <w:lvlJc w:val="left"/>
      <w:pPr>
        <w:ind w:left="6441" w:hanging="346"/>
      </w:pPr>
      <w:rPr>
        <w:rFonts w:hint="default"/>
      </w:rPr>
    </w:lvl>
  </w:abstractNum>
  <w:abstractNum w:abstractNumId="14" w15:restartNumberingAfterBreak="0">
    <w:nsid w:val="7E3623EA"/>
    <w:multiLevelType w:val="hybridMultilevel"/>
    <w:tmpl w:val="F934C9FE"/>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7EBB21A1"/>
    <w:multiLevelType w:val="hybridMultilevel"/>
    <w:tmpl w:val="9AE01D9A"/>
    <w:lvl w:ilvl="0" w:tplc="0F4EA82A">
      <w:start w:val="1"/>
      <w:numFmt w:val="upperLetter"/>
      <w:lvlText w:val="%1."/>
      <w:lvlJc w:val="left"/>
      <w:pPr>
        <w:ind w:left="1957" w:hanging="569"/>
      </w:pPr>
      <w:rPr>
        <w:rFonts w:ascii="Times New Roman" w:eastAsia="Times New Roman" w:hAnsi="Times New Roman" w:cs="Times New Roman" w:hint="default"/>
        <w:b/>
        <w:bCs/>
        <w:i w:val="0"/>
        <w:iCs w:val="0"/>
        <w:spacing w:val="-3"/>
        <w:w w:val="101"/>
        <w:sz w:val="22"/>
        <w:szCs w:val="22"/>
      </w:rPr>
    </w:lvl>
    <w:lvl w:ilvl="1" w:tplc="FBA8E396">
      <w:numFmt w:val="bullet"/>
      <w:lvlText w:val="•"/>
      <w:lvlJc w:val="left"/>
      <w:pPr>
        <w:ind w:left="2722" w:hanging="569"/>
      </w:pPr>
      <w:rPr>
        <w:rFonts w:hint="default"/>
      </w:rPr>
    </w:lvl>
    <w:lvl w:ilvl="2" w:tplc="9848A982">
      <w:numFmt w:val="bullet"/>
      <w:lvlText w:val="•"/>
      <w:lvlJc w:val="left"/>
      <w:pPr>
        <w:ind w:left="3485" w:hanging="569"/>
      </w:pPr>
      <w:rPr>
        <w:rFonts w:hint="default"/>
      </w:rPr>
    </w:lvl>
    <w:lvl w:ilvl="3" w:tplc="5464119C">
      <w:numFmt w:val="bullet"/>
      <w:lvlText w:val="•"/>
      <w:lvlJc w:val="left"/>
      <w:pPr>
        <w:ind w:left="4248" w:hanging="569"/>
      </w:pPr>
      <w:rPr>
        <w:rFonts w:hint="default"/>
      </w:rPr>
    </w:lvl>
    <w:lvl w:ilvl="4" w:tplc="0746784C">
      <w:numFmt w:val="bullet"/>
      <w:lvlText w:val="•"/>
      <w:lvlJc w:val="left"/>
      <w:pPr>
        <w:ind w:left="5011" w:hanging="569"/>
      </w:pPr>
      <w:rPr>
        <w:rFonts w:hint="default"/>
      </w:rPr>
    </w:lvl>
    <w:lvl w:ilvl="5" w:tplc="853CE2D6">
      <w:numFmt w:val="bullet"/>
      <w:lvlText w:val="•"/>
      <w:lvlJc w:val="left"/>
      <w:pPr>
        <w:ind w:left="5774" w:hanging="569"/>
      </w:pPr>
      <w:rPr>
        <w:rFonts w:hint="default"/>
      </w:rPr>
    </w:lvl>
    <w:lvl w:ilvl="6" w:tplc="AF3AB40A">
      <w:numFmt w:val="bullet"/>
      <w:lvlText w:val="•"/>
      <w:lvlJc w:val="left"/>
      <w:pPr>
        <w:ind w:left="6537" w:hanging="569"/>
      </w:pPr>
      <w:rPr>
        <w:rFonts w:hint="default"/>
      </w:rPr>
    </w:lvl>
    <w:lvl w:ilvl="7" w:tplc="75FA8194">
      <w:numFmt w:val="bullet"/>
      <w:lvlText w:val="•"/>
      <w:lvlJc w:val="left"/>
      <w:pPr>
        <w:ind w:left="7300" w:hanging="569"/>
      </w:pPr>
      <w:rPr>
        <w:rFonts w:hint="default"/>
      </w:rPr>
    </w:lvl>
    <w:lvl w:ilvl="8" w:tplc="69787C68">
      <w:numFmt w:val="bullet"/>
      <w:lvlText w:val="•"/>
      <w:lvlJc w:val="left"/>
      <w:pPr>
        <w:ind w:left="8063" w:hanging="569"/>
      </w:pPr>
      <w:rPr>
        <w:rFonts w:hint="default"/>
      </w:rPr>
    </w:lvl>
  </w:abstractNum>
  <w:num w:numId="1" w16cid:durableId="689450303">
    <w:abstractNumId w:val="6"/>
  </w:num>
  <w:num w:numId="2" w16cid:durableId="1405686326">
    <w:abstractNumId w:val="5"/>
  </w:num>
  <w:num w:numId="3" w16cid:durableId="2130278672">
    <w:abstractNumId w:val="10"/>
  </w:num>
  <w:num w:numId="4" w16cid:durableId="1602185223">
    <w:abstractNumId w:val="15"/>
  </w:num>
  <w:num w:numId="5" w16cid:durableId="244655791">
    <w:abstractNumId w:val="3"/>
  </w:num>
  <w:num w:numId="6" w16cid:durableId="1580408648">
    <w:abstractNumId w:val="2"/>
  </w:num>
  <w:num w:numId="7" w16cid:durableId="1472013689">
    <w:abstractNumId w:val="13"/>
  </w:num>
  <w:num w:numId="8" w16cid:durableId="81952023">
    <w:abstractNumId w:val="7"/>
  </w:num>
  <w:num w:numId="9" w16cid:durableId="1919092351">
    <w:abstractNumId w:val="9"/>
  </w:num>
  <w:num w:numId="10" w16cid:durableId="1772966915">
    <w:abstractNumId w:val="0"/>
  </w:num>
  <w:num w:numId="11" w16cid:durableId="1588729856">
    <w:abstractNumId w:val="8"/>
  </w:num>
  <w:num w:numId="12" w16cid:durableId="1567106195">
    <w:abstractNumId w:val="12"/>
  </w:num>
  <w:num w:numId="13" w16cid:durableId="217714887">
    <w:abstractNumId w:val="4"/>
  </w:num>
  <w:num w:numId="14" w16cid:durableId="1403721537">
    <w:abstractNumId w:val="1"/>
  </w:num>
  <w:num w:numId="15" w16cid:durableId="93407396">
    <w:abstractNumId w:val="11"/>
  </w:num>
  <w:num w:numId="16" w16cid:durableId="1762068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54"/>
    <w:rsid w:val="000049B1"/>
    <w:rsid w:val="00010102"/>
    <w:rsid w:val="000111F1"/>
    <w:rsid w:val="000133D4"/>
    <w:rsid w:val="00013676"/>
    <w:rsid w:val="00013970"/>
    <w:rsid w:val="00022149"/>
    <w:rsid w:val="00032FC9"/>
    <w:rsid w:val="00040A8F"/>
    <w:rsid w:val="00041F1B"/>
    <w:rsid w:val="00043CC4"/>
    <w:rsid w:val="00052CFC"/>
    <w:rsid w:val="00052D84"/>
    <w:rsid w:val="0005385C"/>
    <w:rsid w:val="00056F35"/>
    <w:rsid w:val="00061F26"/>
    <w:rsid w:val="000650DE"/>
    <w:rsid w:val="00067B97"/>
    <w:rsid w:val="000716A3"/>
    <w:rsid w:val="00077DF0"/>
    <w:rsid w:val="00080356"/>
    <w:rsid w:val="00080826"/>
    <w:rsid w:val="00092148"/>
    <w:rsid w:val="000A7720"/>
    <w:rsid w:val="000B4830"/>
    <w:rsid w:val="000C061B"/>
    <w:rsid w:val="000C4066"/>
    <w:rsid w:val="000C73C2"/>
    <w:rsid w:val="000C73F3"/>
    <w:rsid w:val="000D1928"/>
    <w:rsid w:val="000D1A1D"/>
    <w:rsid w:val="000D6219"/>
    <w:rsid w:val="000E169F"/>
    <w:rsid w:val="000E4101"/>
    <w:rsid w:val="000E424A"/>
    <w:rsid w:val="000F2E0F"/>
    <w:rsid w:val="000F565C"/>
    <w:rsid w:val="00117BBC"/>
    <w:rsid w:val="0012013C"/>
    <w:rsid w:val="00123BD4"/>
    <w:rsid w:val="00126C22"/>
    <w:rsid w:val="001271C2"/>
    <w:rsid w:val="00136A34"/>
    <w:rsid w:val="00143B4C"/>
    <w:rsid w:val="00151B09"/>
    <w:rsid w:val="00162CE2"/>
    <w:rsid w:val="00162DD9"/>
    <w:rsid w:val="0016351B"/>
    <w:rsid w:val="0016797E"/>
    <w:rsid w:val="0017439A"/>
    <w:rsid w:val="0017569B"/>
    <w:rsid w:val="00182932"/>
    <w:rsid w:val="0018411C"/>
    <w:rsid w:val="00184F86"/>
    <w:rsid w:val="00186385"/>
    <w:rsid w:val="00191AE7"/>
    <w:rsid w:val="00192A6C"/>
    <w:rsid w:val="00194BA3"/>
    <w:rsid w:val="00195C50"/>
    <w:rsid w:val="001965A8"/>
    <w:rsid w:val="001A633D"/>
    <w:rsid w:val="001B1B68"/>
    <w:rsid w:val="001B1CFD"/>
    <w:rsid w:val="001B2CB1"/>
    <w:rsid w:val="001B3486"/>
    <w:rsid w:val="001B3C66"/>
    <w:rsid w:val="001B41C4"/>
    <w:rsid w:val="001C687C"/>
    <w:rsid w:val="001D0B0E"/>
    <w:rsid w:val="001D639B"/>
    <w:rsid w:val="001E27AF"/>
    <w:rsid w:val="001E4974"/>
    <w:rsid w:val="001F352C"/>
    <w:rsid w:val="001F7D5A"/>
    <w:rsid w:val="00201839"/>
    <w:rsid w:val="00201BD0"/>
    <w:rsid w:val="00202FA2"/>
    <w:rsid w:val="002044EB"/>
    <w:rsid w:val="00205E8A"/>
    <w:rsid w:val="0021002E"/>
    <w:rsid w:val="0021387C"/>
    <w:rsid w:val="00214716"/>
    <w:rsid w:val="00214915"/>
    <w:rsid w:val="00215B57"/>
    <w:rsid w:val="00217B56"/>
    <w:rsid w:val="00226C3E"/>
    <w:rsid w:val="0023190E"/>
    <w:rsid w:val="0023257C"/>
    <w:rsid w:val="00237607"/>
    <w:rsid w:val="002406A1"/>
    <w:rsid w:val="00241B75"/>
    <w:rsid w:val="00247A98"/>
    <w:rsid w:val="0025134F"/>
    <w:rsid w:val="00256029"/>
    <w:rsid w:val="002606DB"/>
    <w:rsid w:val="00267092"/>
    <w:rsid w:val="00275261"/>
    <w:rsid w:val="00275420"/>
    <w:rsid w:val="00281411"/>
    <w:rsid w:val="002831A3"/>
    <w:rsid w:val="0028621A"/>
    <w:rsid w:val="00295788"/>
    <w:rsid w:val="00296E45"/>
    <w:rsid w:val="002A6A31"/>
    <w:rsid w:val="002A6DF4"/>
    <w:rsid w:val="002B2707"/>
    <w:rsid w:val="002B4ED2"/>
    <w:rsid w:val="002B522B"/>
    <w:rsid w:val="002B5283"/>
    <w:rsid w:val="002B5886"/>
    <w:rsid w:val="002B734A"/>
    <w:rsid w:val="002C1DB3"/>
    <w:rsid w:val="002C6B15"/>
    <w:rsid w:val="002C7FE7"/>
    <w:rsid w:val="002D094A"/>
    <w:rsid w:val="002D17E0"/>
    <w:rsid w:val="002D3F16"/>
    <w:rsid w:val="002D4719"/>
    <w:rsid w:val="002D723F"/>
    <w:rsid w:val="002E2883"/>
    <w:rsid w:val="002E4BD0"/>
    <w:rsid w:val="002E4FC7"/>
    <w:rsid w:val="002F1257"/>
    <w:rsid w:val="0031064C"/>
    <w:rsid w:val="003131F6"/>
    <w:rsid w:val="00314181"/>
    <w:rsid w:val="00314E14"/>
    <w:rsid w:val="00317427"/>
    <w:rsid w:val="003221C7"/>
    <w:rsid w:val="003260C5"/>
    <w:rsid w:val="003328F6"/>
    <w:rsid w:val="00332D17"/>
    <w:rsid w:val="00341E43"/>
    <w:rsid w:val="00342ED3"/>
    <w:rsid w:val="0034308D"/>
    <w:rsid w:val="0034468E"/>
    <w:rsid w:val="0034725F"/>
    <w:rsid w:val="003539B7"/>
    <w:rsid w:val="00353AB5"/>
    <w:rsid w:val="0035594A"/>
    <w:rsid w:val="00360B37"/>
    <w:rsid w:val="00361E35"/>
    <w:rsid w:val="003633B3"/>
    <w:rsid w:val="0036440E"/>
    <w:rsid w:val="00371241"/>
    <w:rsid w:val="003748C1"/>
    <w:rsid w:val="00376229"/>
    <w:rsid w:val="00381169"/>
    <w:rsid w:val="00392601"/>
    <w:rsid w:val="00394016"/>
    <w:rsid w:val="00395A4D"/>
    <w:rsid w:val="003967D2"/>
    <w:rsid w:val="00397F54"/>
    <w:rsid w:val="003A27CE"/>
    <w:rsid w:val="003A2F87"/>
    <w:rsid w:val="003A3AA2"/>
    <w:rsid w:val="003A43E5"/>
    <w:rsid w:val="003A55B5"/>
    <w:rsid w:val="003A57B4"/>
    <w:rsid w:val="003A5B04"/>
    <w:rsid w:val="003A6824"/>
    <w:rsid w:val="003B062E"/>
    <w:rsid w:val="003B781A"/>
    <w:rsid w:val="003C0C18"/>
    <w:rsid w:val="003C105C"/>
    <w:rsid w:val="003C1AAE"/>
    <w:rsid w:val="003C531A"/>
    <w:rsid w:val="003D3B08"/>
    <w:rsid w:val="003D57EB"/>
    <w:rsid w:val="003E2F88"/>
    <w:rsid w:val="003E3BAB"/>
    <w:rsid w:val="003E6859"/>
    <w:rsid w:val="003F06FA"/>
    <w:rsid w:val="004012FB"/>
    <w:rsid w:val="00407395"/>
    <w:rsid w:val="00407EE7"/>
    <w:rsid w:val="0041155D"/>
    <w:rsid w:val="0041365F"/>
    <w:rsid w:val="004168B8"/>
    <w:rsid w:val="00417916"/>
    <w:rsid w:val="00417EC0"/>
    <w:rsid w:val="00420009"/>
    <w:rsid w:val="00431779"/>
    <w:rsid w:val="00432171"/>
    <w:rsid w:val="004339F0"/>
    <w:rsid w:val="004448E0"/>
    <w:rsid w:val="004470B3"/>
    <w:rsid w:val="004538A3"/>
    <w:rsid w:val="004614C7"/>
    <w:rsid w:val="00461B31"/>
    <w:rsid w:val="004730B3"/>
    <w:rsid w:val="00473E50"/>
    <w:rsid w:val="00481B43"/>
    <w:rsid w:val="0048430D"/>
    <w:rsid w:val="00487F42"/>
    <w:rsid w:val="0049471C"/>
    <w:rsid w:val="00495C91"/>
    <w:rsid w:val="004A6277"/>
    <w:rsid w:val="004A6676"/>
    <w:rsid w:val="004A74E6"/>
    <w:rsid w:val="004A75B1"/>
    <w:rsid w:val="004B0AC3"/>
    <w:rsid w:val="004B1FF7"/>
    <w:rsid w:val="004B2273"/>
    <w:rsid w:val="004B502A"/>
    <w:rsid w:val="004C3061"/>
    <w:rsid w:val="004C38AD"/>
    <w:rsid w:val="004D0FA9"/>
    <w:rsid w:val="004D32B8"/>
    <w:rsid w:val="004D34E5"/>
    <w:rsid w:val="004E23F3"/>
    <w:rsid w:val="00504674"/>
    <w:rsid w:val="0051300E"/>
    <w:rsid w:val="005177B0"/>
    <w:rsid w:val="005208DC"/>
    <w:rsid w:val="00520DD1"/>
    <w:rsid w:val="005278FE"/>
    <w:rsid w:val="00530675"/>
    <w:rsid w:val="00534285"/>
    <w:rsid w:val="00546941"/>
    <w:rsid w:val="00547136"/>
    <w:rsid w:val="00552771"/>
    <w:rsid w:val="005579F2"/>
    <w:rsid w:val="005638E4"/>
    <w:rsid w:val="0056720C"/>
    <w:rsid w:val="00577CA5"/>
    <w:rsid w:val="00595D88"/>
    <w:rsid w:val="00597743"/>
    <w:rsid w:val="0059793E"/>
    <w:rsid w:val="005A190B"/>
    <w:rsid w:val="005A2206"/>
    <w:rsid w:val="005A2C14"/>
    <w:rsid w:val="005A66FA"/>
    <w:rsid w:val="005B1405"/>
    <w:rsid w:val="005B370B"/>
    <w:rsid w:val="005B3AE6"/>
    <w:rsid w:val="005B44FB"/>
    <w:rsid w:val="005C022B"/>
    <w:rsid w:val="005C4B2D"/>
    <w:rsid w:val="005D5AFA"/>
    <w:rsid w:val="005E243A"/>
    <w:rsid w:val="005E271A"/>
    <w:rsid w:val="005E36F9"/>
    <w:rsid w:val="005E7C89"/>
    <w:rsid w:val="005F2CA8"/>
    <w:rsid w:val="005F53D1"/>
    <w:rsid w:val="005F7425"/>
    <w:rsid w:val="005F7A8A"/>
    <w:rsid w:val="00603A50"/>
    <w:rsid w:val="00605126"/>
    <w:rsid w:val="0060524C"/>
    <w:rsid w:val="00614132"/>
    <w:rsid w:val="006165A4"/>
    <w:rsid w:val="00625A6A"/>
    <w:rsid w:val="00625AC2"/>
    <w:rsid w:val="00626196"/>
    <w:rsid w:val="00630400"/>
    <w:rsid w:val="00631DAF"/>
    <w:rsid w:val="00642AE9"/>
    <w:rsid w:val="00652049"/>
    <w:rsid w:val="00654CE6"/>
    <w:rsid w:val="00655389"/>
    <w:rsid w:val="00656B96"/>
    <w:rsid w:val="006632CA"/>
    <w:rsid w:val="00677AE7"/>
    <w:rsid w:val="00682E3E"/>
    <w:rsid w:val="00682ECB"/>
    <w:rsid w:val="00692EED"/>
    <w:rsid w:val="00696C3F"/>
    <w:rsid w:val="00697B5F"/>
    <w:rsid w:val="006A067E"/>
    <w:rsid w:val="006A16E5"/>
    <w:rsid w:val="006B19E1"/>
    <w:rsid w:val="006B74A5"/>
    <w:rsid w:val="006C51F9"/>
    <w:rsid w:val="006C621E"/>
    <w:rsid w:val="006C6764"/>
    <w:rsid w:val="006D1181"/>
    <w:rsid w:val="006D6329"/>
    <w:rsid w:val="006E0728"/>
    <w:rsid w:val="006E43D7"/>
    <w:rsid w:val="006E7416"/>
    <w:rsid w:val="006F229F"/>
    <w:rsid w:val="006F3B61"/>
    <w:rsid w:val="006F4233"/>
    <w:rsid w:val="007013A3"/>
    <w:rsid w:val="00702512"/>
    <w:rsid w:val="0070484F"/>
    <w:rsid w:val="007057BF"/>
    <w:rsid w:val="00706FE4"/>
    <w:rsid w:val="007155C0"/>
    <w:rsid w:val="007161C5"/>
    <w:rsid w:val="00721988"/>
    <w:rsid w:val="00724971"/>
    <w:rsid w:val="007267C3"/>
    <w:rsid w:val="00730741"/>
    <w:rsid w:val="00733F07"/>
    <w:rsid w:val="007465BA"/>
    <w:rsid w:val="00761B7F"/>
    <w:rsid w:val="00762575"/>
    <w:rsid w:val="00764922"/>
    <w:rsid w:val="00773394"/>
    <w:rsid w:val="00773805"/>
    <w:rsid w:val="007868B3"/>
    <w:rsid w:val="00791285"/>
    <w:rsid w:val="00792049"/>
    <w:rsid w:val="007A0A59"/>
    <w:rsid w:val="007A26EF"/>
    <w:rsid w:val="007B7A06"/>
    <w:rsid w:val="007C2517"/>
    <w:rsid w:val="007C3DA2"/>
    <w:rsid w:val="007C7257"/>
    <w:rsid w:val="007D4854"/>
    <w:rsid w:val="007D5192"/>
    <w:rsid w:val="007E55FA"/>
    <w:rsid w:val="007E738D"/>
    <w:rsid w:val="007F1A26"/>
    <w:rsid w:val="007F3B4A"/>
    <w:rsid w:val="00804C36"/>
    <w:rsid w:val="008076DA"/>
    <w:rsid w:val="00810421"/>
    <w:rsid w:val="00814C6F"/>
    <w:rsid w:val="00816973"/>
    <w:rsid w:val="00820035"/>
    <w:rsid w:val="008262C5"/>
    <w:rsid w:val="008278A3"/>
    <w:rsid w:val="00834764"/>
    <w:rsid w:val="00834C7F"/>
    <w:rsid w:val="00836F41"/>
    <w:rsid w:val="00841FE8"/>
    <w:rsid w:val="0084207E"/>
    <w:rsid w:val="008425E1"/>
    <w:rsid w:val="008438B6"/>
    <w:rsid w:val="008443E8"/>
    <w:rsid w:val="00871E5C"/>
    <w:rsid w:val="00876340"/>
    <w:rsid w:val="00876AC0"/>
    <w:rsid w:val="00882296"/>
    <w:rsid w:val="008845AA"/>
    <w:rsid w:val="008A3E9E"/>
    <w:rsid w:val="008A4197"/>
    <w:rsid w:val="008A56ED"/>
    <w:rsid w:val="008B3C24"/>
    <w:rsid w:val="008B3D36"/>
    <w:rsid w:val="008B5358"/>
    <w:rsid w:val="008B7A8F"/>
    <w:rsid w:val="008C729E"/>
    <w:rsid w:val="008D1D7A"/>
    <w:rsid w:val="008D30AF"/>
    <w:rsid w:val="008E40D8"/>
    <w:rsid w:val="008F0C27"/>
    <w:rsid w:val="008F20D9"/>
    <w:rsid w:val="008F2876"/>
    <w:rsid w:val="008F5755"/>
    <w:rsid w:val="00901291"/>
    <w:rsid w:val="00907565"/>
    <w:rsid w:val="00911771"/>
    <w:rsid w:val="00914003"/>
    <w:rsid w:val="0091728F"/>
    <w:rsid w:val="00917A8B"/>
    <w:rsid w:val="009212E7"/>
    <w:rsid w:val="009220BB"/>
    <w:rsid w:val="009228C4"/>
    <w:rsid w:val="009241DF"/>
    <w:rsid w:val="00927581"/>
    <w:rsid w:val="00935650"/>
    <w:rsid w:val="00943491"/>
    <w:rsid w:val="00945986"/>
    <w:rsid w:val="009462E4"/>
    <w:rsid w:val="00947A1E"/>
    <w:rsid w:val="009512A7"/>
    <w:rsid w:val="00953381"/>
    <w:rsid w:val="00957213"/>
    <w:rsid w:val="00963507"/>
    <w:rsid w:val="009641F2"/>
    <w:rsid w:val="00964B81"/>
    <w:rsid w:val="00966331"/>
    <w:rsid w:val="00966BBC"/>
    <w:rsid w:val="00972A04"/>
    <w:rsid w:val="009737C9"/>
    <w:rsid w:val="00973C7C"/>
    <w:rsid w:val="0097431E"/>
    <w:rsid w:val="00975AE2"/>
    <w:rsid w:val="009811DB"/>
    <w:rsid w:val="00986DCE"/>
    <w:rsid w:val="0099085F"/>
    <w:rsid w:val="00994B48"/>
    <w:rsid w:val="009974C0"/>
    <w:rsid w:val="00997720"/>
    <w:rsid w:val="009A275E"/>
    <w:rsid w:val="009A4442"/>
    <w:rsid w:val="009A508A"/>
    <w:rsid w:val="009A7156"/>
    <w:rsid w:val="009B2679"/>
    <w:rsid w:val="009B343F"/>
    <w:rsid w:val="009C2127"/>
    <w:rsid w:val="009C305A"/>
    <w:rsid w:val="009C3F5C"/>
    <w:rsid w:val="009D07E6"/>
    <w:rsid w:val="009D4931"/>
    <w:rsid w:val="009D55D0"/>
    <w:rsid w:val="009E5109"/>
    <w:rsid w:val="009F0777"/>
    <w:rsid w:val="009F3AEF"/>
    <w:rsid w:val="00A03389"/>
    <w:rsid w:val="00A04960"/>
    <w:rsid w:val="00A149AF"/>
    <w:rsid w:val="00A14E37"/>
    <w:rsid w:val="00A17BC8"/>
    <w:rsid w:val="00A20984"/>
    <w:rsid w:val="00A33E20"/>
    <w:rsid w:val="00A376F8"/>
    <w:rsid w:val="00A40FDA"/>
    <w:rsid w:val="00A45586"/>
    <w:rsid w:val="00A45F3F"/>
    <w:rsid w:val="00A46F5C"/>
    <w:rsid w:val="00A47176"/>
    <w:rsid w:val="00A55B18"/>
    <w:rsid w:val="00A60F40"/>
    <w:rsid w:val="00A64302"/>
    <w:rsid w:val="00A64384"/>
    <w:rsid w:val="00A64D09"/>
    <w:rsid w:val="00A65D1C"/>
    <w:rsid w:val="00A66E06"/>
    <w:rsid w:val="00A6708F"/>
    <w:rsid w:val="00A72D1F"/>
    <w:rsid w:val="00A91F98"/>
    <w:rsid w:val="00AA0D3B"/>
    <w:rsid w:val="00AA4661"/>
    <w:rsid w:val="00AB1443"/>
    <w:rsid w:val="00AB3271"/>
    <w:rsid w:val="00AB41B1"/>
    <w:rsid w:val="00AB5CCB"/>
    <w:rsid w:val="00AC3454"/>
    <w:rsid w:val="00AC7829"/>
    <w:rsid w:val="00AC78A8"/>
    <w:rsid w:val="00AD1982"/>
    <w:rsid w:val="00AD2204"/>
    <w:rsid w:val="00AD5F1D"/>
    <w:rsid w:val="00AD68A6"/>
    <w:rsid w:val="00AD69C1"/>
    <w:rsid w:val="00AE5936"/>
    <w:rsid w:val="00AF1C1F"/>
    <w:rsid w:val="00AF236D"/>
    <w:rsid w:val="00AF53B7"/>
    <w:rsid w:val="00AF767B"/>
    <w:rsid w:val="00AF79B2"/>
    <w:rsid w:val="00B0321E"/>
    <w:rsid w:val="00B047DF"/>
    <w:rsid w:val="00B061E9"/>
    <w:rsid w:val="00B06F13"/>
    <w:rsid w:val="00B10805"/>
    <w:rsid w:val="00B13710"/>
    <w:rsid w:val="00B14A1F"/>
    <w:rsid w:val="00B22E04"/>
    <w:rsid w:val="00B34426"/>
    <w:rsid w:val="00B34D0E"/>
    <w:rsid w:val="00B5283C"/>
    <w:rsid w:val="00B60598"/>
    <w:rsid w:val="00B62480"/>
    <w:rsid w:val="00B6449F"/>
    <w:rsid w:val="00B6520E"/>
    <w:rsid w:val="00B72472"/>
    <w:rsid w:val="00B7461E"/>
    <w:rsid w:val="00B77682"/>
    <w:rsid w:val="00B824AC"/>
    <w:rsid w:val="00B8498B"/>
    <w:rsid w:val="00BA05ED"/>
    <w:rsid w:val="00BA0FEB"/>
    <w:rsid w:val="00BA70E8"/>
    <w:rsid w:val="00BB0A9D"/>
    <w:rsid w:val="00BB561F"/>
    <w:rsid w:val="00BB6630"/>
    <w:rsid w:val="00BC235B"/>
    <w:rsid w:val="00BD1241"/>
    <w:rsid w:val="00BD57D9"/>
    <w:rsid w:val="00BE579C"/>
    <w:rsid w:val="00BF0302"/>
    <w:rsid w:val="00BF334A"/>
    <w:rsid w:val="00BF33F7"/>
    <w:rsid w:val="00BF5A3A"/>
    <w:rsid w:val="00C117B7"/>
    <w:rsid w:val="00C13EDC"/>
    <w:rsid w:val="00C14ABC"/>
    <w:rsid w:val="00C1516F"/>
    <w:rsid w:val="00C16207"/>
    <w:rsid w:val="00C17DE7"/>
    <w:rsid w:val="00C25030"/>
    <w:rsid w:val="00C25AC8"/>
    <w:rsid w:val="00C3463F"/>
    <w:rsid w:val="00C354AF"/>
    <w:rsid w:val="00C433C0"/>
    <w:rsid w:val="00C508CA"/>
    <w:rsid w:val="00C60825"/>
    <w:rsid w:val="00C62812"/>
    <w:rsid w:val="00C77771"/>
    <w:rsid w:val="00C83912"/>
    <w:rsid w:val="00C83E89"/>
    <w:rsid w:val="00C84336"/>
    <w:rsid w:val="00C86D52"/>
    <w:rsid w:val="00C921C4"/>
    <w:rsid w:val="00C935BF"/>
    <w:rsid w:val="00C95E92"/>
    <w:rsid w:val="00CA5E1C"/>
    <w:rsid w:val="00CB1CB6"/>
    <w:rsid w:val="00CB410D"/>
    <w:rsid w:val="00CB754C"/>
    <w:rsid w:val="00CB7A21"/>
    <w:rsid w:val="00CC213E"/>
    <w:rsid w:val="00CC7CFE"/>
    <w:rsid w:val="00CC7F57"/>
    <w:rsid w:val="00CD11E0"/>
    <w:rsid w:val="00CD2AFC"/>
    <w:rsid w:val="00CD3677"/>
    <w:rsid w:val="00CD4A36"/>
    <w:rsid w:val="00CD4CF6"/>
    <w:rsid w:val="00CE2584"/>
    <w:rsid w:val="00CE6EDC"/>
    <w:rsid w:val="00D05949"/>
    <w:rsid w:val="00D06665"/>
    <w:rsid w:val="00D07AA1"/>
    <w:rsid w:val="00D206FE"/>
    <w:rsid w:val="00D23A77"/>
    <w:rsid w:val="00D26824"/>
    <w:rsid w:val="00D31059"/>
    <w:rsid w:val="00D41909"/>
    <w:rsid w:val="00D47CD7"/>
    <w:rsid w:val="00D53C98"/>
    <w:rsid w:val="00D56FCB"/>
    <w:rsid w:val="00D60086"/>
    <w:rsid w:val="00D61458"/>
    <w:rsid w:val="00D639D2"/>
    <w:rsid w:val="00D64FC9"/>
    <w:rsid w:val="00D65CC2"/>
    <w:rsid w:val="00D660C7"/>
    <w:rsid w:val="00D776C9"/>
    <w:rsid w:val="00D85667"/>
    <w:rsid w:val="00DA086F"/>
    <w:rsid w:val="00DA7408"/>
    <w:rsid w:val="00DA75EC"/>
    <w:rsid w:val="00DA7A48"/>
    <w:rsid w:val="00DC36DF"/>
    <w:rsid w:val="00DC7914"/>
    <w:rsid w:val="00DD0709"/>
    <w:rsid w:val="00DD3F5D"/>
    <w:rsid w:val="00DD687F"/>
    <w:rsid w:val="00DD6A90"/>
    <w:rsid w:val="00DE0999"/>
    <w:rsid w:val="00DE2827"/>
    <w:rsid w:val="00DE3F6E"/>
    <w:rsid w:val="00E0307A"/>
    <w:rsid w:val="00E05148"/>
    <w:rsid w:val="00E05892"/>
    <w:rsid w:val="00E11AA3"/>
    <w:rsid w:val="00E22503"/>
    <w:rsid w:val="00E25244"/>
    <w:rsid w:val="00E32605"/>
    <w:rsid w:val="00E332C7"/>
    <w:rsid w:val="00E33BF5"/>
    <w:rsid w:val="00E37354"/>
    <w:rsid w:val="00E37DB8"/>
    <w:rsid w:val="00E42AF0"/>
    <w:rsid w:val="00E56C30"/>
    <w:rsid w:val="00E57CBD"/>
    <w:rsid w:val="00E653F2"/>
    <w:rsid w:val="00E71B6B"/>
    <w:rsid w:val="00E8081D"/>
    <w:rsid w:val="00E8233E"/>
    <w:rsid w:val="00E85D4F"/>
    <w:rsid w:val="00E85F34"/>
    <w:rsid w:val="00E970E9"/>
    <w:rsid w:val="00EA0213"/>
    <w:rsid w:val="00EA229B"/>
    <w:rsid w:val="00EA7A1C"/>
    <w:rsid w:val="00EB6BF8"/>
    <w:rsid w:val="00EC2160"/>
    <w:rsid w:val="00EC66F0"/>
    <w:rsid w:val="00ED2688"/>
    <w:rsid w:val="00ED632D"/>
    <w:rsid w:val="00ED715D"/>
    <w:rsid w:val="00ED790B"/>
    <w:rsid w:val="00EE31DF"/>
    <w:rsid w:val="00EE5C44"/>
    <w:rsid w:val="00EF46C3"/>
    <w:rsid w:val="00EF51D4"/>
    <w:rsid w:val="00EF54B7"/>
    <w:rsid w:val="00EF5BB7"/>
    <w:rsid w:val="00EF719B"/>
    <w:rsid w:val="00EF7E67"/>
    <w:rsid w:val="00F02CCE"/>
    <w:rsid w:val="00F04E10"/>
    <w:rsid w:val="00F060B2"/>
    <w:rsid w:val="00F077B7"/>
    <w:rsid w:val="00F11F6D"/>
    <w:rsid w:val="00F12D23"/>
    <w:rsid w:val="00F12D7C"/>
    <w:rsid w:val="00F15EA5"/>
    <w:rsid w:val="00F16E69"/>
    <w:rsid w:val="00F1729B"/>
    <w:rsid w:val="00F258FC"/>
    <w:rsid w:val="00F27752"/>
    <w:rsid w:val="00F310ED"/>
    <w:rsid w:val="00F361ED"/>
    <w:rsid w:val="00F408DB"/>
    <w:rsid w:val="00F40AB2"/>
    <w:rsid w:val="00F40BCE"/>
    <w:rsid w:val="00F443E8"/>
    <w:rsid w:val="00F57DE6"/>
    <w:rsid w:val="00F604F7"/>
    <w:rsid w:val="00F65C78"/>
    <w:rsid w:val="00F67B22"/>
    <w:rsid w:val="00F70C27"/>
    <w:rsid w:val="00F71117"/>
    <w:rsid w:val="00F72595"/>
    <w:rsid w:val="00F82628"/>
    <w:rsid w:val="00F870B4"/>
    <w:rsid w:val="00F90576"/>
    <w:rsid w:val="00F91873"/>
    <w:rsid w:val="00F944F3"/>
    <w:rsid w:val="00F945BC"/>
    <w:rsid w:val="00FA15B4"/>
    <w:rsid w:val="00FA18A4"/>
    <w:rsid w:val="00FA5B6D"/>
    <w:rsid w:val="00FA5C21"/>
    <w:rsid w:val="00FA7C87"/>
    <w:rsid w:val="00FB0A97"/>
    <w:rsid w:val="00FB2483"/>
    <w:rsid w:val="00FB47EF"/>
    <w:rsid w:val="00FB513B"/>
    <w:rsid w:val="00FC34B8"/>
    <w:rsid w:val="00FD2A37"/>
    <w:rsid w:val="00FD4365"/>
    <w:rsid w:val="00FE2920"/>
    <w:rsid w:val="00FE3C08"/>
    <w:rsid w:val="00FE403D"/>
    <w:rsid w:val="00FE6AF8"/>
    <w:rsid w:val="00FF4304"/>
    <w:rsid w:val="00FF49AF"/>
  </w:rsids>
  <m:mathPr>
    <m:mathFont m:val="Cambria Math"/>
    <m:brkBin m:val="before"/>
    <m:brkBinSub m:val="--"/>
    <m:smallFrac m:val="0"/>
    <m:dispDef/>
    <m:lMargin m:val="0"/>
    <m:rMargin m:val="0"/>
    <m:defJc m:val="centerGroup"/>
    <m:wrapIndent m:val="1440"/>
    <m:intLim m:val="subSup"/>
    <m:naryLim m:val="undOvr"/>
  </m:mathPr>
  <w:themeFontLang w:val="pt-P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9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87"/>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Char"/>
    <w:uiPriority w:val="99"/>
    <w:qFormat/>
    <w:rsid w:val="003A2F87"/>
    <w:pPr>
      <w:ind w:left="107"/>
      <w:outlineLvl w:val="0"/>
    </w:pPr>
    <w:rPr>
      <w:b/>
      <w:bCs/>
    </w:rPr>
  </w:style>
  <w:style w:type="paragraph" w:styleId="2">
    <w:name w:val="heading 2"/>
    <w:basedOn w:val="a"/>
    <w:link w:val="2Char"/>
    <w:uiPriority w:val="99"/>
    <w:qFormat/>
    <w:rsid w:val="003A2F87"/>
    <w:pPr>
      <w:ind w:left="25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D712CA"/>
    <w:rPr>
      <w:rFonts w:ascii="Cambria" w:eastAsia="Times New Roman" w:hAnsi="Cambria" w:cs="Times New Roman"/>
      <w:b/>
      <w:bCs/>
      <w:kern w:val="32"/>
      <w:sz w:val="32"/>
      <w:szCs w:val="32"/>
      <w:lang w:val="en-US" w:eastAsia="en-US"/>
    </w:rPr>
  </w:style>
  <w:style w:type="character" w:customStyle="1" w:styleId="2Char">
    <w:name w:val="제목 2 Char"/>
    <w:link w:val="2"/>
    <w:uiPriority w:val="9"/>
    <w:semiHidden/>
    <w:rsid w:val="00D712CA"/>
    <w:rPr>
      <w:rFonts w:ascii="Cambria" w:eastAsia="Times New Roman" w:hAnsi="Cambria" w:cs="Times New Roman"/>
      <w:b/>
      <w:bCs/>
      <w:i/>
      <w:iCs/>
      <w:sz w:val="28"/>
      <w:szCs w:val="28"/>
      <w:lang w:val="en-US" w:eastAsia="en-US"/>
    </w:rPr>
  </w:style>
  <w:style w:type="paragraph" w:styleId="a3">
    <w:name w:val="Body Text"/>
    <w:basedOn w:val="a"/>
    <w:link w:val="Char"/>
    <w:uiPriority w:val="99"/>
    <w:rsid w:val="003A2F87"/>
  </w:style>
  <w:style w:type="character" w:customStyle="1" w:styleId="Char">
    <w:name w:val="본문 Char"/>
    <w:link w:val="a3"/>
    <w:uiPriority w:val="99"/>
    <w:locked/>
    <w:rsid w:val="00D23A77"/>
    <w:rPr>
      <w:rFonts w:eastAsia="Times New Roman"/>
      <w:sz w:val="22"/>
      <w:lang w:val="en-US" w:eastAsia="en-US"/>
    </w:rPr>
  </w:style>
  <w:style w:type="paragraph" w:styleId="a4">
    <w:name w:val="List Paragraph"/>
    <w:basedOn w:val="a"/>
    <w:uiPriority w:val="34"/>
    <w:qFormat/>
    <w:rsid w:val="003A2F87"/>
    <w:pPr>
      <w:ind w:left="827" w:hanging="570"/>
    </w:pPr>
  </w:style>
  <w:style w:type="paragraph" w:customStyle="1" w:styleId="TableParagraph">
    <w:name w:val="Table Paragraph"/>
    <w:basedOn w:val="a"/>
    <w:uiPriority w:val="99"/>
    <w:rsid w:val="003A2F87"/>
  </w:style>
  <w:style w:type="paragraph" w:customStyle="1" w:styleId="TitleA">
    <w:name w:val="Title A"/>
    <w:basedOn w:val="a"/>
    <w:uiPriority w:val="99"/>
    <w:rsid w:val="006B74A5"/>
    <w:pPr>
      <w:adjustRightInd w:val="0"/>
      <w:snapToGrid w:val="0"/>
      <w:jc w:val="center"/>
    </w:pPr>
    <w:rPr>
      <w:b/>
    </w:rPr>
  </w:style>
  <w:style w:type="paragraph" w:styleId="a5">
    <w:name w:val="header"/>
    <w:basedOn w:val="a"/>
    <w:link w:val="Char0"/>
    <w:uiPriority w:val="99"/>
    <w:rsid w:val="007A26EF"/>
    <w:pPr>
      <w:tabs>
        <w:tab w:val="center" w:pos="4680"/>
        <w:tab w:val="right" w:pos="9360"/>
      </w:tabs>
    </w:pPr>
  </w:style>
  <w:style w:type="character" w:customStyle="1" w:styleId="Char0">
    <w:name w:val="머리글 Char"/>
    <w:link w:val="a5"/>
    <w:uiPriority w:val="99"/>
    <w:locked/>
    <w:rsid w:val="007A26EF"/>
    <w:rPr>
      <w:rFonts w:ascii="Times New Roman" w:hAnsi="Times New Roman" w:cs="Times New Roman"/>
      <w:sz w:val="22"/>
      <w:szCs w:val="22"/>
      <w:lang w:eastAsia="en-US"/>
    </w:rPr>
  </w:style>
  <w:style w:type="paragraph" w:styleId="a6">
    <w:name w:val="footer"/>
    <w:basedOn w:val="a"/>
    <w:link w:val="Char1"/>
    <w:uiPriority w:val="99"/>
    <w:rsid w:val="007A26EF"/>
    <w:pPr>
      <w:tabs>
        <w:tab w:val="center" w:pos="4680"/>
        <w:tab w:val="right" w:pos="9360"/>
      </w:tabs>
    </w:pPr>
  </w:style>
  <w:style w:type="character" w:customStyle="1" w:styleId="Char1">
    <w:name w:val="바닥글 Char"/>
    <w:link w:val="a6"/>
    <w:uiPriority w:val="99"/>
    <w:locked/>
    <w:rsid w:val="007A26EF"/>
    <w:rPr>
      <w:rFonts w:ascii="Times New Roman" w:hAnsi="Times New Roman" w:cs="Times New Roman"/>
      <w:sz w:val="22"/>
      <w:szCs w:val="22"/>
      <w:lang w:eastAsia="en-US"/>
    </w:rPr>
  </w:style>
  <w:style w:type="character" w:styleId="a7">
    <w:name w:val="annotation reference"/>
    <w:uiPriority w:val="99"/>
    <w:rsid w:val="009B2679"/>
    <w:rPr>
      <w:rFonts w:cs="Times New Roman"/>
      <w:sz w:val="16"/>
      <w:szCs w:val="16"/>
    </w:rPr>
  </w:style>
  <w:style w:type="paragraph" w:styleId="a8">
    <w:name w:val="annotation text"/>
    <w:aliases w:val=" Char1,Char1,Char2"/>
    <w:basedOn w:val="a"/>
    <w:link w:val="Char2"/>
    <w:rsid w:val="009B2679"/>
    <w:rPr>
      <w:sz w:val="20"/>
      <w:szCs w:val="20"/>
    </w:rPr>
  </w:style>
  <w:style w:type="character" w:customStyle="1" w:styleId="Char2">
    <w:name w:val="메모 텍스트 Char"/>
    <w:aliases w:val=" Char1 Char,Char1 Char,Char2 Char"/>
    <w:link w:val="a8"/>
    <w:locked/>
    <w:rsid w:val="009B2679"/>
    <w:rPr>
      <w:rFonts w:ascii="Times New Roman" w:hAnsi="Times New Roman" w:cs="Times New Roman"/>
      <w:lang w:eastAsia="en-US"/>
    </w:rPr>
  </w:style>
  <w:style w:type="paragraph" w:styleId="a9">
    <w:name w:val="annotation subject"/>
    <w:basedOn w:val="a8"/>
    <w:next w:val="a8"/>
    <w:link w:val="Char3"/>
    <w:uiPriority w:val="99"/>
    <w:semiHidden/>
    <w:rsid w:val="009B2679"/>
    <w:rPr>
      <w:b/>
      <w:bCs/>
    </w:rPr>
  </w:style>
  <w:style w:type="character" w:customStyle="1" w:styleId="Char3">
    <w:name w:val="메모 주제 Char"/>
    <w:link w:val="a9"/>
    <w:uiPriority w:val="99"/>
    <w:semiHidden/>
    <w:locked/>
    <w:rsid w:val="009B2679"/>
    <w:rPr>
      <w:rFonts w:ascii="Times New Roman" w:hAnsi="Times New Roman" w:cs="Times New Roman"/>
      <w:b/>
      <w:bCs/>
      <w:lang w:eastAsia="en-US"/>
    </w:rPr>
  </w:style>
  <w:style w:type="paragraph" w:customStyle="1" w:styleId="TitleB">
    <w:name w:val="Title B"/>
    <w:basedOn w:val="a"/>
    <w:uiPriority w:val="99"/>
    <w:rsid w:val="008A4197"/>
    <w:pPr>
      <w:adjustRightInd w:val="0"/>
      <w:snapToGrid w:val="0"/>
      <w:ind w:left="567" w:hanging="567"/>
    </w:pPr>
    <w:rPr>
      <w:b/>
      <w:lang w:val="pt-PT"/>
    </w:rPr>
  </w:style>
  <w:style w:type="paragraph" w:styleId="aa">
    <w:name w:val="Revision"/>
    <w:hidden/>
    <w:uiPriority w:val="99"/>
    <w:semiHidden/>
    <w:rsid w:val="004E23F3"/>
    <w:rPr>
      <w:rFonts w:ascii="Times New Roman" w:eastAsia="Times New Roman" w:hAnsi="Times New Roman" w:cs="Times New Roman"/>
      <w:sz w:val="22"/>
      <w:szCs w:val="22"/>
      <w:lang w:eastAsia="en-US"/>
    </w:rPr>
  </w:style>
  <w:style w:type="paragraph" w:styleId="ab">
    <w:name w:val="Balloon Text"/>
    <w:basedOn w:val="a"/>
    <w:link w:val="Char4"/>
    <w:uiPriority w:val="99"/>
    <w:semiHidden/>
    <w:rsid w:val="003E3BAB"/>
    <w:rPr>
      <w:rFonts w:ascii="Tahoma" w:hAnsi="Tahoma" w:cs="Tahoma"/>
      <w:sz w:val="16"/>
      <w:szCs w:val="16"/>
    </w:rPr>
  </w:style>
  <w:style w:type="character" w:customStyle="1" w:styleId="Char4">
    <w:name w:val="풍선 도움말 텍스트 Char"/>
    <w:link w:val="ab"/>
    <w:uiPriority w:val="99"/>
    <w:semiHidden/>
    <w:rsid w:val="00D712CA"/>
    <w:rPr>
      <w:rFonts w:ascii="Times New Roman" w:eastAsia="Times New Roman" w:hAnsi="Times New Roman" w:cs="Times New Roman"/>
      <w:sz w:val="0"/>
      <w:szCs w:val="0"/>
      <w:lang w:val="en-US" w:eastAsia="en-US"/>
    </w:rPr>
  </w:style>
  <w:style w:type="table" w:customStyle="1" w:styleId="TableNormal0">
    <w:name w:val="Table Normal_0"/>
    <w:uiPriority w:val="99"/>
    <w:semiHidden/>
    <w:rsid w:val="00D23A77"/>
    <w:pPr>
      <w:widowControl w:val="0"/>
    </w:pPr>
    <w:rPr>
      <w:rFonts w:eastAsia="맑은 고딕"/>
      <w:sz w:val="22"/>
      <w:szCs w:val="22"/>
      <w:lang w:eastAsia="en-US"/>
    </w:rPr>
    <w:tblPr>
      <w:tblInd w:w="0" w:type="dxa"/>
      <w:tblCellMar>
        <w:top w:w="0" w:type="dxa"/>
        <w:left w:w="0" w:type="dxa"/>
        <w:bottom w:w="0" w:type="dxa"/>
        <w:right w:w="0" w:type="dxa"/>
      </w:tblCellMar>
    </w:tblPr>
  </w:style>
  <w:style w:type="character" w:styleId="ac">
    <w:name w:val="Hyperlink"/>
    <w:uiPriority w:val="99"/>
    <w:unhideWhenUsed/>
    <w:rsid w:val="00EF54B7"/>
    <w:rPr>
      <w:color w:val="0000FF"/>
      <w:u w:val="single"/>
    </w:rPr>
  </w:style>
  <w:style w:type="character" w:customStyle="1" w:styleId="UnresolvedMention1">
    <w:name w:val="Unresolved Mention1"/>
    <w:uiPriority w:val="99"/>
    <w:semiHidden/>
    <w:unhideWhenUsed/>
    <w:rsid w:val="00EF54B7"/>
    <w:rPr>
      <w:color w:val="605E5C"/>
      <w:shd w:val="clear" w:color="auto" w:fill="E1DFDD"/>
    </w:rPr>
  </w:style>
  <w:style w:type="paragraph" w:customStyle="1" w:styleId="Default">
    <w:name w:val="Default"/>
    <w:rsid w:val="00136A34"/>
    <w:pPr>
      <w:autoSpaceDE w:val="0"/>
      <w:autoSpaceDN w:val="0"/>
      <w:adjustRightInd w:val="0"/>
    </w:pPr>
    <w:rPr>
      <w:rFonts w:ascii="Times New Roman" w:eastAsia="SimSun" w:hAnsi="Times New Roman" w:cs="Times New Roman"/>
      <w:color w:val="000000"/>
      <w:sz w:val="24"/>
      <w:szCs w:val="24"/>
      <w:lang w:eastAsia="zh-CN"/>
    </w:rPr>
  </w:style>
  <w:style w:type="character" w:styleId="ad">
    <w:name w:val="Unresolved Mention"/>
    <w:basedOn w:val="a0"/>
    <w:uiPriority w:val="99"/>
    <w:semiHidden/>
    <w:unhideWhenUsed/>
    <w:rsid w:val="00BB6630"/>
    <w:rPr>
      <w:color w:val="605E5C"/>
      <w:shd w:val="clear" w:color="auto" w:fill="E1DFDD"/>
    </w:rPr>
  </w:style>
  <w:style w:type="paragraph" w:customStyle="1" w:styleId="paragraph">
    <w:name w:val="paragraph"/>
    <w:basedOn w:val="a"/>
    <w:rsid w:val="00A6708F"/>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A6708F"/>
  </w:style>
  <w:style w:type="character" w:customStyle="1" w:styleId="eop">
    <w:name w:val="eop"/>
    <w:basedOn w:val="a0"/>
    <w:rsid w:val="00A67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81011">
      <w:bodyDiv w:val="1"/>
      <w:marLeft w:val="0"/>
      <w:marRight w:val="0"/>
      <w:marTop w:val="0"/>
      <w:marBottom w:val="0"/>
      <w:divBdr>
        <w:top w:val="none" w:sz="0" w:space="0" w:color="auto"/>
        <w:left w:val="none" w:sz="0" w:space="0" w:color="auto"/>
        <w:bottom w:val="none" w:sz="0" w:space="0" w:color="auto"/>
        <w:right w:val="none" w:sz="0" w:space="0" w:color="auto"/>
      </w:divBdr>
    </w:div>
    <w:div w:id="650910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EMADOC-1700519818-2424306</_dlc_DocId>
    <_dlc_DocIdUrl xmlns="a034c160-bfb7-45f5-8632-2eb7e0508071">
      <Url>https://euema.sharepoint.com/sites/CRM/_layouts/15/DocIdRedir.aspx?ID=EMADOC-1700519818-2424306</Url>
      <Description>EMADOC-1700519818-2424306</Description>
    </_dlc_DocIdUrl>
  </documentManagement>
</p:properties>
</file>

<file path=customXml/itemProps1.xml><?xml version="1.0" encoding="utf-8"?>
<ds:datastoreItem xmlns:ds="http://schemas.openxmlformats.org/officeDocument/2006/customXml" ds:itemID="{5258E139-C543-43EA-B2BF-EFB128839770}">
  <ds:schemaRefs>
    <ds:schemaRef ds:uri="http://schemas.openxmlformats.org/officeDocument/2006/bibliography"/>
  </ds:schemaRefs>
</ds:datastoreItem>
</file>

<file path=customXml/itemProps2.xml><?xml version="1.0" encoding="utf-8"?>
<ds:datastoreItem xmlns:ds="http://schemas.openxmlformats.org/officeDocument/2006/customXml" ds:itemID="{AFFBA2B9-AE17-4920-995F-398EB9FCA6EF}"/>
</file>

<file path=customXml/itemProps3.xml><?xml version="1.0" encoding="utf-8"?>
<ds:datastoreItem xmlns:ds="http://schemas.openxmlformats.org/officeDocument/2006/customXml" ds:itemID="{D8590F2F-4DE3-4073-A407-C69ABDA86A20}">
  <ds:schemaRefs>
    <ds:schemaRef ds:uri="http://schemas.microsoft.com/sharepoint/v3/contenttype/forms"/>
  </ds:schemaRefs>
</ds:datastoreItem>
</file>

<file path=customXml/itemProps4.xml><?xml version="1.0" encoding="utf-8"?>
<ds:datastoreItem xmlns:ds="http://schemas.openxmlformats.org/officeDocument/2006/customXml" ds:itemID="{0806CC72-8882-497B-8E14-B9C26842CC73}"/>
</file>

<file path=customXml/itemProps5.xml><?xml version="1.0" encoding="utf-8"?>
<ds:datastoreItem xmlns:ds="http://schemas.openxmlformats.org/officeDocument/2006/customXml" ds:itemID="{C426384A-D0D1-4B1A-A8EB-E4C7DCBCCFFB}">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29208</Words>
  <Characters>166489</Characters>
  <Application>Microsoft Office Word</Application>
  <DocSecurity>0</DocSecurity>
  <Lines>1387</Lines>
  <Paragraphs>390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2024-06-21T01:21:00Z</dcterms:created>
  <dcterms:modified xsi:type="dcterms:W3CDTF">2025-07-07T05:22:00Z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cdf6ca21-1869-4580-91e0-bbe86b4ef2f3</vt:lpwstr>
  </property>
</Properties>
</file>