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CA00E" w14:textId="77777777" w:rsidR="00011577" w:rsidRPr="002A54AF" w:rsidRDefault="00011577" w:rsidP="00011577">
      <w:pPr>
        <w:tabs>
          <w:tab w:val="left" w:pos="567"/>
        </w:tabs>
        <w:suppressAutoHyphens/>
        <w:rPr>
          <w:szCs w:val="22"/>
          <w:lang w:val="pt-PT"/>
        </w:rPr>
      </w:pPr>
    </w:p>
    <w:p w14:paraId="383527AE" w14:textId="77777777" w:rsidR="00011577" w:rsidRPr="002A54AF" w:rsidRDefault="00011577" w:rsidP="00011577">
      <w:pPr>
        <w:tabs>
          <w:tab w:val="left" w:pos="567"/>
        </w:tabs>
        <w:suppressAutoHyphens/>
        <w:rPr>
          <w:szCs w:val="22"/>
          <w:lang w:val="pt-PT"/>
        </w:rPr>
      </w:pPr>
    </w:p>
    <w:p w14:paraId="6A401BF2" w14:textId="77777777" w:rsidR="00011577" w:rsidRPr="002A54AF" w:rsidRDefault="00011577" w:rsidP="00011577">
      <w:pPr>
        <w:tabs>
          <w:tab w:val="left" w:pos="567"/>
        </w:tabs>
        <w:suppressAutoHyphens/>
        <w:rPr>
          <w:szCs w:val="22"/>
          <w:lang w:val="pt-PT"/>
        </w:rPr>
      </w:pPr>
    </w:p>
    <w:p w14:paraId="387CF5AC" w14:textId="59D262D6" w:rsidR="00011577" w:rsidRPr="002A54AF" w:rsidRDefault="00752504" w:rsidP="00011577">
      <w:pPr>
        <w:tabs>
          <w:tab w:val="left" w:pos="567"/>
        </w:tabs>
        <w:suppressAutoHyphens/>
        <w:rPr>
          <w:szCs w:val="22"/>
          <w:lang w:val="pt-PT"/>
        </w:rPr>
      </w:pPr>
      <w:ins w:id="0" w:author="MAH review_SC" w:date="2025-05-01T12:15:00Z" w16du:dateUtc="2025-05-01T06:45:00Z">
        <w:r w:rsidRPr="00752504">
          <w:rPr>
            <w:noProof/>
            <w:szCs w:val="22"/>
            <w:lang w:val="pt-PT"/>
          </w:rPr>
          <mc:AlternateContent>
            <mc:Choice Requires="wps">
              <w:drawing>
                <wp:anchor distT="45720" distB="45720" distL="114300" distR="114300" simplePos="0" relativeHeight="251659264" behindDoc="0" locked="0" layoutInCell="1" allowOverlap="1" wp14:anchorId="77499C1F" wp14:editId="77269A42">
                  <wp:simplePos x="0" y="0"/>
                  <wp:positionH relativeFrom="margin">
                    <wp:align>right</wp:align>
                  </wp:positionH>
                  <wp:positionV relativeFrom="paragraph">
                    <wp:posOffset>340995</wp:posOffset>
                  </wp:positionV>
                  <wp:extent cx="594360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7D529E92" w14:textId="00BCAF6F" w:rsidR="00752504" w:rsidRDefault="00752504" w:rsidP="00752504">
                              <w:pPr>
                                <w:suppressAutoHyphens/>
                                <w:ind w:right="14"/>
                                <w:jc w:val="both"/>
                                <w:rPr>
                                  <w:szCs w:val="22"/>
                                  <w:lang w:val="en-GB"/>
                                </w:rPr>
                              </w:pPr>
                              <w:r>
                                <w:rPr>
                                  <w:szCs w:val="22"/>
                                </w:rPr>
                                <w:t>Este documento é a informação do medicamento aprovada para</w:t>
                              </w:r>
                              <w:r w:rsidRPr="00752504">
                                <w:rPr>
                                  <w:szCs w:val="22"/>
                                  <w:lang w:val="pt-PT"/>
                                </w:rPr>
                                <w:t xml:space="preserve"> </w:t>
                              </w:r>
                              <w:r w:rsidRPr="002A54AF">
                                <w:rPr>
                                  <w:szCs w:val="22"/>
                                  <w:lang w:val="pt-PT"/>
                                </w:rPr>
                                <w:t>Voriconazol Accord</w:t>
                              </w:r>
                              <w:r>
                                <w:rPr>
                                  <w:szCs w:val="22"/>
                                </w:rPr>
                                <w:t>, tendo sido destacadas as alterações desde o procedimento anterior que afetam a informação do medicamento (</w:t>
                              </w:r>
                              <w:r>
                                <w:rPr>
                                  <w:bCs/>
                                </w:rPr>
                                <w:t>EMEA/H/C/002669/IB/0040</w:t>
                              </w:r>
                              <w:r>
                                <w:rPr>
                                  <w:szCs w:val="22"/>
                                </w:rPr>
                                <w:t>).</w:t>
                              </w:r>
                            </w:p>
                            <w:p w14:paraId="659A369B" w14:textId="77777777" w:rsidR="00752504" w:rsidRDefault="00752504" w:rsidP="00752504">
                              <w:pPr>
                                <w:suppressAutoHyphens/>
                                <w:ind w:right="14"/>
                                <w:rPr>
                                  <w:szCs w:val="22"/>
                                </w:rPr>
                              </w:pPr>
                            </w:p>
                            <w:p w14:paraId="682DC3FA" w14:textId="77777777" w:rsidR="00752504" w:rsidRDefault="00752504" w:rsidP="00752504">
                              <w:pPr>
                                <w:suppressAutoHyphens/>
                                <w:ind w:right="14"/>
                                <w:rPr>
                                  <w:szCs w:val="22"/>
                                  <w:lang w:val="pt-PT"/>
                                </w:rPr>
                              </w:pPr>
                              <w:r>
                                <w:rPr>
                                  <w:szCs w:val="22"/>
                                </w:rPr>
                                <w:t>Para mais informações, consultar o sítio Web da Agência Europeia de Medicamentos:</w:t>
                              </w:r>
                            </w:p>
                            <w:p w14:paraId="6FCD0CCE" w14:textId="77777777" w:rsidR="00752504" w:rsidRDefault="00EB76A1" w:rsidP="00752504">
                              <w:pPr>
                                <w:jc w:val="both"/>
                                <w:rPr>
                                  <w:color w:val="0000FF"/>
                                  <w:sz w:val="24"/>
                                  <w:u w:val="single"/>
                                  <w:lang w:val="cs-CZ" w:eastAsia="ar-SA"/>
                                </w:rPr>
                              </w:pPr>
                              <w:hyperlink r:id="rId8" w:history="1">
                                <w:r w:rsidR="00752504">
                                  <w:rPr>
                                    <w:rStyle w:val="Hyperlink"/>
                                    <w:lang w:val="cs-CZ" w:eastAsia="ar-SA"/>
                                  </w:rPr>
                                  <w:t>https://www.ema.europa.eu/en/medicines/human/EPAR/voriconazole-accord</w:t>
                                </w:r>
                              </w:hyperlink>
                            </w:p>
                            <w:p w14:paraId="071FA750" w14:textId="6030A8F7" w:rsidR="00752504" w:rsidRPr="00752504" w:rsidRDefault="00752504" w:rsidP="00752504">
                              <w:pPr>
                                <w:rPr>
                                  <w:lang w:val="cs-CZ"/>
                                  <w:rPrChange w:id="1" w:author="MAH review_SC" w:date="2025-05-01T12:22:00Z" w16du:dateUtc="2025-05-01T06:52:00Z">
                                    <w:rPr/>
                                  </w:rPrChang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499C1F" id="_x0000_t202" coordsize="21600,21600" o:spt="202" path="m,l,21600r21600,l21600,xe">
                  <v:stroke joinstyle="miter"/>
                  <v:path gradientshapeok="t" o:connecttype="rect"/>
                </v:shapetype>
                <v:shape id="Text Box 2" o:spid="_x0000_s1026" type="#_x0000_t202" style="position:absolute;margin-left:416.8pt;margin-top:26.85pt;width:46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">
                  <v:textbox style="mso-fit-shape-to-text:t">
                    <w:txbxContent>
                      <w:p w14:paraId="7D529E92" w14:textId="00BCAF6F" w:rsidR="00752504" w:rsidRDefault="00752504" w:rsidP="00752504">
                        <w:pPr>
                          <w:suppressAutoHyphens/>
                          <w:ind w:right="14"/>
                          <w:jc w:val="both"/>
                          <w:rPr>
                            <w:szCs w:val="22"/>
                            <w:lang w:val="en-GB"/>
                          </w:rPr>
                        </w:pPr>
                        <w:r>
                          <w:rPr>
                            <w:szCs w:val="22"/>
                          </w:rPr>
                          <w:t>Este documento é a informação do medicamento aprovada para</w:t>
                        </w:r>
                        <w:r w:rsidRPr="00752504">
                          <w:rPr>
                            <w:szCs w:val="22"/>
                            <w:lang w:val="pt-PT"/>
                          </w:rPr>
                          <w:t xml:space="preserve"> </w:t>
                        </w:r>
                        <w:r w:rsidRPr="002A54AF">
                          <w:rPr>
                            <w:szCs w:val="22"/>
                            <w:lang w:val="pt-PT"/>
                          </w:rPr>
                          <w:t>Voriconazol Accord</w:t>
                        </w:r>
                        <w:r>
                          <w:rPr>
                            <w:szCs w:val="22"/>
                          </w:rPr>
                          <w:t>, tendo sido destacadas as alterações desde o procedimento anterior que afetam a informação do medicamento (</w:t>
                        </w:r>
                        <w:r>
                          <w:rPr>
                            <w:bCs/>
                          </w:rPr>
                          <w:t>EMEA/H/C/002669/IB/0040</w:t>
                        </w:r>
                        <w:r>
                          <w:rPr>
                            <w:szCs w:val="22"/>
                          </w:rPr>
                          <w:t>).</w:t>
                        </w:r>
                      </w:p>
                      <w:p w14:paraId="659A369B" w14:textId="77777777" w:rsidR="00752504" w:rsidRDefault="00752504" w:rsidP="00752504">
                        <w:pPr>
                          <w:suppressAutoHyphens/>
                          <w:ind w:right="14"/>
                          <w:rPr>
                            <w:szCs w:val="22"/>
                          </w:rPr>
                        </w:pPr>
                      </w:p>
                      <w:p w14:paraId="682DC3FA" w14:textId="77777777" w:rsidR="00752504" w:rsidRDefault="00752504" w:rsidP="00752504">
                        <w:pPr>
                          <w:suppressAutoHyphens/>
                          <w:ind w:right="14"/>
                          <w:rPr>
                            <w:szCs w:val="22"/>
                            <w:lang w:val="pt-PT"/>
                          </w:rPr>
                        </w:pPr>
                        <w:r>
                          <w:rPr>
                            <w:szCs w:val="22"/>
                          </w:rPr>
                          <w:t>Para mais informações, consultar o sítio Web da Agência Europeia de Medicamentos:</w:t>
                        </w:r>
                      </w:p>
                      <w:p w14:paraId="6FCD0CCE" w14:textId="77777777" w:rsidR="00752504" w:rsidRDefault="00EB76A1" w:rsidP="00752504">
                        <w:pPr>
                          <w:jc w:val="both"/>
                          <w:rPr>
                            <w:color w:val="0000FF"/>
                            <w:sz w:val="24"/>
                            <w:u w:val="single"/>
                            <w:lang w:val="cs-CZ" w:eastAsia="ar-SA"/>
                          </w:rPr>
                        </w:pPr>
                        <w:hyperlink r:id="rId9" w:history="1">
                          <w:r w:rsidR="00752504">
                            <w:rPr>
                              <w:rStyle w:val="Hyperlink"/>
                              <w:lang w:val="cs-CZ" w:eastAsia="ar-SA"/>
                            </w:rPr>
                            <w:t>https://www.ema.europa.eu/en/medicines/human/EPAR/voriconazole-accord</w:t>
                          </w:r>
                        </w:hyperlink>
                      </w:p>
                      <w:p w14:paraId="071FA750" w14:textId="6030A8F7" w:rsidR="00752504" w:rsidRPr="00752504" w:rsidRDefault="00752504" w:rsidP="00752504">
                        <w:pPr>
                          <w:rPr>
                            <w:lang w:val="cs-CZ"/>
                            <w:rPrChange w:id="2" w:author="MAH review_SC" w:date="2025-05-01T12:22:00Z" w16du:dateUtc="2025-05-01T06:52:00Z">
                              <w:rPr/>
                            </w:rPrChange>
                          </w:rPr>
                        </w:pPr>
                      </w:p>
                    </w:txbxContent>
                  </v:textbox>
                  <w10:wrap type="square" anchorx="margin"/>
                </v:shape>
              </w:pict>
            </mc:Fallback>
          </mc:AlternateContent>
        </w:r>
      </w:ins>
    </w:p>
    <w:p w14:paraId="2CE98A66" w14:textId="11829673" w:rsidR="00011577" w:rsidRPr="002A54AF" w:rsidRDefault="00011577" w:rsidP="00011577">
      <w:pPr>
        <w:tabs>
          <w:tab w:val="left" w:pos="567"/>
        </w:tabs>
        <w:suppressAutoHyphens/>
        <w:rPr>
          <w:szCs w:val="22"/>
          <w:lang w:val="pt-PT"/>
        </w:rPr>
      </w:pPr>
    </w:p>
    <w:p w14:paraId="166F2667" w14:textId="16E32122" w:rsidR="00011577" w:rsidRPr="002A54AF" w:rsidRDefault="00011577" w:rsidP="00011577">
      <w:pPr>
        <w:tabs>
          <w:tab w:val="left" w:pos="567"/>
        </w:tabs>
        <w:suppressAutoHyphens/>
        <w:rPr>
          <w:szCs w:val="22"/>
          <w:lang w:val="pt-PT"/>
        </w:rPr>
      </w:pPr>
    </w:p>
    <w:p w14:paraId="4120EB80" w14:textId="77777777" w:rsidR="00011577" w:rsidRPr="002A54AF" w:rsidRDefault="00011577" w:rsidP="00011577">
      <w:pPr>
        <w:tabs>
          <w:tab w:val="left" w:pos="567"/>
        </w:tabs>
        <w:suppressAutoHyphens/>
        <w:rPr>
          <w:szCs w:val="22"/>
          <w:lang w:val="pt-PT"/>
        </w:rPr>
      </w:pPr>
    </w:p>
    <w:p w14:paraId="26F75C2D" w14:textId="77777777" w:rsidR="00011577" w:rsidRDefault="00011577" w:rsidP="00011577">
      <w:pPr>
        <w:tabs>
          <w:tab w:val="left" w:pos="567"/>
        </w:tabs>
        <w:suppressAutoHyphens/>
        <w:rPr>
          <w:ins w:id="3" w:author="MAH review_SC" w:date="2025-05-01T12:22:00Z" w16du:dateUtc="2025-05-01T06:52:00Z"/>
          <w:szCs w:val="22"/>
          <w:lang w:val="pt-PT"/>
        </w:rPr>
      </w:pPr>
    </w:p>
    <w:p w14:paraId="60539105" w14:textId="77777777" w:rsidR="00752504" w:rsidRDefault="00752504" w:rsidP="00011577">
      <w:pPr>
        <w:tabs>
          <w:tab w:val="left" w:pos="567"/>
        </w:tabs>
        <w:suppressAutoHyphens/>
        <w:rPr>
          <w:ins w:id="4" w:author="MAH review_SC" w:date="2025-05-01T12:22:00Z" w16du:dateUtc="2025-05-01T06:52:00Z"/>
          <w:szCs w:val="22"/>
          <w:lang w:val="pt-PT"/>
        </w:rPr>
      </w:pPr>
    </w:p>
    <w:p w14:paraId="5E4727E8" w14:textId="77777777" w:rsidR="00752504" w:rsidRDefault="00752504" w:rsidP="00011577">
      <w:pPr>
        <w:tabs>
          <w:tab w:val="left" w:pos="567"/>
        </w:tabs>
        <w:suppressAutoHyphens/>
        <w:rPr>
          <w:ins w:id="5" w:author="MAH review_SC" w:date="2025-05-01T12:22:00Z" w16du:dateUtc="2025-05-01T06:52:00Z"/>
          <w:szCs w:val="22"/>
          <w:lang w:val="pt-PT"/>
        </w:rPr>
      </w:pPr>
    </w:p>
    <w:p w14:paraId="515B4BCF" w14:textId="77777777" w:rsidR="00752504" w:rsidRDefault="00752504" w:rsidP="00011577">
      <w:pPr>
        <w:tabs>
          <w:tab w:val="left" w:pos="567"/>
        </w:tabs>
        <w:suppressAutoHyphens/>
        <w:rPr>
          <w:ins w:id="6" w:author="MAH review_SC" w:date="2025-05-01T12:22:00Z" w16du:dateUtc="2025-05-01T06:52:00Z"/>
          <w:szCs w:val="22"/>
          <w:lang w:val="pt-PT"/>
        </w:rPr>
      </w:pPr>
    </w:p>
    <w:p w14:paraId="5E4483EC" w14:textId="77777777" w:rsidR="00752504" w:rsidRDefault="00752504" w:rsidP="00011577">
      <w:pPr>
        <w:tabs>
          <w:tab w:val="left" w:pos="567"/>
        </w:tabs>
        <w:suppressAutoHyphens/>
        <w:rPr>
          <w:ins w:id="7" w:author="MAH review_SC" w:date="2025-05-01T12:22:00Z" w16du:dateUtc="2025-05-01T06:52:00Z"/>
          <w:szCs w:val="22"/>
          <w:lang w:val="pt-PT"/>
        </w:rPr>
      </w:pPr>
    </w:p>
    <w:p w14:paraId="6485DB43" w14:textId="77777777" w:rsidR="00752504" w:rsidRDefault="00752504" w:rsidP="00011577">
      <w:pPr>
        <w:tabs>
          <w:tab w:val="left" w:pos="567"/>
        </w:tabs>
        <w:suppressAutoHyphens/>
        <w:rPr>
          <w:ins w:id="8" w:author="MAH review_SC" w:date="2025-05-01T12:22:00Z" w16du:dateUtc="2025-05-01T06:52:00Z"/>
          <w:szCs w:val="22"/>
          <w:lang w:val="pt-PT"/>
        </w:rPr>
      </w:pPr>
    </w:p>
    <w:p w14:paraId="6745B7AF" w14:textId="77777777" w:rsidR="00752504" w:rsidRDefault="00752504" w:rsidP="00011577">
      <w:pPr>
        <w:tabs>
          <w:tab w:val="left" w:pos="567"/>
        </w:tabs>
        <w:suppressAutoHyphens/>
        <w:rPr>
          <w:ins w:id="9" w:author="MAH review_SC" w:date="2025-05-01T12:22:00Z" w16du:dateUtc="2025-05-01T06:52:00Z"/>
          <w:szCs w:val="22"/>
          <w:lang w:val="pt-PT"/>
        </w:rPr>
      </w:pPr>
    </w:p>
    <w:p w14:paraId="0C64201D" w14:textId="77777777" w:rsidR="00752504" w:rsidRDefault="00752504" w:rsidP="00011577">
      <w:pPr>
        <w:tabs>
          <w:tab w:val="left" w:pos="567"/>
        </w:tabs>
        <w:suppressAutoHyphens/>
        <w:rPr>
          <w:ins w:id="10" w:author="MAH review_SC" w:date="2025-05-01T12:22:00Z" w16du:dateUtc="2025-05-01T06:52:00Z"/>
          <w:szCs w:val="22"/>
          <w:lang w:val="pt-PT"/>
        </w:rPr>
      </w:pPr>
    </w:p>
    <w:p w14:paraId="0FCFB45C" w14:textId="77777777" w:rsidR="00752504" w:rsidRDefault="00752504" w:rsidP="00011577">
      <w:pPr>
        <w:tabs>
          <w:tab w:val="left" w:pos="567"/>
        </w:tabs>
        <w:suppressAutoHyphens/>
        <w:rPr>
          <w:ins w:id="11" w:author="MAH review_SC" w:date="2025-05-01T12:22:00Z" w16du:dateUtc="2025-05-01T06:52:00Z"/>
          <w:szCs w:val="22"/>
          <w:lang w:val="pt-PT"/>
        </w:rPr>
      </w:pPr>
    </w:p>
    <w:p w14:paraId="5B4CCC53" w14:textId="77777777" w:rsidR="00752504" w:rsidRDefault="00752504" w:rsidP="00011577">
      <w:pPr>
        <w:tabs>
          <w:tab w:val="left" w:pos="567"/>
        </w:tabs>
        <w:suppressAutoHyphens/>
        <w:rPr>
          <w:ins w:id="12" w:author="MAH review_SC" w:date="2025-05-01T12:22:00Z" w16du:dateUtc="2025-05-01T06:52:00Z"/>
          <w:szCs w:val="22"/>
          <w:lang w:val="pt-PT"/>
        </w:rPr>
      </w:pPr>
    </w:p>
    <w:p w14:paraId="6F1F50EE" w14:textId="77777777" w:rsidR="00752504" w:rsidRDefault="00752504" w:rsidP="00011577">
      <w:pPr>
        <w:tabs>
          <w:tab w:val="left" w:pos="567"/>
        </w:tabs>
        <w:suppressAutoHyphens/>
        <w:rPr>
          <w:ins w:id="13" w:author="MAH review_SC" w:date="2025-05-01T12:22:00Z" w16du:dateUtc="2025-05-01T06:52:00Z"/>
          <w:szCs w:val="22"/>
          <w:lang w:val="pt-PT"/>
        </w:rPr>
      </w:pPr>
    </w:p>
    <w:p w14:paraId="5B7EE371" w14:textId="77777777" w:rsidR="00752504" w:rsidRDefault="00752504" w:rsidP="00011577">
      <w:pPr>
        <w:tabs>
          <w:tab w:val="left" w:pos="567"/>
        </w:tabs>
        <w:suppressAutoHyphens/>
        <w:rPr>
          <w:ins w:id="14" w:author="MAH review_SC" w:date="2025-05-01T12:22:00Z" w16du:dateUtc="2025-05-01T06:52:00Z"/>
          <w:szCs w:val="22"/>
          <w:lang w:val="pt-PT"/>
        </w:rPr>
      </w:pPr>
    </w:p>
    <w:p w14:paraId="7D0858E8" w14:textId="77777777" w:rsidR="00752504" w:rsidRDefault="00752504" w:rsidP="00011577">
      <w:pPr>
        <w:tabs>
          <w:tab w:val="left" w:pos="567"/>
        </w:tabs>
        <w:suppressAutoHyphens/>
        <w:rPr>
          <w:ins w:id="15" w:author="MAH review_SC" w:date="2025-05-01T12:22:00Z" w16du:dateUtc="2025-05-01T06:52:00Z"/>
          <w:szCs w:val="22"/>
          <w:lang w:val="pt-PT"/>
        </w:rPr>
      </w:pPr>
    </w:p>
    <w:p w14:paraId="670D42A0" w14:textId="77777777" w:rsidR="00752504" w:rsidRDefault="00752504" w:rsidP="00011577">
      <w:pPr>
        <w:tabs>
          <w:tab w:val="left" w:pos="567"/>
        </w:tabs>
        <w:suppressAutoHyphens/>
        <w:rPr>
          <w:ins w:id="16" w:author="MAH review_SC" w:date="2025-05-01T12:22:00Z" w16du:dateUtc="2025-05-01T06:52:00Z"/>
          <w:szCs w:val="22"/>
          <w:lang w:val="pt-PT"/>
        </w:rPr>
      </w:pPr>
    </w:p>
    <w:p w14:paraId="474356DC" w14:textId="77777777" w:rsidR="00752504" w:rsidRDefault="00752504" w:rsidP="00011577">
      <w:pPr>
        <w:tabs>
          <w:tab w:val="left" w:pos="567"/>
        </w:tabs>
        <w:suppressAutoHyphens/>
        <w:rPr>
          <w:ins w:id="17" w:author="MAH review_SC" w:date="2025-05-01T12:22:00Z" w16du:dateUtc="2025-05-01T06:52:00Z"/>
          <w:szCs w:val="22"/>
          <w:lang w:val="pt-PT"/>
        </w:rPr>
      </w:pPr>
    </w:p>
    <w:p w14:paraId="412EAEFF" w14:textId="77777777" w:rsidR="00752504" w:rsidRDefault="00752504" w:rsidP="00011577">
      <w:pPr>
        <w:tabs>
          <w:tab w:val="left" w:pos="567"/>
        </w:tabs>
        <w:suppressAutoHyphens/>
        <w:rPr>
          <w:ins w:id="18" w:author="MAH review_SC" w:date="2025-05-01T12:22:00Z" w16du:dateUtc="2025-05-01T06:52:00Z"/>
          <w:szCs w:val="22"/>
          <w:lang w:val="pt-PT"/>
        </w:rPr>
      </w:pPr>
    </w:p>
    <w:p w14:paraId="5A55075F" w14:textId="77777777" w:rsidR="00752504" w:rsidRDefault="00752504" w:rsidP="00011577">
      <w:pPr>
        <w:tabs>
          <w:tab w:val="left" w:pos="567"/>
        </w:tabs>
        <w:suppressAutoHyphens/>
        <w:rPr>
          <w:ins w:id="19" w:author="MAH review_SC" w:date="2025-05-01T12:22:00Z" w16du:dateUtc="2025-05-01T06:52:00Z"/>
          <w:szCs w:val="22"/>
          <w:lang w:val="pt-PT"/>
        </w:rPr>
      </w:pPr>
    </w:p>
    <w:p w14:paraId="64DBEE28" w14:textId="77777777" w:rsidR="00752504" w:rsidRDefault="00752504" w:rsidP="00011577">
      <w:pPr>
        <w:tabs>
          <w:tab w:val="left" w:pos="567"/>
        </w:tabs>
        <w:suppressAutoHyphens/>
        <w:rPr>
          <w:ins w:id="20" w:author="MAH review_SC" w:date="2025-05-01T12:22:00Z" w16du:dateUtc="2025-05-01T06:52:00Z"/>
          <w:szCs w:val="22"/>
          <w:lang w:val="pt-PT"/>
        </w:rPr>
      </w:pPr>
    </w:p>
    <w:p w14:paraId="3D8E28F9" w14:textId="77777777" w:rsidR="00752504" w:rsidRDefault="00752504" w:rsidP="00011577">
      <w:pPr>
        <w:tabs>
          <w:tab w:val="left" w:pos="567"/>
        </w:tabs>
        <w:suppressAutoHyphens/>
        <w:rPr>
          <w:ins w:id="21" w:author="MAH review_SC" w:date="2025-05-01T12:22:00Z" w16du:dateUtc="2025-05-01T06:52:00Z"/>
          <w:szCs w:val="22"/>
          <w:lang w:val="pt-PT"/>
        </w:rPr>
      </w:pPr>
    </w:p>
    <w:p w14:paraId="57BD4329" w14:textId="77777777" w:rsidR="00752504" w:rsidRDefault="00752504" w:rsidP="00011577">
      <w:pPr>
        <w:tabs>
          <w:tab w:val="left" w:pos="567"/>
        </w:tabs>
        <w:suppressAutoHyphens/>
        <w:rPr>
          <w:ins w:id="22" w:author="MAH review_SC" w:date="2025-05-01T12:22:00Z" w16du:dateUtc="2025-05-01T06:52:00Z"/>
          <w:szCs w:val="22"/>
          <w:lang w:val="pt-PT"/>
        </w:rPr>
      </w:pPr>
    </w:p>
    <w:p w14:paraId="16A4CB9F" w14:textId="77777777" w:rsidR="00752504" w:rsidRDefault="00752504" w:rsidP="00011577">
      <w:pPr>
        <w:tabs>
          <w:tab w:val="left" w:pos="567"/>
        </w:tabs>
        <w:suppressAutoHyphens/>
        <w:rPr>
          <w:ins w:id="23" w:author="MAH review_SC" w:date="2025-05-01T12:22:00Z" w16du:dateUtc="2025-05-01T06:52:00Z"/>
          <w:szCs w:val="22"/>
          <w:lang w:val="pt-PT"/>
        </w:rPr>
      </w:pPr>
    </w:p>
    <w:p w14:paraId="686CA796" w14:textId="77777777" w:rsidR="00752504" w:rsidRDefault="00752504" w:rsidP="00011577">
      <w:pPr>
        <w:tabs>
          <w:tab w:val="left" w:pos="567"/>
        </w:tabs>
        <w:suppressAutoHyphens/>
        <w:rPr>
          <w:ins w:id="24" w:author="MAH review_SC" w:date="2025-05-01T12:22:00Z" w16du:dateUtc="2025-05-01T06:52:00Z"/>
          <w:szCs w:val="22"/>
          <w:lang w:val="pt-PT"/>
        </w:rPr>
      </w:pPr>
    </w:p>
    <w:p w14:paraId="6349100A" w14:textId="77777777" w:rsidR="00752504" w:rsidRDefault="00752504" w:rsidP="00011577">
      <w:pPr>
        <w:tabs>
          <w:tab w:val="left" w:pos="567"/>
        </w:tabs>
        <w:suppressAutoHyphens/>
        <w:rPr>
          <w:ins w:id="25" w:author="MAH review_SC" w:date="2025-05-01T12:22:00Z" w16du:dateUtc="2025-05-01T06:52:00Z"/>
          <w:szCs w:val="22"/>
          <w:lang w:val="pt-PT"/>
        </w:rPr>
      </w:pPr>
    </w:p>
    <w:p w14:paraId="44C6D66A" w14:textId="77777777" w:rsidR="00752504" w:rsidRDefault="00752504" w:rsidP="00011577">
      <w:pPr>
        <w:tabs>
          <w:tab w:val="left" w:pos="567"/>
        </w:tabs>
        <w:suppressAutoHyphens/>
        <w:rPr>
          <w:ins w:id="26" w:author="MAH review_SC" w:date="2025-05-01T12:22:00Z" w16du:dateUtc="2025-05-01T06:52:00Z"/>
          <w:szCs w:val="22"/>
          <w:lang w:val="pt-PT"/>
        </w:rPr>
      </w:pPr>
    </w:p>
    <w:p w14:paraId="6E0B876B" w14:textId="77777777" w:rsidR="00752504" w:rsidRDefault="00752504" w:rsidP="00011577">
      <w:pPr>
        <w:tabs>
          <w:tab w:val="left" w:pos="567"/>
        </w:tabs>
        <w:suppressAutoHyphens/>
        <w:rPr>
          <w:ins w:id="27" w:author="MAH review_SC" w:date="2025-05-01T12:22:00Z" w16du:dateUtc="2025-05-01T06:52:00Z"/>
          <w:szCs w:val="22"/>
          <w:lang w:val="pt-PT"/>
        </w:rPr>
      </w:pPr>
    </w:p>
    <w:p w14:paraId="731EEB4E" w14:textId="77777777" w:rsidR="00752504" w:rsidRDefault="00752504" w:rsidP="00011577">
      <w:pPr>
        <w:tabs>
          <w:tab w:val="left" w:pos="567"/>
        </w:tabs>
        <w:suppressAutoHyphens/>
        <w:rPr>
          <w:ins w:id="28" w:author="MAH review_SC" w:date="2025-05-01T12:22:00Z" w16du:dateUtc="2025-05-01T06:52:00Z"/>
          <w:szCs w:val="22"/>
          <w:lang w:val="pt-PT"/>
        </w:rPr>
      </w:pPr>
    </w:p>
    <w:p w14:paraId="427BF826" w14:textId="77777777" w:rsidR="00752504" w:rsidRDefault="00752504" w:rsidP="00011577">
      <w:pPr>
        <w:tabs>
          <w:tab w:val="left" w:pos="567"/>
        </w:tabs>
        <w:suppressAutoHyphens/>
        <w:rPr>
          <w:ins w:id="29" w:author="MAH review_SC" w:date="2025-05-01T12:22:00Z" w16du:dateUtc="2025-05-01T06:52:00Z"/>
          <w:szCs w:val="22"/>
          <w:lang w:val="pt-PT"/>
        </w:rPr>
      </w:pPr>
    </w:p>
    <w:p w14:paraId="5D35BA58" w14:textId="77777777" w:rsidR="00752504" w:rsidRDefault="00752504" w:rsidP="00011577">
      <w:pPr>
        <w:tabs>
          <w:tab w:val="left" w:pos="567"/>
        </w:tabs>
        <w:suppressAutoHyphens/>
        <w:rPr>
          <w:ins w:id="30" w:author="MAH review_SC" w:date="2025-05-01T12:22:00Z" w16du:dateUtc="2025-05-01T06:52:00Z"/>
          <w:szCs w:val="22"/>
          <w:lang w:val="pt-PT"/>
        </w:rPr>
      </w:pPr>
    </w:p>
    <w:p w14:paraId="00FFDF88" w14:textId="77777777" w:rsidR="00752504" w:rsidRDefault="00752504" w:rsidP="00011577">
      <w:pPr>
        <w:tabs>
          <w:tab w:val="left" w:pos="567"/>
        </w:tabs>
        <w:suppressAutoHyphens/>
        <w:rPr>
          <w:ins w:id="31" w:author="MAH review_SC" w:date="2025-05-01T12:22:00Z" w16du:dateUtc="2025-05-01T06:52:00Z"/>
          <w:szCs w:val="22"/>
          <w:lang w:val="pt-PT"/>
        </w:rPr>
      </w:pPr>
    </w:p>
    <w:p w14:paraId="53938D6E" w14:textId="77777777" w:rsidR="00752504" w:rsidRDefault="00752504" w:rsidP="00011577">
      <w:pPr>
        <w:tabs>
          <w:tab w:val="left" w:pos="567"/>
        </w:tabs>
        <w:suppressAutoHyphens/>
        <w:rPr>
          <w:ins w:id="32" w:author="MAH review_SC" w:date="2025-05-01T12:22:00Z" w16du:dateUtc="2025-05-01T06:52:00Z"/>
          <w:szCs w:val="22"/>
          <w:lang w:val="pt-PT"/>
        </w:rPr>
      </w:pPr>
    </w:p>
    <w:p w14:paraId="18F9912D" w14:textId="77777777" w:rsidR="00752504" w:rsidRDefault="00752504" w:rsidP="00011577">
      <w:pPr>
        <w:tabs>
          <w:tab w:val="left" w:pos="567"/>
        </w:tabs>
        <w:suppressAutoHyphens/>
        <w:rPr>
          <w:ins w:id="33" w:author="MAH review_SC" w:date="2025-05-01T12:22:00Z" w16du:dateUtc="2025-05-01T06:52:00Z"/>
          <w:szCs w:val="22"/>
          <w:lang w:val="pt-PT"/>
        </w:rPr>
      </w:pPr>
    </w:p>
    <w:p w14:paraId="632426BB" w14:textId="77777777" w:rsidR="00752504" w:rsidRDefault="00752504" w:rsidP="00011577">
      <w:pPr>
        <w:tabs>
          <w:tab w:val="left" w:pos="567"/>
        </w:tabs>
        <w:suppressAutoHyphens/>
        <w:rPr>
          <w:ins w:id="34" w:author="MAH review_SC" w:date="2025-05-01T12:22:00Z" w16du:dateUtc="2025-05-01T06:52:00Z"/>
          <w:szCs w:val="22"/>
          <w:lang w:val="pt-PT"/>
        </w:rPr>
      </w:pPr>
    </w:p>
    <w:p w14:paraId="6E2DF856" w14:textId="77777777" w:rsidR="00752504" w:rsidRDefault="00752504" w:rsidP="00011577">
      <w:pPr>
        <w:tabs>
          <w:tab w:val="left" w:pos="567"/>
        </w:tabs>
        <w:suppressAutoHyphens/>
        <w:rPr>
          <w:ins w:id="35" w:author="MAH review_SC" w:date="2025-05-01T12:22:00Z" w16du:dateUtc="2025-05-01T06:52:00Z"/>
          <w:szCs w:val="22"/>
          <w:lang w:val="pt-PT"/>
        </w:rPr>
      </w:pPr>
    </w:p>
    <w:p w14:paraId="448C9FFD" w14:textId="77777777" w:rsidR="00752504" w:rsidRDefault="00752504" w:rsidP="00011577">
      <w:pPr>
        <w:tabs>
          <w:tab w:val="left" w:pos="567"/>
        </w:tabs>
        <w:suppressAutoHyphens/>
        <w:rPr>
          <w:ins w:id="36" w:author="MAH review_SC" w:date="2025-05-01T12:22:00Z" w16du:dateUtc="2025-05-01T06:52:00Z"/>
          <w:szCs w:val="22"/>
          <w:lang w:val="pt-PT"/>
        </w:rPr>
      </w:pPr>
    </w:p>
    <w:p w14:paraId="04D52623" w14:textId="77777777" w:rsidR="00752504" w:rsidRDefault="00752504" w:rsidP="00011577">
      <w:pPr>
        <w:tabs>
          <w:tab w:val="left" w:pos="567"/>
        </w:tabs>
        <w:suppressAutoHyphens/>
        <w:rPr>
          <w:ins w:id="37" w:author="MAH review_SC" w:date="2025-05-01T12:22:00Z" w16du:dateUtc="2025-05-01T06:52:00Z"/>
          <w:szCs w:val="22"/>
          <w:lang w:val="pt-PT"/>
        </w:rPr>
      </w:pPr>
    </w:p>
    <w:p w14:paraId="30662724" w14:textId="77777777" w:rsidR="00752504" w:rsidRDefault="00752504" w:rsidP="00011577">
      <w:pPr>
        <w:tabs>
          <w:tab w:val="left" w:pos="567"/>
        </w:tabs>
        <w:suppressAutoHyphens/>
        <w:rPr>
          <w:ins w:id="38" w:author="MAH review_SC" w:date="2025-05-01T12:22:00Z" w16du:dateUtc="2025-05-01T06:52:00Z"/>
          <w:szCs w:val="22"/>
          <w:lang w:val="pt-PT"/>
        </w:rPr>
      </w:pPr>
    </w:p>
    <w:p w14:paraId="1489FDD4" w14:textId="77777777" w:rsidR="00752504" w:rsidRDefault="00752504" w:rsidP="00011577">
      <w:pPr>
        <w:tabs>
          <w:tab w:val="left" w:pos="567"/>
        </w:tabs>
        <w:suppressAutoHyphens/>
        <w:rPr>
          <w:ins w:id="39" w:author="MAH review_SC" w:date="2025-05-01T12:22:00Z" w16du:dateUtc="2025-05-01T06:52:00Z"/>
          <w:szCs w:val="22"/>
          <w:lang w:val="pt-PT"/>
        </w:rPr>
      </w:pPr>
    </w:p>
    <w:p w14:paraId="5A4ECFEE" w14:textId="77777777" w:rsidR="00752504" w:rsidRDefault="00752504" w:rsidP="00011577">
      <w:pPr>
        <w:tabs>
          <w:tab w:val="left" w:pos="567"/>
        </w:tabs>
        <w:suppressAutoHyphens/>
        <w:rPr>
          <w:ins w:id="40" w:author="MAH review_SC" w:date="2025-05-01T12:22:00Z" w16du:dateUtc="2025-05-01T06:52:00Z"/>
          <w:szCs w:val="22"/>
          <w:lang w:val="pt-PT"/>
        </w:rPr>
      </w:pPr>
    </w:p>
    <w:p w14:paraId="5A5317D3" w14:textId="77777777" w:rsidR="00752504" w:rsidRDefault="00752504" w:rsidP="00011577">
      <w:pPr>
        <w:tabs>
          <w:tab w:val="left" w:pos="567"/>
        </w:tabs>
        <w:suppressAutoHyphens/>
        <w:rPr>
          <w:ins w:id="41" w:author="MAH review_SC" w:date="2025-05-01T12:22:00Z" w16du:dateUtc="2025-05-01T06:52:00Z"/>
          <w:szCs w:val="22"/>
          <w:lang w:val="pt-PT"/>
        </w:rPr>
      </w:pPr>
    </w:p>
    <w:p w14:paraId="1F2B52C8" w14:textId="77777777" w:rsidR="00752504" w:rsidRDefault="00752504" w:rsidP="00011577">
      <w:pPr>
        <w:tabs>
          <w:tab w:val="left" w:pos="567"/>
        </w:tabs>
        <w:suppressAutoHyphens/>
        <w:rPr>
          <w:ins w:id="42" w:author="MAH review_SC" w:date="2025-05-01T12:22:00Z" w16du:dateUtc="2025-05-01T06:52:00Z"/>
          <w:szCs w:val="22"/>
          <w:lang w:val="pt-PT"/>
        </w:rPr>
      </w:pPr>
    </w:p>
    <w:p w14:paraId="5E3D0CEE" w14:textId="77777777" w:rsidR="00752504" w:rsidRDefault="00752504" w:rsidP="00011577">
      <w:pPr>
        <w:tabs>
          <w:tab w:val="left" w:pos="567"/>
        </w:tabs>
        <w:suppressAutoHyphens/>
        <w:rPr>
          <w:ins w:id="43" w:author="MAH review_SC" w:date="2025-05-01T12:22:00Z" w16du:dateUtc="2025-05-01T06:52:00Z"/>
          <w:szCs w:val="22"/>
          <w:lang w:val="pt-PT"/>
        </w:rPr>
      </w:pPr>
    </w:p>
    <w:p w14:paraId="06A5C4B7" w14:textId="77777777" w:rsidR="00752504" w:rsidRDefault="00752504" w:rsidP="00011577">
      <w:pPr>
        <w:tabs>
          <w:tab w:val="left" w:pos="567"/>
        </w:tabs>
        <w:suppressAutoHyphens/>
        <w:rPr>
          <w:ins w:id="44" w:author="MAH review_SC" w:date="2025-05-01T12:22:00Z" w16du:dateUtc="2025-05-01T06:52:00Z"/>
          <w:szCs w:val="22"/>
          <w:lang w:val="pt-PT"/>
        </w:rPr>
      </w:pPr>
    </w:p>
    <w:p w14:paraId="300F39A9" w14:textId="77777777" w:rsidR="00752504" w:rsidRDefault="00752504" w:rsidP="00011577">
      <w:pPr>
        <w:tabs>
          <w:tab w:val="left" w:pos="567"/>
        </w:tabs>
        <w:suppressAutoHyphens/>
        <w:rPr>
          <w:ins w:id="45" w:author="MAH review_SC" w:date="2025-05-01T12:22:00Z" w16du:dateUtc="2025-05-01T06:52:00Z"/>
          <w:szCs w:val="22"/>
          <w:lang w:val="pt-PT"/>
        </w:rPr>
      </w:pPr>
    </w:p>
    <w:p w14:paraId="3E7DAC0C" w14:textId="77777777" w:rsidR="00752504" w:rsidRDefault="00752504" w:rsidP="00011577">
      <w:pPr>
        <w:tabs>
          <w:tab w:val="left" w:pos="567"/>
        </w:tabs>
        <w:suppressAutoHyphens/>
        <w:rPr>
          <w:ins w:id="46" w:author="MAH review_SC" w:date="2025-05-01T12:22:00Z" w16du:dateUtc="2025-05-01T06:52:00Z"/>
          <w:szCs w:val="22"/>
          <w:lang w:val="pt-PT"/>
        </w:rPr>
      </w:pPr>
    </w:p>
    <w:p w14:paraId="0CB3AA76" w14:textId="77777777" w:rsidR="00752504" w:rsidRDefault="00752504" w:rsidP="00011577">
      <w:pPr>
        <w:tabs>
          <w:tab w:val="left" w:pos="567"/>
        </w:tabs>
        <w:suppressAutoHyphens/>
        <w:rPr>
          <w:ins w:id="47" w:author="MAH review_SC" w:date="2025-05-01T12:22:00Z" w16du:dateUtc="2025-05-01T06:52:00Z"/>
          <w:szCs w:val="22"/>
          <w:lang w:val="pt-PT"/>
        </w:rPr>
      </w:pPr>
    </w:p>
    <w:p w14:paraId="4841EB0D" w14:textId="77777777" w:rsidR="00752504" w:rsidRDefault="00752504" w:rsidP="00011577">
      <w:pPr>
        <w:tabs>
          <w:tab w:val="left" w:pos="567"/>
        </w:tabs>
        <w:suppressAutoHyphens/>
        <w:rPr>
          <w:ins w:id="48" w:author="MAH review_SC" w:date="2025-05-01T12:22:00Z" w16du:dateUtc="2025-05-01T06:52:00Z"/>
          <w:szCs w:val="22"/>
          <w:lang w:val="pt-PT"/>
        </w:rPr>
      </w:pPr>
    </w:p>
    <w:p w14:paraId="7CD3AF87" w14:textId="77777777" w:rsidR="00752504" w:rsidRDefault="00752504" w:rsidP="00011577">
      <w:pPr>
        <w:tabs>
          <w:tab w:val="left" w:pos="567"/>
        </w:tabs>
        <w:suppressAutoHyphens/>
        <w:rPr>
          <w:ins w:id="49" w:author="MAH review_SC" w:date="2025-05-01T12:22:00Z" w16du:dateUtc="2025-05-01T06:52:00Z"/>
          <w:szCs w:val="22"/>
          <w:lang w:val="pt-PT"/>
        </w:rPr>
      </w:pPr>
    </w:p>
    <w:p w14:paraId="34058BA1" w14:textId="77777777" w:rsidR="00752504" w:rsidRDefault="00752504" w:rsidP="00011577">
      <w:pPr>
        <w:tabs>
          <w:tab w:val="left" w:pos="567"/>
        </w:tabs>
        <w:suppressAutoHyphens/>
        <w:rPr>
          <w:ins w:id="50" w:author="MAH review_SC" w:date="2025-05-01T12:22:00Z" w16du:dateUtc="2025-05-01T06:52:00Z"/>
          <w:szCs w:val="22"/>
          <w:lang w:val="pt-PT"/>
        </w:rPr>
      </w:pPr>
    </w:p>
    <w:p w14:paraId="39F9F376" w14:textId="77777777" w:rsidR="00752504" w:rsidRPr="002A54AF" w:rsidRDefault="00752504" w:rsidP="00011577">
      <w:pPr>
        <w:tabs>
          <w:tab w:val="left" w:pos="567"/>
        </w:tabs>
        <w:suppressAutoHyphens/>
        <w:rPr>
          <w:szCs w:val="22"/>
          <w:lang w:val="pt-PT"/>
        </w:rPr>
      </w:pPr>
    </w:p>
    <w:p w14:paraId="7A97F98B" w14:textId="77777777" w:rsidR="00011577" w:rsidRPr="002A54AF" w:rsidRDefault="00011577" w:rsidP="00011577">
      <w:pPr>
        <w:tabs>
          <w:tab w:val="left" w:pos="567"/>
        </w:tabs>
        <w:suppressAutoHyphens/>
        <w:rPr>
          <w:szCs w:val="22"/>
          <w:lang w:val="pt-PT"/>
        </w:rPr>
      </w:pPr>
    </w:p>
    <w:p w14:paraId="334D497A" w14:textId="77777777" w:rsidR="00011577" w:rsidRPr="002A54AF" w:rsidRDefault="00011577" w:rsidP="00011577">
      <w:pPr>
        <w:tabs>
          <w:tab w:val="left" w:pos="567"/>
        </w:tabs>
        <w:suppressAutoHyphens/>
        <w:rPr>
          <w:szCs w:val="22"/>
          <w:lang w:val="pt-PT"/>
        </w:rPr>
      </w:pPr>
    </w:p>
    <w:p w14:paraId="37088A17" w14:textId="77777777" w:rsidR="00011577" w:rsidRPr="002A54AF" w:rsidRDefault="00011577" w:rsidP="00011577">
      <w:pPr>
        <w:pStyle w:val="EndnoteText"/>
        <w:widowControl/>
        <w:suppressAutoHyphens/>
        <w:rPr>
          <w:szCs w:val="22"/>
        </w:rPr>
      </w:pPr>
    </w:p>
    <w:p w14:paraId="5DA653BE" w14:textId="77777777" w:rsidR="00011577" w:rsidRPr="002A54AF" w:rsidRDefault="00011577" w:rsidP="00011577">
      <w:pPr>
        <w:tabs>
          <w:tab w:val="left" w:pos="567"/>
        </w:tabs>
        <w:suppressAutoHyphens/>
        <w:rPr>
          <w:szCs w:val="22"/>
          <w:lang w:val="pt-PT"/>
        </w:rPr>
      </w:pPr>
    </w:p>
    <w:p w14:paraId="50E7937D" w14:textId="77777777" w:rsidR="00E72BDD" w:rsidRPr="002A54AF" w:rsidRDefault="00E72BDD" w:rsidP="00011577">
      <w:pPr>
        <w:tabs>
          <w:tab w:val="left" w:pos="567"/>
        </w:tabs>
        <w:suppressAutoHyphens/>
        <w:rPr>
          <w:szCs w:val="22"/>
          <w:lang w:val="pt-PT"/>
        </w:rPr>
      </w:pPr>
    </w:p>
    <w:p w14:paraId="5F11F8BA" w14:textId="77777777" w:rsidR="00E72BDD" w:rsidRPr="002A54AF" w:rsidRDefault="00E72BDD" w:rsidP="00011577">
      <w:pPr>
        <w:tabs>
          <w:tab w:val="left" w:pos="567"/>
        </w:tabs>
        <w:suppressAutoHyphens/>
        <w:rPr>
          <w:szCs w:val="22"/>
          <w:lang w:val="pt-PT"/>
        </w:rPr>
      </w:pPr>
    </w:p>
    <w:p w14:paraId="4F7FDB00" w14:textId="77777777" w:rsidR="00E72BDD" w:rsidRPr="002A54AF" w:rsidRDefault="00E72BDD" w:rsidP="00011577">
      <w:pPr>
        <w:tabs>
          <w:tab w:val="left" w:pos="567"/>
        </w:tabs>
        <w:suppressAutoHyphens/>
        <w:rPr>
          <w:szCs w:val="22"/>
          <w:lang w:val="pt-PT"/>
        </w:rPr>
      </w:pPr>
    </w:p>
    <w:p w14:paraId="77016A42" w14:textId="77777777" w:rsidR="00011577" w:rsidRPr="002A54AF" w:rsidRDefault="00011577" w:rsidP="00011577">
      <w:pPr>
        <w:tabs>
          <w:tab w:val="left" w:pos="567"/>
        </w:tabs>
        <w:suppressAutoHyphens/>
        <w:rPr>
          <w:szCs w:val="22"/>
          <w:lang w:val="pt-PT"/>
        </w:rPr>
      </w:pPr>
    </w:p>
    <w:p w14:paraId="0C566F53" w14:textId="77777777" w:rsidR="00011577" w:rsidRPr="002A54AF" w:rsidRDefault="00011577" w:rsidP="00011577">
      <w:pPr>
        <w:tabs>
          <w:tab w:val="left" w:pos="567"/>
        </w:tabs>
        <w:suppressAutoHyphens/>
        <w:rPr>
          <w:szCs w:val="22"/>
          <w:lang w:val="pt-PT"/>
        </w:rPr>
      </w:pPr>
    </w:p>
    <w:p w14:paraId="6AF974AD" w14:textId="77777777" w:rsidR="00011577" w:rsidRPr="002A54AF" w:rsidRDefault="00011577" w:rsidP="00011577">
      <w:pPr>
        <w:tabs>
          <w:tab w:val="left" w:pos="567"/>
        </w:tabs>
        <w:suppressAutoHyphens/>
        <w:rPr>
          <w:szCs w:val="22"/>
          <w:lang w:val="pt-PT"/>
        </w:rPr>
      </w:pPr>
    </w:p>
    <w:p w14:paraId="7EFE1385" w14:textId="77777777" w:rsidR="00011577" w:rsidRPr="002A54AF" w:rsidRDefault="00011577" w:rsidP="00011577">
      <w:pPr>
        <w:tabs>
          <w:tab w:val="left" w:pos="567"/>
        </w:tabs>
        <w:suppressAutoHyphens/>
        <w:rPr>
          <w:szCs w:val="22"/>
          <w:lang w:val="pt-PT"/>
        </w:rPr>
      </w:pPr>
    </w:p>
    <w:p w14:paraId="743FCD20" w14:textId="77777777" w:rsidR="00011577" w:rsidRPr="002A54AF" w:rsidRDefault="00011577" w:rsidP="00011577">
      <w:pPr>
        <w:tabs>
          <w:tab w:val="left" w:pos="567"/>
        </w:tabs>
        <w:suppressAutoHyphens/>
        <w:rPr>
          <w:szCs w:val="22"/>
          <w:lang w:val="pt-PT"/>
        </w:rPr>
      </w:pPr>
    </w:p>
    <w:p w14:paraId="4EAD2F8C" w14:textId="77777777" w:rsidR="00011577" w:rsidRPr="002A54AF" w:rsidRDefault="00011577" w:rsidP="00011577">
      <w:pPr>
        <w:tabs>
          <w:tab w:val="left" w:pos="567"/>
        </w:tabs>
        <w:suppressAutoHyphens/>
        <w:rPr>
          <w:szCs w:val="22"/>
          <w:lang w:val="pt-PT"/>
        </w:rPr>
      </w:pPr>
    </w:p>
    <w:p w14:paraId="6505EF7D" w14:textId="77777777" w:rsidR="00011577" w:rsidRPr="002A54AF" w:rsidRDefault="00011577" w:rsidP="00011577">
      <w:pPr>
        <w:tabs>
          <w:tab w:val="left" w:pos="567"/>
        </w:tabs>
        <w:suppressAutoHyphens/>
        <w:rPr>
          <w:szCs w:val="22"/>
          <w:lang w:val="pt-PT"/>
        </w:rPr>
      </w:pPr>
    </w:p>
    <w:p w14:paraId="2FC18240" w14:textId="77777777" w:rsidR="00011577" w:rsidRPr="002A54AF" w:rsidRDefault="00011577" w:rsidP="00011577">
      <w:pPr>
        <w:tabs>
          <w:tab w:val="left" w:pos="567"/>
        </w:tabs>
        <w:suppressAutoHyphens/>
        <w:jc w:val="center"/>
        <w:rPr>
          <w:b/>
          <w:caps/>
          <w:szCs w:val="22"/>
          <w:lang w:val="pt-PT"/>
        </w:rPr>
      </w:pPr>
    </w:p>
    <w:p w14:paraId="2DAEA40C" w14:textId="77777777" w:rsidR="00011577" w:rsidRPr="002A54AF" w:rsidRDefault="00011577" w:rsidP="00011577">
      <w:pPr>
        <w:pStyle w:val="Heading4"/>
        <w:keepNext w:val="0"/>
        <w:tabs>
          <w:tab w:val="left" w:pos="567"/>
        </w:tabs>
        <w:ind w:right="0"/>
        <w:rPr>
          <w:caps/>
          <w:szCs w:val="22"/>
        </w:rPr>
      </w:pPr>
      <w:r w:rsidRPr="002A54AF">
        <w:rPr>
          <w:caps/>
          <w:szCs w:val="22"/>
        </w:rPr>
        <w:t>Anexo I</w:t>
      </w:r>
    </w:p>
    <w:p w14:paraId="1FD82F30" w14:textId="77777777" w:rsidR="00011577" w:rsidRPr="002A54AF" w:rsidRDefault="00011577" w:rsidP="00011577">
      <w:pPr>
        <w:tabs>
          <w:tab w:val="left" w:pos="567"/>
        </w:tabs>
        <w:suppressAutoHyphens/>
        <w:jc w:val="center"/>
        <w:rPr>
          <w:b/>
          <w:szCs w:val="22"/>
          <w:lang w:val="pt-PT"/>
        </w:rPr>
      </w:pPr>
    </w:p>
    <w:p w14:paraId="4396FB36" w14:textId="77777777" w:rsidR="00011577" w:rsidRPr="002A54AF" w:rsidRDefault="00011577" w:rsidP="00C4485D">
      <w:pPr>
        <w:pStyle w:val="11"/>
      </w:pPr>
      <w:r w:rsidRPr="002A54AF">
        <w:t>RESUMO DAS CARATERÍSTICAS DO MEDICAMENTO</w:t>
      </w:r>
    </w:p>
    <w:p w14:paraId="123017FE" w14:textId="77777777" w:rsidR="00011577" w:rsidRPr="002A54AF" w:rsidRDefault="00011577" w:rsidP="00011577">
      <w:pPr>
        <w:tabs>
          <w:tab w:val="left" w:pos="567"/>
        </w:tabs>
        <w:suppressAutoHyphens/>
        <w:rPr>
          <w:szCs w:val="22"/>
          <w:lang w:val="pt-PT"/>
        </w:rPr>
      </w:pPr>
    </w:p>
    <w:p w14:paraId="5A1528CA" w14:textId="77777777" w:rsidR="00011577" w:rsidRPr="002A54AF" w:rsidRDefault="00011577" w:rsidP="00011577">
      <w:pPr>
        <w:tabs>
          <w:tab w:val="left" w:pos="567"/>
        </w:tabs>
        <w:suppressAutoHyphens/>
        <w:rPr>
          <w:szCs w:val="22"/>
          <w:lang w:val="pt-PT"/>
        </w:rPr>
      </w:pPr>
    </w:p>
    <w:p w14:paraId="78CAAC17" w14:textId="77777777" w:rsidR="008C3642" w:rsidRDefault="00011577" w:rsidP="004215C2">
      <w:pPr>
        <w:pStyle w:val="11"/>
        <w:jc w:val="left"/>
      </w:pPr>
      <w:r w:rsidRPr="002A54AF">
        <w:br w:type="page"/>
      </w:r>
    </w:p>
    <w:p w14:paraId="1238DEFA" w14:textId="77777777" w:rsidR="00011577" w:rsidRPr="002A54AF" w:rsidRDefault="00011577" w:rsidP="004215C2">
      <w:pPr>
        <w:pStyle w:val="11"/>
        <w:jc w:val="left"/>
      </w:pPr>
      <w:r w:rsidRPr="002A54AF">
        <w:lastRenderedPageBreak/>
        <w:t>1.</w:t>
      </w:r>
      <w:r w:rsidRPr="002A54AF">
        <w:tab/>
        <w:t xml:space="preserve">NOME DO MEDICAMENTO </w:t>
      </w:r>
    </w:p>
    <w:p w14:paraId="2ACED099" w14:textId="77777777" w:rsidR="00011577" w:rsidRPr="002A54AF" w:rsidRDefault="00011577" w:rsidP="00011577">
      <w:pPr>
        <w:tabs>
          <w:tab w:val="left" w:pos="567"/>
        </w:tabs>
        <w:suppressAutoHyphens/>
        <w:rPr>
          <w:szCs w:val="22"/>
          <w:lang w:val="pt-PT"/>
        </w:rPr>
      </w:pPr>
    </w:p>
    <w:p w14:paraId="5B2544C3" w14:textId="77777777" w:rsidR="00011577" w:rsidRPr="002A54AF" w:rsidRDefault="00011577" w:rsidP="00011577">
      <w:pPr>
        <w:tabs>
          <w:tab w:val="left" w:pos="567"/>
        </w:tabs>
        <w:suppressAutoHyphens/>
        <w:rPr>
          <w:szCs w:val="22"/>
          <w:lang w:val="pt-PT"/>
        </w:rPr>
      </w:pPr>
      <w:r w:rsidRPr="002A54AF">
        <w:rPr>
          <w:szCs w:val="22"/>
          <w:lang w:val="pt-PT"/>
        </w:rPr>
        <w:t>Voriconazol Accord 50 mg comprimidos revestidos por película</w:t>
      </w:r>
    </w:p>
    <w:p w14:paraId="3FCBDC1C" w14:textId="77777777" w:rsidR="00011577" w:rsidRPr="002A54AF" w:rsidRDefault="00A25EDC" w:rsidP="00011577">
      <w:pPr>
        <w:tabs>
          <w:tab w:val="left" w:pos="567"/>
        </w:tabs>
        <w:suppressAutoHyphens/>
        <w:rPr>
          <w:szCs w:val="22"/>
          <w:lang w:val="pt-PT"/>
        </w:rPr>
      </w:pPr>
      <w:r w:rsidRPr="002A54AF">
        <w:rPr>
          <w:szCs w:val="22"/>
          <w:lang w:val="pt-PT"/>
        </w:rPr>
        <w:t>Voriconazol Accord 200 mg comprimidos revestidos por película</w:t>
      </w:r>
    </w:p>
    <w:p w14:paraId="0AC7EDE6" w14:textId="77777777" w:rsidR="00A25EDC" w:rsidRPr="002A54AF" w:rsidRDefault="00A25EDC" w:rsidP="00011577">
      <w:pPr>
        <w:tabs>
          <w:tab w:val="left" w:pos="567"/>
        </w:tabs>
        <w:suppressAutoHyphens/>
        <w:rPr>
          <w:szCs w:val="22"/>
          <w:lang w:val="pt-PT"/>
        </w:rPr>
      </w:pPr>
    </w:p>
    <w:p w14:paraId="32FE4E39" w14:textId="77777777" w:rsidR="00011577" w:rsidRPr="002A54AF" w:rsidRDefault="00011577" w:rsidP="00011577">
      <w:pPr>
        <w:tabs>
          <w:tab w:val="left" w:pos="567"/>
        </w:tabs>
        <w:suppressAutoHyphens/>
        <w:rPr>
          <w:szCs w:val="22"/>
          <w:lang w:val="pt-PT"/>
        </w:rPr>
      </w:pPr>
    </w:p>
    <w:p w14:paraId="610BA6FD" w14:textId="77777777" w:rsidR="00011577" w:rsidRPr="002A54AF" w:rsidRDefault="00011577" w:rsidP="00011577">
      <w:pPr>
        <w:tabs>
          <w:tab w:val="left" w:pos="567"/>
        </w:tabs>
        <w:suppressAutoHyphens/>
        <w:rPr>
          <w:szCs w:val="22"/>
          <w:lang w:val="pt-PT"/>
        </w:rPr>
      </w:pPr>
      <w:r w:rsidRPr="002A54AF">
        <w:rPr>
          <w:b/>
          <w:szCs w:val="22"/>
          <w:lang w:val="pt-PT"/>
        </w:rPr>
        <w:t>2.</w:t>
      </w:r>
      <w:r w:rsidRPr="002A54AF">
        <w:rPr>
          <w:b/>
          <w:szCs w:val="22"/>
          <w:lang w:val="pt-PT"/>
        </w:rPr>
        <w:tab/>
        <w:t>COMPOSIÇÃO QUALITATIVA E QUANTITATIVA</w:t>
      </w:r>
    </w:p>
    <w:p w14:paraId="1712204A" w14:textId="77777777" w:rsidR="00011577" w:rsidRPr="002A54AF" w:rsidRDefault="00011577" w:rsidP="00011577">
      <w:pPr>
        <w:tabs>
          <w:tab w:val="left" w:pos="3668"/>
        </w:tabs>
        <w:suppressAutoHyphens/>
        <w:jc w:val="center"/>
        <w:rPr>
          <w:szCs w:val="22"/>
          <w:lang w:val="pt-PT"/>
        </w:rPr>
      </w:pPr>
    </w:p>
    <w:p w14:paraId="2D6D6B56" w14:textId="77777777" w:rsidR="00EC0BF5" w:rsidRPr="00266D2D" w:rsidRDefault="00EC0BF5" w:rsidP="00EC0BF5">
      <w:pPr>
        <w:tabs>
          <w:tab w:val="left" w:pos="567"/>
        </w:tabs>
        <w:suppressAutoHyphens/>
        <w:rPr>
          <w:szCs w:val="22"/>
          <w:u w:val="single"/>
          <w:lang w:val="pt-PT"/>
        </w:rPr>
      </w:pPr>
      <w:r w:rsidRPr="00266D2D">
        <w:rPr>
          <w:szCs w:val="22"/>
          <w:u w:val="single"/>
          <w:lang w:val="pt-PT"/>
        </w:rPr>
        <w:t>Voriconazol Accord 50 mg comprimidos revestidos por película</w:t>
      </w:r>
    </w:p>
    <w:p w14:paraId="59BB7B69" w14:textId="77777777" w:rsidR="00011577" w:rsidRPr="002A54AF" w:rsidRDefault="00011577" w:rsidP="00011577">
      <w:pPr>
        <w:tabs>
          <w:tab w:val="left" w:pos="567"/>
        </w:tabs>
        <w:suppressAutoHyphens/>
        <w:rPr>
          <w:szCs w:val="22"/>
          <w:lang w:val="pt-PT"/>
        </w:rPr>
      </w:pPr>
      <w:r w:rsidRPr="002A54AF">
        <w:rPr>
          <w:szCs w:val="22"/>
          <w:lang w:val="pt-PT"/>
        </w:rPr>
        <w:t>Cada comprimido contém 50 mg de voriconazol.</w:t>
      </w:r>
    </w:p>
    <w:p w14:paraId="087A5BB1" w14:textId="77777777" w:rsidR="00011577" w:rsidRPr="002A54AF" w:rsidRDefault="00011577" w:rsidP="00011577">
      <w:pPr>
        <w:tabs>
          <w:tab w:val="left" w:pos="567"/>
        </w:tabs>
        <w:suppressAutoHyphens/>
        <w:rPr>
          <w:szCs w:val="22"/>
          <w:lang w:val="pt-PT"/>
        </w:rPr>
      </w:pPr>
    </w:p>
    <w:p w14:paraId="591C4208" w14:textId="77777777" w:rsidR="00A25EDC" w:rsidRPr="00266D2D" w:rsidRDefault="00011577" w:rsidP="00011577">
      <w:pPr>
        <w:tabs>
          <w:tab w:val="left" w:pos="567"/>
        </w:tabs>
        <w:suppressAutoHyphens/>
        <w:rPr>
          <w:szCs w:val="22"/>
          <w:u w:val="single"/>
          <w:lang w:val="pt-PT"/>
        </w:rPr>
      </w:pPr>
      <w:r w:rsidRPr="00266D2D">
        <w:rPr>
          <w:szCs w:val="22"/>
          <w:u w:val="single"/>
          <w:lang w:val="pt-PT"/>
        </w:rPr>
        <w:t>Excipiente com efeito conhecido</w:t>
      </w:r>
    </w:p>
    <w:p w14:paraId="2C1E179B" w14:textId="77777777" w:rsidR="00011577" w:rsidRPr="002A54AF" w:rsidRDefault="00A25EDC" w:rsidP="00011577">
      <w:pPr>
        <w:tabs>
          <w:tab w:val="left" w:pos="567"/>
        </w:tabs>
        <w:suppressAutoHyphens/>
        <w:rPr>
          <w:szCs w:val="22"/>
          <w:lang w:val="pt-PT"/>
        </w:rPr>
      </w:pPr>
      <w:r w:rsidRPr="002A54AF">
        <w:rPr>
          <w:szCs w:val="22"/>
          <w:lang w:val="pt-PT"/>
        </w:rPr>
        <w:t>C</w:t>
      </w:r>
      <w:r w:rsidR="00011577" w:rsidRPr="002A54AF">
        <w:rPr>
          <w:szCs w:val="22"/>
          <w:lang w:val="pt-PT"/>
        </w:rPr>
        <w:t>ada comprimido contém 63 mg de lactose (sob a forma mono-hidratada).</w:t>
      </w:r>
    </w:p>
    <w:p w14:paraId="197C61F7" w14:textId="77777777" w:rsidR="00011577" w:rsidRPr="002A54AF" w:rsidRDefault="00011577" w:rsidP="00011577">
      <w:pPr>
        <w:tabs>
          <w:tab w:val="left" w:pos="567"/>
        </w:tabs>
        <w:suppressAutoHyphens/>
        <w:rPr>
          <w:szCs w:val="22"/>
          <w:lang w:val="pt-PT"/>
        </w:rPr>
      </w:pPr>
    </w:p>
    <w:p w14:paraId="53C6ED3D" w14:textId="77777777" w:rsidR="00A25EDC" w:rsidRPr="00266D2D" w:rsidRDefault="00313D53" w:rsidP="00A25EDC">
      <w:pPr>
        <w:tabs>
          <w:tab w:val="left" w:pos="567"/>
        </w:tabs>
        <w:suppressAutoHyphens/>
        <w:rPr>
          <w:szCs w:val="22"/>
          <w:u w:val="single"/>
          <w:lang w:val="pt-PT"/>
        </w:rPr>
      </w:pPr>
      <w:r w:rsidRPr="00266D2D">
        <w:rPr>
          <w:szCs w:val="22"/>
          <w:u w:val="single"/>
          <w:lang w:val="pt-PT"/>
        </w:rPr>
        <w:t>Voriconazol</w:t>
      </w:r>
      <w:r w:rsidR="00A25EDC" w:rsidRPr="00266D2D">
        <w:rPr>
          <w:szCs w:val="22"/>
          <w:u w:val="single"/>
          <w:lang w:val="pt-PT"/>
        </w:rPr>
        <w:t xml:space="preserve"> </w:t>
      </w:r>
      <w:r w:rsidR="00F33970" w:rsidRPr="00266D2D">
        <w:rPr>
          <w:szCs w:val="22"/>
          <w:u w:val="single"/>
          <w:lang w:val="pt-PT"/>
        </w:rPr>
        <w:t xml:space="preserve">Accord </w:t>
      </w:r>
      <w:r w:rsidR="00A25EDC" w:rsidRPr="00266D2D">
        <w:rPr>
          <w:szCs w:val="22"/>
          <w:u w:val="single"/>
          <w:lang w:val="pt-PT"/>
        </w:rPr>
        <w:t>200 mg comprimidos revestidos por película</w:t>
      </w:r>
    </w:p>
    <w:p w14:paraId="118812F5" w14:textId="77777777" w:rsidR="00EC0BF5" w:rsidRPr="002A54AF" w:rsidRDefault="00EC0BF5" w:rsidP="00EC0BF5">
      <w:pPr>
        <w:tabs>
          <w:tab w:val="left" w:pos="567"/>
        </w:tabs>
        <w:suppressAutoHyphens/>
        <w:rPr>
          <w:szCs w:val="22"/>
          <w:lang w:val="pt-PT"/>
        </w:rPr>
      </w:pPr>
      <w:r w:rsidRPr="002A54AF">
        <w:rPr>
          <w:szCs w:val="22"/>
          <w:lang w:val="pt-PT"/>
        </w:rPr>
        <w:t>Cada comprimido contém 200 mg de voriconazol.</w:t>
      </w:r>
    </w:p>
    <w:p w14:paraId="2C4BF3A8" w14:textId="77777777" w:rsidR="00EC0BF5" w:rsidRDefault="00EC0BF5" w:rsidP="00A25EDC">
      <w:pPr>
        <w:tabs>
          <w:tab w:val="left" w:pos="567"/>
        </w:tabs>
        <w:suppressAutoHyphens/>
        <w:rPr>
          <w:szCs w:val="22"/>
          <w:lang w:val="pt-PT"/>
        </w:rPr>
      </w:pPr>
    </w:p>
    <w:p w14:paraId="78CF45C6" w14:textId="77777777" w:rsidR="00EC0BF5" w:rsidRPr="00266D2D" w:rsidRDefault="00EC0BF5" w:rsidP="00EC0BF5">
      <w:pPr>
        <w:tabs>
          <w:tab w:val="left" w:pos="567"/>
        </w:tabs>
        <w:suppressAutoHyphens/>
        <w:rPr>
          <w:szCs w:val="22"/>
          <w:u w:val="single"/>
          <w:lang w:val="pt-PT"/>
        </w:rPr>
      </w:pPr>
      <w:r w:rsidRPr="00266D2D">
        <w:rPr>
          <w:szCs w:val="22"/>
          <w:u w:val="single"/>
          <w:lang w:val="pt-PT"/>
        </w:rPr>
        <w:t>Excipiente com efeito conhecido</w:t>
      </w:r>
    </w:p>
    <w:p w14:paraId="42B4C3A7" w14:textId="77777777" w:rsidR="00A25EDC" w:rsidRPr="002A54AF" w:rsidRDefault="00A25EDC" w:rsidP="00A25EDC">
      <w:pPr>
        <w:tabs>
          <w:tab w:val="left" w:pos="567"/>
        </w:tabs>
        <w:suppressAutoHyphens/>
        <w:rPr>
          <w:szCs w:val="22"/>
          <w:lang w:val="pt-PT"/>
        </w:rPr>
      </w:pPr>
      <w:r w:rsidRPr="002A54AF">
        <w:rPr>
          <w:szCs w:val="22"/>
          <w:lang w:val="pt-PT"/>
        </w:rPr>
        <w:t>Cada comprimido contém 251 mg de lactose (sob a forma mono-hidratada).</w:t>
      </w:r>
    </w:p>
    <w:p w14:paraId="2BC2A7EC" w14:textId="77777777" w:rsidR="00A25EDC" w:rsidRPr="002A54AF" w:rsidRDefault="00A25EDC" w:rsidP="00011577">
      <w:pPr>
        <w:tabs>
          <w:tab w:val="left" w:pos="567"/>
        </w:tabs>
        <w:suppressAutoHyphens/>
        <w:rPr>
          <w:szCs w:val="22"/>
          <w:lang w:val="pt-PT"/>
        </w:rPr>
      </w:pPr>
    </w:p>
    <w:p w14:paraId="65B0E2CC" w14:textId="77777777" w:rsidR="00011577" w:rsidRPr="002A54AF" w:rsidRDefault="00011577" w:rsidP="00011577">
      <w:pPr>
        <w:tabs>
          <w:tab w:val="left" w:pos="567"/>
        </w:tabs>
        <w:suppressAutoHyphens/>
        <w:rPr>
          <w:szCs w:val="22"/>
          <w:lang w:val="pt-PT"/>
        </w:rPr>
      </w:pPr>
      <w:r w:rsidRPr="002A54AF">
        <w:rPr>
          <w:szCs w:val="22"/>
          <w:lang w:val="pt-PT"/>
        </w:rPr>
        <w:t>Lista completa de excipientes, ver secção 6.1.</w:t>
      </w:r>
    </w:p>
    <w:p w14:paraId="4DF992B0" w14:textId="77777777" w:rsidR="00011577" w:rsidRPr="002A54AF" w:rsidRDefault="00011577" w:rsidP="00011577">
      <w:pPr>
        <w:tabs>
          <w:tab w:val="left" w:pos="567"/>
        </w:tabs>
        <w:suppressAutoHyphens/>
        <w:rPr>
          <w:szCs w:val="22"/>
          <w:lang w:val="pt-PT"/>
        </w:rPr>
      </w:pPr>
    </w:p>
    <w:p w14:paraId="7A7D36F6" w14:textId="77777777" w:rsidR="00011577" w:rsidRPr="002A54AF" w:rsidRDefault="00011577" w:rsidP="00011577">
      <w:pPr>
        <w:tabs>
          <w:tab w:val="left" w:pos="567"/>
        </w:tabs>
        <w:suppressAutoHyphens/>
        <w:rPr>
          <w:szCs w:val="22"/>
          <w:lang w:val="pt-PT"/>
        </w:rPr>
      </w:pPr>
    </w:p>
    <w:p w14:paraId="30B27115" w14:textId="77777777" w:rsidR="00011577" w:rsidRPr="002A54AF" w:rsidRDefault="00011577" w:rsidP="00011577">
      <w:pPr>
        <w:tabs>
          <w:tab w:val="left" w:pos="567"/>
        </w:tabs>
        <w:suppressAutoHyphens/>
        <w:rPr>
          <w:szCs w:val="22"/>
          <w:lang w:val="pt-PT"/>
        </w:rPr>
      </w:pPr>
      <w:r w:rsidRPr="002A54AF">
        <w:rPr>
          <w:b/>
          <w:szCs w:val="22"/>
          <w:lang w:val="pt-PT"/>
        </w:rPr>
        <w:t>3.</w:t>
      </w:r>
      <w:r w:rsidRPr="002A54AF">
        <w:rPr>
          <w:b/>
          <w:szCs w:val="22"/>
          <w:lang w:val="pt-PT"/>
        </w:rPr>
        <w:tab/>
        <w:t>FORMA FARMACÊUTICA</w:t>
      </w:r>
    </w:p>
    <w:p w14:paraId="48A8F3E4" w14:textId="77777777" w:rsidR="00011577" w:rsidRPr="002A54AF" w:rsidRDefault="00011577" w:rsidP="00011577">
      <w:pPr>
        <w:tabs>
          <w:tab w:val="left" w:pos="567"/>
        </w:tabs>
        <w:suppressAutoHyphens/>
        <w:rPr>
          <w:szCs w:val="22"/>
          <w:lang w:val="pt-PT"/>
        </w:rPr>
      </w:pPr>
    </w:p>
    <w:p w14:paraId="14A153B0" w14:textId="77777777" w:rsidR="00A25EDC" w:rsidRDefault="00313D53" w:rsidP="00011577">
      <w:pPr>
        <w:tabs>
          <w:tab w:val="left" w:pos="567"/>
        </w:tabs>
        <w:suppressAutoHyphens/>
        <w:rPr>
          <w:szCs w:val="22"/>
          <w:u w:val="single"/>
          <w:lang w:val="pt-PT"/>
        </w:rPr>
      </w:pPr>
      <w:r w:rsidRPr="00266D2D">
        <w:rPr>
          <w:szCs w:val="22"/>
          <w:u w:val="single"/>
          <w:lang w:val="pt-PT"/>
        </w:rPr>
        <w:t xml:space="preserve">Voriconazol </w:t>
      </w:r>
      <w:r w:rsidR="00F33970" w:rsidRPr="00266D2D">
        <w:rPr>
          <w:szCs w:val="22"/>
          <w:u w:val="single"/>
          <w:lang w:val="pt-PT"/>
        </w:rPr>
        <w:t xml:space="preserve">Accord </w:t>
      </w:r>
      <w:r w:rsidR="00A25EDC" w:rsidRPr="00266D2D">
        <w:rPr>
          <w:szCs w:val="22"/>
          <w:u w:val="single"/>
          <w:lang w:val="pt-PT"/>
        </w:rPr>
        <w:t>50 mg comprimidos revestidos por película</w:t>
      </w:r>
    </w:p>
    <w:p w14:paraId="0C1442F5" w14:textId="77777777" w:rsidR="00EC0BF5" w:rsidRPr="00266D2D" w:rsidRDefault="00EC0BF5" w:rsidP="00011577">
      <w:pPr>
        <w:tabs>
          <w:tab w:val="left" w:pos="567"/>
        </w:tabs>
        <w:suppressAutoHyphens/>
        <w:rPr>
          <w:szCs w:val="22"/>
          <w:u w:val="single"/>
          <w:lang w:val="pt-PT"/>
        </w:rPr>
      </w:pPr>
    </w:p>
    <w:p w14:paraId="00597771" w14:textId="77777777" w:rsidR="00011577" w:rsidRPr="002A54AF" w:rsidRDefault="00011577" w:rsidP="00011577">
      <w:pPr>
        <w:tabs>
          <w:tab w:val="left" w:pos="567"/>
        </w:tabs>
        <w:suppressAutoHyphens/>
        <w:rPr>
          <w:szCs w:val="22"/>
          <w:lang w:val="pt-PT"/>
        </w:rPr>
      </w:pPr>
      <w:r w:rsidRPr="002A54AF">
        <w:rPr>
          <w:szCs w:val="22"/>
          <w:lang w:val="pt-PT"/>
        </w:rPr>
        <w:t>Comprimidos revestidos por película</w:t>
      </w:r>
      <w:r w:rsidR="00BC09FA" w:rsidRPr="002A54AF">
        <w:rPr>
          <w:szCs w:val="22"/>
          <w:lang w:val="pt-PT"/>
        </w:rPr>
        <w:t xml:space="preserve"> </w:t>
      </w:r>
      <w:r w:rsidRPr="002A54AF">
        <w:rPr>
          <w:szCs w:val="22"/>
          <w:lang w:val="pt-PT"/>
        </w:rPr>
        <w:t>brancos a esbranquiçados, redondos</w:t>
      </w:r>
      <w:r w:rsidR="00313D53" w:rsidRPr="002A54AF">
        <w:rPr>
          <w:szCs w:val="22"/>
          <w:lang w:val="pt-PT"/>
        </w:rPr>
        <w:t>,</w:t>
      </w:r>
      <w:r w:rsidRPr="002A54AF">
        <w:rPr>
          <w:szCs w:val="22"/>
          <w:lang w:val="pt-PT"/>
        </w:rPr>
        <w:t xml:space="preserve"> com aproximadamente 7,0 mm de diâmetro, marcados com “V50” numa das faces e lisos na outra face.</w:t>
      </w:r>
    </w:p>
    <w:p w14:paraId="0347D3A4" w14:textId="77777777" w:rsidR="00011577" w:rsidRPr="002A54AF" w:rsidRDefault="00011577" w:rsidP="00011577">
      <w:pPr>
        <w:tabs>
          <w:tab w:val="left" w:pos="567"/>
        </w:tabs>
        <w:suppressAutoHyphens/>
        <w:rPr>
          <w:szCs w:val="22"/>
          <w:lang w:val="pt-PT"/>
        </w:rPr>
      </w:pPr>
    </w:p>
    <w:p w14:paraId="758EE6C9" w14:textId="77777777" w:rsidR="00A25EDC" w:rsidRDefault="00A25EDC" w:rsidP="00A25EDC">
      <w:pPr>
        <w:tabs>
          <w:tab w:val="left" w:pos="567"/>
        </w:tabs>
        <w:suppressAutoHyphens/>
        <w:rPr>
          <w:szCs w:val="22"/>
          <w:u w:val="single"/>
          <w:lang w:val="pt-PT"/>
        </w:rPr>
      </w:pPr>
      <w:r w:rsidRPr="00266D2D">
        <w:rPr>
          <w:szCs w:val="22"/>
          <w:u w:val="single"/>
          <w:lang w:val="pt-PT"/>
        </w:rPr>
        <w:t xml:space="preserve">Voriconazol </w:t>
      </w:r>
      <w:r w:rsidR="00F33970" w:rsidRPr="00266D2D">
        <w:rPr>
          <w:szCs w:val="22"/>
          <w:u w:val="single"/>
          <w:lang w:val="pt-PT"/>
        </w:rPr>
        <w:t xml:space="preserve">Accord </w:t>
      </w:r>
      <w:r w:rsidRPr="00266D2D">
        <w:rPr>
          <w:szCs w:val="22"/>
          <w:u w:val="single"/>
          <w:lang w:val="pt-PT"/>
        </w:rPr>
        <w:t>200 mg comprimidos revestidos por película</w:t>
      </w:r>
    </w:p>
    <w:p w14:paraId="06389BAE" w14:textId="77777777" w:rsidR="00EC0BF5" w:rsidRPr="00266D2D" w:rsidRDefault="00EC0BF5" w:rsidP="00A25EDC">
      <w:pPr>
        <w:tabs>
          <w:tab w:val="left" w:pos="567"/>
        </w:tabs>
        <w:suppressAutoHyphens/>
        <w:rPr>
          <w:szCs w:val="22"/>
          <w:u w:val="single"/>
          <w:lang w:val="pt-PT"/>
        </w:rPr>
      </w:pPr>
    </w:p>
    <w:p w14:paraId="44B920C7" w14:textId="77777777" w:rsidR="00A25EDC" w:rsidRPr="002A54AF" w:rsidRDefault="00A25EDC" w:rsidP="00A25EDC">
      <w:pPr>
        <w:tabs>
          <w:tab w:val="left" w:pos="567"/>
        </w:tabs>
        <w:suppressAutoHyphens/>
        <w:rPr>
          <w:szCs w:val="22"/>
          <w:lang w:val="pt-PT"/>
        </w:rPr>
      </w:pPr>
      <w:r w:rsidRPr="002A54AF">
        <w:rPr>
          <w:szCs w:val="22"/>
          <w:lang w:val="pt-PT"/>
        </w:rPr>
        <w:t>Comprimidos revestidos por película brancos a esbranquiçados, ovais</w:t>
      </w:r>
      <w:r w:rsidR="00313D53" w:rsidRPr="002A54AF">
        <w:rPr>
          <w:szCs w:val="22"/>
          <w:lang w:val="pt-PT"/>
        </w:rPr>
        <w:t>,</w:t>
      </w:r>
      <w:r w:rsidRPr="002A54AF">
        <w:rPr>
          <w:szCs w:val="22"/>
          <w:lang w:val="pt-PT"/>
        </w:rPr>
        <w:t xml:space="preserve"> com aproximadamente 15,6 mm de comprimento e 7,8 mm de largura, marcados com “V200” numa das faces e lisos na outra face.</w:t>
      </w:r>
    </w:p>
    <w:p w14:paraId="0D2B3F79" w14:textId="77777777" w:rsidR="00A25EDC" w:rsidRPr="002A54AF" w:rsidRDefault="00A25EDC" w:rsidP="00011577">
      <w:pPr>
        <w:tabs>
          <w:tab w:val="left" w:pos="567"/>
        </w:tabs>
        <w:suppressAutoHyphens/>
        <w:rPr>
          <w:szCs w:val="22"/>
          <w:lang w:val="pt-PT"/>
        </w:rPr>
      </w:pPr>
    </w:p>
    <w:p w14:paraId="4F2EBBE1" w14:textId="77777777" w:rsidR="00011577" w:rsidRPr="002A54AF" w:rsidRDefault="00011577" w:rsidP="00011577">
      <w:pPr>
        <w:tabs>
          <w:tab w:val="left" w:pos="567"/>
        </w:tabs>
        <w:suppressAutoHyphens/>
        <w:rPr>
          <w:szCs w:val="22"/>
          <w:lang w:val="pt-PT"/>
        </w:rPr>
      </w:pPr>
    </w:p>
    <w:p w14:paraId="4EEA860C" w14:textId="77777777" w:rsidR="00011577" w:rsidRPr="002A54AF" w:rsidRDefault="00011577" w:rsidP="00011577">
      <w:pPr>
        <w:tabs>
          <w:tab w:val="left" w:pos="567"/>
        </w:tabs>
        <w:suppressAutoHyphens/>
        <w:rPr>
          <w:szCs w:val="22"/>
          <w:lang w:val="pt-PT"/>
        </w:rPr>
      </w:pPr>
      <w:r w:rsidRPr="002A54AF">
        <w:rPr>
          <w:b/>
          <w:szCs w:val="22"/>
          <w:lang w:val="pt-PT"/>
        </w:rPr>
        <w:t>4.</w:t>
      </w:r>
      <w:r w:rsidRPr="002A54AF">
        <w:rPr>
          <w:b/>
          <w:szCs w:val="22"/>
          <w:lang w:val="pt-PT"/>
        </w:rPr>
        <w:tab/>
        <w:t>INFORMAÇÕES CLÍNICAS</w:t>
      </w:r>
    </w:p>
    <w:p w14:paraId="16255600" w14:textId="77777777" w:rsidR="00011577" w:rsidRPr="002A54AF" w:rsidRDefault="00011577" w:rsidP="00011577">
      <w:pPr>
        <w:tabs>
          <w:tab w:val="left" w:pos="567"/>
        </w:tabs>
        <w:suppressAutoHyphens/>
        <w:rPr>
          <w:szCs w:val="22"/>
          <w:lang w:val="pt-PT"/>
        </w:rPr>
      </w:pPr>
    </w:p>
    <w:p w14:paraId="3160F719" w14:textId="77777777" w:rsidR="00011577" w:rsidRPr="002A54AF" w:rsidRDefault="00011577" w:rsidP="00011577">
      <w:pPr>
        <w:tabs>
          <w:tab w:val="left" w:pos="567"/>
        </w:tabs>
        <w:suppressAutoHyphens/>
        <w:rPr>
          <w:szCs w:val="22"/>
          <w:lang w:val="pt-PT"/>
        </w:rPr>
      </w:pPr>
      <w:r w:rsidRPr="002A54AF">
        <w:rPr>
          <w:b/>
          <w:szCs w:val="22"/>
          <w:lang w:val="pt-PT"/>
        </w:rPr>
        <w:t>4.1</w:t>
      </w:r>
      <w:r w:rsidRPr="002A54AF">
        <w:rPr>
          <w:b/>
          <w:szCs w:val="22"/>
          <w:lang w:val="pt-PT"/>
        </w:rPr>
        <w:tab/>
        <w:t>Indicações terapêuticas</w:t>
      </w:r>
    </w:p>
    <w:p w14:paraId="6FF43D4A" w14:textId="77777777" w:rsidR="00011577" w:rsidRPr="002A54AF" w:rsidRDefault="00011577" w:rsidP="00011577">
      <w:pPr>
        <w:tabs>
          <w:tab w:val="left" w:pos="567"/>
        </w:tabs>
        <w:suppressAutoHyphens/>
        <w:rPr>
          <w:szCs w:val="22"/>
          <w:lang w:val="pt-PT"/>
        </w:rPr>
      </w:pPr>
    </w:p>
    <w:p w14:paraId="07E03D77" w14:textId="77777777" w:rsidR="00011577" w:rsidRPr="002A54AF" w:rsidRDefault="00011577" w:rsidP="00011577">
      <w:pPr>
        <w:tabs>
          <w:tab w:val="left" w:pos="567"/>
        </w:tabs>
        <w:suppressAutoHyphens/>
        <w:rPr>
          <w:szCs w:val="22"/>
          <w:lang w:val="pt-PT"/>
        </w:rPr>
      </w:pPr>
      <w:r w:rsidRPr="002A54AF">
        <w:rPr>
          <w:szCs w:val="22"/>
          <w:lang w:val="pt-PT"/>
        </w:rPr>
        <w:t>Voriconazol</w:t>
      </w:r>
      <w:r w:rsidR="00BB1603" w:rsidRPr="002A54AF">
        <w:rPr>
          <w:szCs w:val="22"/>
          <w:lang w:val="pt-PT"/>
        </w:rPr>
        <w:t xml:space="preserve"> Accord</w:t>
      </w:r>
      <w:r w:rsidRPr="002A54AF">
        <w:rPr>
          <w:szCs w:val="22"/>
          <w:lang w:val="pt-PT"/>
        </w:rPr>
        <w:t>, é um agente antifúngico triazólico de largo espectro e está indicado em adultos e crianças com 2</w:t>
      </w:r>
      <w:r w:rsidR="0020636B" w:rsidRPr="002A54AF">
        <w:rPr>
          <w:szCs w:val="22"/>
          <w:lang w:val="pt-PT"/>
        </w:rPr>
        <w:t> </w:t>
      </w:r>
      <w:r w:rsidRPr="002A54AF">
        <w:rPr>
          <w:szCs w:val="22"/>
          <w:lang w:val="pt-PT"/>
        </w:rPr>
        <w:t>anos ou mais para:</w:t>
      </w:r>
    </w:p>
    <w:p w14:paraId="40A2C231" w14:textId="77777777" w:rsidR="00011577" w:rsidRPr="002A54AF" w:rsidRDefault="00011577" w:rsidP="00011577">
      <w:pPr>
        <w:tabs>
          <w:tab w:val="left" w:pos="567"/>
        </w:tabs>
        <w:suppressAutoHyphens/>
        <w:rPr>
          <w:szCs w:val="22"/>
          <w:lang w:val="pt-PT"/>
        </w:rPr>
      </w:pPr>
    </w:p>
    <w:p w14:paraId="3F00A1F9" w14:textId="77777777" w:rsidR="00011577" w:rsidRPr="002A54AF" w:rsidRDefault="00011577" w:rsidP="00011577">
      <w:pPr>
        <w:pStyle w:val="BodyText2"/>
        <w:tabs>
          <w:tab w:val="left" w:pos="567"/>
        </w:tabs>
        <w:rPr>
          <w:bCs/>
          <w:szCs w:val="22"/>
        </w:rPr>
      </w:pPr>
      <w:r w:rsidRPr="002A54AF">
        <w:rPr>
          <w:bCs/>
          <w:szCs w:val="22"/>
        </w:rPr>
        <w:t>Tratamento da aspergilose invasiva.</w:t>
      </w:r>
    </w:p>
    <w:p w14:paraId="1652B4F0" w14:textId="77777777" w:rsidR="00011577" w:rsidRPr="002A54AF" w:rsidRDefault="00011577" w:rsidP="00011577">
      <w:pPr>
        <w:pStyle w:val="BodyText2"/>
        <w:tabs>
          <w:tab w:val="left" w:pos="567"/>
        </w:tabs>
        <w:rPr>
          <w:bCs/>
          <w:szCs w:val="22"/>
        </w:rPr>
      </w:pPr>
    </w:p>
    <w:p w14:paraId="7DF408BE" w14:textId="77777777" w:rsidR="00011577" w:rsidRPr="002A54AF" w:rsidRDefault="00011577" w:rsidP="00011577">
      <w:pPr>
        <w:pStyle w:val="BodyText2"/>
        <w:tabs>
          <w:tab w:val="left" w:pos="567"/>
        </w:tabs>
        <w:rPr>
          <w:bCs/>
          <w:szCs w:val="22"/>
        </w:rPr>
      </w:pPr>
      <w:r w:rsidRPr="002A54AF">
        <w:rPr>
          <w:bCs/>
          <w:szCs w:val="22"/>
        </w:rPr>
        <w:t>Tratamento da candidemia em doentes não neutropénicos.</w:t>
      </w:r>
    </w:p>
    <w:p w14:paraId="16004BA6" w14:textId="77777777" w:rsidR="00011577" w:rsidRPr="002A54AF" w:rsidRDefault="00011577" w:rsidP="00011577">
      <w:pPr>
        <w:tabs>
          <w:tab w:val="left" w:pos="567"/>
        </w:tabs>
        <w:suppressAutoHyphens/>
        <w:rPr>
          <w:szCs w:val="22"/>
          <w:lang w:val="pt-PT"/>
        </w:rPr>
      </w:pPr>
    </w:p>
    <w:p w14:paraId="2462E511" w14:textId="77777777" w:rsidR="00011577" w:rsidRPr="002A54AF" w:rsidRDefault="00011577" w:rsidP="00011577">
      <w:pPr>
        <w:tabs>
          <w:tab w:val="left" w:pos="567"/>
        </w:tabs>
        <w:suppressAutoHyphens/>
        <w:rPr>
          <w:szCs w:val="22"/>
          <w:lang w:val="pt-PT"/>
        </w:rPr>
      </w:pPr>
      <w:r w:rsidRPr="002A54AF">
        <w:rPr>
          <w:szCs w:val="22"/>
          <w:lang w:val="pt-PT"/>
        </w:rPr>
        <w:t xml:space="preserve">Tratamento de infeções invasivas graves por </w:t>
      </w:r>
      <w:r w:rsidRPr="002A54AF">
        <w:rPr>
          <w:i/>
          <w:szCs w:val="22"/>
          <w:lang w:val="pt-PT"/>
        </w:rPr>
        <w:t>Candida</w:t>
      </w:r>
      <w:r w:rsidRPr="002A54AF">
        <w:rPr>
          <w:szCs w:val="22"/>
          <w:lang w:val="pt-PT"/>
        </w:rPr>
        <w:t xml:space="preserve"> spp. resistentes ao fluconazol (incluindo </w:t>
      </w:r>
      <w:r w:rsidRPr="002A54AF">
        <w:rPr>
          <w:i/>
          <w:szCs w:val="22"/>
          <w:lang w:val="pt-PT"/>
        </w:rPr>
        <w:t>C. krusei).</w:t>
      </w:r>
    </w:p>
    <w:p w14:paraId="00FA74C7" w14:textId="77777777" w:rsidR="00011577" w:rsidRPr="002A54AF" w:rsidRDefault="00011577" w:rsidP="00011577">
      <w:pPr>
        <w:tabs>
          <w:tab w:val="left" w:pos="567"/>
        </w:tabs>
        <w:suppressAutoHyphens/>
        <w:rPr>
          <w:szCs w:val="22"/>
          <w:lang w:val="pt-PT"/>
        </w:rPr>
      </w:pPr>
    </w:p>
    <w:p w14:paraId="235EA13B" w14:textId="77777777" w:rsidR="00011577" w:rsidRPr="002A54AF" w:rsidRDefault="00011577" w:rsidP="00011577">
      <w:pPr>
        <w:tabs>
          <w:tab w:val="left" w:pos="567"/>
        </w:tabs>
        <w:suppressAutoHyphens/>
        <w:rPr>
          <w:szCs w:val="22"/>
          <w:lang w:val="pt-PT"/>
        </w:rPr>
      </w:pPr>
      <w:r w:rsidRPr="002A54AF">
        <w:rPr>
          <w:szCs w:val="22"/>
          <w:lang w:val="pt-PT"/>
        </w:rPr>
        <w:t xml:space="preserve">Tratamento de infeções fúngicas graves por </w:t>
      </w:r>
      <w:r w:rsidRPr="002A54AF">
        <w:rPr>
          <w:i/>
          <w:szCs w:val="22"/>
          <w:lang w:val="pt-PT"/>
        </w:rPr>
        <w:t>Scedosporium</w:t>
      </w:r>
      <w:r w:rsidRPr="002A54AF">
        <w:rPr>
          <w:szCs w:val="22"/>
          <w:lang w:val="pt-PT"/>
        </w:rPr>
        <w:t xml:space="preserve"> spp. e </w:t>
      </w:r>
      <w:r w:rsidRPr="002A54AF">
        <w:rPr>
          <w:i/>
          <w:szCs w:val="22"/>
          <w:lang w:val="pt-PT"/>
        </w:rPr>
        <w:t xml:space="preserve">Fusarium </w:t>
      </w:r>
      <w:r w:rsidRPr="002A54AF">
        <w:rPr>
          <w:szCs w:val="22"/>
          <w:lang w:val="pt-PT"/>
        </w:rPr>
        <w:t>spp.</w:t>
      </w:r>
    </w:p>
    <w:p w14:paraId="005C0AFD" w14:textId="77777777" w:rsidR="00011577" w:rsidRPr="002A54AF" w:rsidRDefault="00011577" w:rsidP="00011577">
      <w:pPr>
        <w:tabs>
          <w:tab w:val="left" w:pos="567"/>
        </w:tabs>
        <w:suppressAutoHyphens/>
        <w:rPr>
          <w:szCs w:val="22"/>
          <w:lang w:val="pt-PT"/>
        </w:rPr>
      </w:pPr>
    </w:p>
    <w:p w14:paraId="661E2D83" w14:textId="77777777" w:rsidR="00011577" w:rsidRPr="002A54AF" w:rsidRDefault="00011577" w:rsidP="00011577">
      <w:pPr>
        <w:tabs>
          <w:tab w:val="left" w:pos="567"/>
        </w:tabs>
        <w:suppressAutoHyphens/>
        <w:rPr>
          <w:szCs w:val="22"/>
          <w:lang w:val="pt-PT"/>
        </w:rPr>
      </w:pPr>
      <w:r w:rsidRPr="002A54AF">
        <w:rPr>
          <w:szCs w:val="22"/>
          <w:lang w:val="pt-PT"/>
        </w:rPr>
        <w:t>Voriconazol Accord deverá ser administrado principalmente a doentes com infeções progressivas e passíveis de causar a morte.</w:t>
      </w:r>
    </w:p>
    <w:p w14:paraId="2EC4F97C" w14:textId="77777777" w:rsidR="00011577" w:rsidRPr="002A54AF" w:rsidRDefault="00011577" w:rsidP="00011577">
      <w:pPr>
        <w:tabs>
          <w:tab w:val="left" w:pos="567"/>
        </w:tabs>
        <w:suppressAutoHyphens/>
        <w:rPr>
          <w:szCs w:val="22"/>
          <w:lang w:val="pt-PT"/>
        </w:rPr>
      </w:pPr>
    </w:p>
    <w:p w14:paraId="55A3D007" w14:textId="77777777" w:rsidR="00734D3B" w:rsidRPr="002A54AF" w:rsidRDefault="00734D3B" w:rsidP="00011577">
      <w:pPr>
        <w:tabs>
          <w:tab w:val="left" w:pos="567"/>
        </w:tabs>
        <w:suppressAutoHyphens/>
        <w:rPr>
          <w:szCs w:val="22"/>
          <w:lang w:val="pt-PT"/>
        </w:rPr>
      </w:pPr>
      <w:r w:rsidRPr="002A54AF">
        <w:rPr>
          <w:szCs w:val="22"/>
          <w:lang w:val="pt-PT"/>
        </w:rPr>
        <w:lastRenderedPageBreak/>
        <w:t>Profilaxia de infeções fúngicas invasivas em recetores de transplante alogénico de células estaminais hematopoiéticas (HSCT) de elevado risco.</w:t>
      </w:r>
    </w:p>
    <w:p w14:paraId="08708F69" w14:textId="77777777" w:rsidR="00734D3B" w:rsidRPr="002A54AF" w:rsidRDefault="00734D3B" w:rsidP="00011577">
      <w:pPr>
        <w:tabs>
          <w:tab w:val="left" w:pos="567"/>
        </w:tabs>
        <w:suppressAutoHyphens/>
        <w:rPr>
          <w:szCs w:val="22"/>
          <w:lang w:val="pt-PT"/>
        </w:rPr>
      </w:pPr>
    </w:p>
    <w:p w14:paraId="613A7414" w14:textId="77777777" w:rsidR="00011577" w:rsidRPr="002A54AF" w:rsidRDefault="00011577" w:rsidP="00011577">
      <w:pPr>
        <w:tabs>
          <w:tab w:val="left" w:pos="567"/>
        </w:tabs>
        <w:suppressAutoHyphens/>
        <w:rPr>
          <w:szCs w:val="22"/>
          <w:lang w:val="pt-PT"/>
        </w:rPr>
      </w:pPr>
      <w:r w:rsidRPr="002A54AF">
        <w:rPr>
          <w:b/>
          <w:szCs w:val="22"/>
          <w:lang w:val="pt-PT"/>
        </w:rPr>
        <w:t>4.2</w:t>
      </w:r>
      <w:r w:rsidRPr="002A54AF">
        <w:rPr>
          <w:b/>
          <w:szCs w:val="22"/>
          <w:lang w:val="pt-PT"/>
        </w:rPr>
        <w:tab/>
        <w:t>Posologia e modo de administração</w:t>
      </w:r>
    </w:p>
    <w:p w14:paraId="1A84014E" w14:textId="77777777" w:rsidR="00011577" w:rsidRPr="002A54AF" w:rsidRDefault="00011577" w:rsidP="00011577">
      <w:pPr>
        <w:pStyle w:val="Heading5"/>
        <w:keepNext w:val="0"/>
        <w:tabs>
          <w:tab w:val="left" w:pos="567"/>
        </w:tabs>
        <w:rPr>
          <w:b w:val="0"/>
          <w:szCs w:val="22"/>
        </w:rPr>
      </w:pPr>
    </w:p>
    <w:p w14:paraId="5532BF3D" w14:textId="77777777" w:rsidR="00011577" w:rsidRPr="002A54AF" w:rsidRDefault="00011577" w:rsidP="00011577">
      <w:pPr>
        <w:pStyle w:val="BodyText2"/>
        <w:tabs>
          <w:tab w:val="left" w:pos="567"/>
        </w:tabs>
        <w:rPr>
          <w:szCs w:val="22"/>
        </w:rPr>
      </w:pPr>
      <w:r w:rsidRPr="002A54AF">
        <w:rPr>
          <w:szCs w:val="22"/>
          <w:u w:val="single"/>
        </w:rPr>
        <w:t>Posologia</w:t>
      </w:r>
    </w:p>
    <w:p w14:paraId="16DF5FF4" w14:textId="77777777" w:rsidR="00011577" w:rsidRPr="002A54AF" w:rsidRDefault="00011577" w:rsidP="00011577">
      <w:pPr>
        <w:tabs>
          <w:tab w:val="left" w:pos="567"/>
        </w:tabs>
        <w:suppressAutoHyphens/>
        <w:rPr>
          <w:szCs w:val="22"/>
          <w:lang w:val="pt-PT"/>
        </w:rPr>
      </w:pPr>
    </w:p>
    <w:p w14:paraId="1270D07C" w14:textId="77777777" w:rsidR="00011577" w:rsidRDefault="00011577" w:rsidP="00011577">
      <w:pPr>
        <w:pStyle w:val="BodyText2"/>
        <w:tabs>
          <w:tab w:val="left" w:pos="567"/>
        </w:tabs>
        <w:rPr>
          <w:szCs w:val="22"/>
        </w:rPr>
      </w:pPr>
      <w:r w:rsidRPr="002A54AF">
        <w:rPr>
          <w:szCs w:val="22"/>
        </w:rPr>
        <w:t>As alterações eletrolíticas, tais como hipocaliemia, hipomagnesemia e hipocalcemia devem ser monitorizadas e corrigidas, se necessário, antes do início da terapêutica com voriconazol e durante o período de tratamento (ver secção 4.4).</w:t>
      </w:r>
    </w:p>
    <w:p w14:paraId="0CFAEB68" w14:textId="77777777" w:rsidR="00EC0BF5" w:rsidRDefault="00EC0BF5" w:rsidP="00011577">
      <w:pPr>
        <w:pStyle w:val="BodyText2"/>
        <w:tabs>
          <w:tab w:val="left" w:pos="567"/>
        </w:tabs>
        <w:rPr>
          <w:szCs w:val="22"/>
        </w:rPr>
      </w:pPr>
    </w:p>
    <w:p w14:paraId="1125BDC4" w14:textId="77777777" w:rsidR="00EC0BF5" w:rsidRPr="002A54AF" w:rsidRDefault="00EC0BF5" w:rsidP="00011577">
      <w:pPr>
        <w:pStyle w:val="BodyText2"/>
        <w:tabs>
          <w:tab w:val="left" w:pos="567"/>
        </w:tabs>
        <w:rPr>
          <w:szCs w:val="22"/>
        </w:rPr>
      </w:pPr>
      <w:r>
        <w:rPr>
          <w:szCs w:val="22"/>
        </w:rPr>
        <w:t>O voriconazol também pode estar disponível sob a forma de pó para solução para perfusão, pó e solvente para solução para perfusão e pó para suspensão oral, no entanto não sob este nome comercial.</w:t>
      </w:r>
    </w:p>
    <w:p w14:paraId="6FEDB887" w14:textId="77777777" w:rsidR="00011577" w:rsidRPr="002A54AF" w:rsidRDefault="00011577" w:rsidP="00011577">
      <w:pPr>
        <w:pStyle w:val="BodyText2"/>
        <w:tabs>
          <w:tab w:val="left" w:pos="567"/>
        </w:tabs>
        <w:rPr>
          <w:szCs w:val="22"/>
        </w:rPr>
      </w:pPr>
    </w:p>
    <w:p w14:paraId="0DCD1951" w14:textId="77777777" w:rsidR="00734D3B" w:rsidRPr="00266D2D" w:rsidRDefault="00734D3B" w:rsidP="00734D3B">
      <w:pPr>
        <w:pStyle w:val="BodyText2"/>
        <w:keepNext/>
        <w:keepLines/>
        <w:tabs>
          <w:tab w:val="left" w:pos="567"/>
        </w:tabs>
        <w:jc w:val="both"/>
        <w:rPr>
          <w:szCs w:val="22"/>
          <w:u w:val="single"/>
        </w:rPr>
      </w:pPr>
      <w:r w:rsidRPr="00266D2D">
        <w:rPr>
          <w:szCs w:val="22"/>
          <w:u w:val="single"/>
        </w:rPr>
        <w:t>Tratamento</w:t>
      </w:r>
    </w:p>
    <w:p w14:paraId="1050FF16" w14:textId="77777777" w:rsidR="00734D3B" w:rsidRPr="002A54AF" w:rsidRDefault="00734D3B" w:rsidP="00734D3B">
      <w:pPr>
        <w:keepNext/>
        <w:tabs>
          <w:tab w:val="left" w:pos="567"/>
        </w:tabs>
        <w:suppressAutoHyphens/>
        <w:rPr>
          <w:szCs w:val="22"/>
          <w:lang w:val="pt-PT"/>
        </w:rPr>
      </w:pPr>
    </w:p>
    <w:p w14:paraId="0E56AD7C" w14:textId="77777777" w:rsidR="00734D3B" w:rsidRPr="002A54AF" w:rsidRDefault="00734D3B" w:rsidP="00734D3B">
      <w:pPr>
        <w:pStyle w:val="Heading5"/>
        <w:keepNext w:val="0"/>
        <w:tabs>
          <w:tab w:val="left" w:pos="567"/>
        </w:tabs>
        <w:rPr>
          <w:szCs w:val="22"/>
        </w:rPr>
      </w:pPr>
      <w:r w:rsidRPr="002A54AF">
        <w:rPr>
          <w:b w:val="0"/>
          <w:i/>
          <w:szCs w:val="22"/>
        </w:rPr>
        <w:t>Adultos</w:t>
      </w:r>
    </w:p>
    <w:p w14:paraId="2E4A3442" w14:textId="77777777" w:rsidR="00011577" w:rsidRPr="00E951C7" w:rsidRDefault="00011577" w:rsidP="00734D3B">
      <w:pPr>
        <w:pStyle w:val="Heading5"/>
        <w:keepNext w:val="0"/>
        <w:tabs>
          <w:tab w:val="left" w:pos="567"/>
        </w:tabs>
        <w:rPr>
          <w:b w:val="0"/>
          <w:szCs w:val="22"/>
        </w:rPr>
      </w:pPr>
      <w:r w:rsidRPr="00E951C7">
        <w:rPr>
          <w:b w:val="0"/>
          <w:szCs w:val="22"/>
        </w:rPr>
        <w:t>A terapêutica deve ser iniciada com o regime de dose de carga de voriconazol referido, por via oral ou intravenosa, de modo a atingir, no Dia 1, concentrações plasmáticas próximas das do estado estacionário. Com base na elevada biodisponilidade oral (96%; ver secção</w:t>
      </w:r>
      <w:r w:rsidR="00734D3B" w:rsidRPr="00E951C7">
        <w:rPr>
          <w:b w:val="0"/>
          <w:szCs w:val="22"/>
        </w:rPr>
        <w:t> </w:t>
      </w:r>
      <w:r w:rsidRPr="00E951C7">
        <w:rPr>
          <w:b w:val="0"/>
          <w:szCs w:val="22"/>
        </w:rPr>
        <w:t>5.2), a passagem entre a administração intravenosa e oral é adequada quando clinicamente indicado.</w:t>
      </w:r>
    </w:p>
    <w:p w14:paraId="6FC38304" w14:textId="77777777" w:rsidR="00011577" w:rsidRPr="002A54AF" w:rsidRDefault="00011577" w:rsidP="00011577">
      <w:pPr>
        <w:tabs>
          <w:tab w:val="left" w:pos="567"/>
        </w:tabs>
        <w:suppressAutoHyphens/>
        <w:rPr>
          <w:szCs w:val="22"/>
          <w:lang w:val="pt-PT"/>
        </w:rPr>
      </w:pPr>
    </w:p>
    <w:p w14:paraId="3A8635C0" w14:textId="77777777" w:rsidR="00011577" w:rsidRPr="002A54AF" w:rsidRDefault="00011577" w:rsidP="00011577">
      <w:pPr>
        <w:keepNext/>
        <w:tabs>
          <w:tab w:val="left" w:pos="567"/>
        </w:tabs>
        <w:suppressAutoHyphens/>
        <w:rPr>
          <w:szCs w:val="22"/>
          <w:lang w:val="pt-PT"/>
        </w:rPr>
      </w:pPr>
      <w:r w:rsidRPr="002A54AF">
        <w:rPr>
          <w:szCs w:val="22"/>
          <w:lang w:val="pt-PT"/>
        </w:rPr>
        <w:t>São fornecidas informações detalhadas sobre as doses recomendadas na tabela seguinte:</w:t>
      </w:r>
    </w:p>
    <w:p w14:paraId="49C8E5FC" w14:textId="77777777" w:rsidR="00011577" w:rsidRPr="002A54AF" w:rsidRDefault="00011577" w:rsidP="00011577">
      <w:pPr>
        <w:keepNext/>
        <w:tabs>
          <w:tab w:val="left" w:pos="567"/>
        </w:tabs>
        <w:suppressAutoHyphens/>
        <w:rPr>
          <w:szCs w:val="22"/>
          <w:lang w:val="pt-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2410"/>
        <w:gridCol w:w="2389"/>
      </w:tblGrid>
      <w:tr w:rsidR="00011577" w:rsidRPr="002A54AF" w14:paraId="134CFD8C" w14:textId="77777777" w:rsidTr="00E72BDD">
        <w:trPr>
          <w:cantSplit/>
        </w:trPr>
        <w:tc>
          <w:tcPr>
            <w:tcW w:w="2127" w:type="dxa"/>
            <w:vMerge w:val="restart"/>
          </w:tcPr>
          <w:p w14:paraId="3B2BC937" w14:textId="77777777" w:rsidR="00011577" w:rsidRPr="002A54AF" w:rsidRDefault="00011577" w:rsidP="00011577">
            <w:pPr>
              <w:pStyle w:val="EndnoteText"/>
              <w:keepNext/>
              <w:widowControl/>
              <w:suppressAutoHyphens/>
              <w:rPr>
                <w:szCs w:val="22"/>
              </w:rPr>
            </w:pPr>
          </w:p>
        </w:tc>
        <w:tc>
          <w:tcPr>
            <w:tcW w:w="1984" w:type="dxa"/>
            <w:vMerge w:val="restart"/>
          </w:tcPr>
          <w:p w14:paraId="19D32690" w14:textId="77777777" w:rsidR="00011577" w:rsidRPr="002A54AF" w:rsidRDefault="00011577" w:rsidP="00011577">
            <w:pPr>
              <w:pStyle w:val="Heading9"/>
              <w:tabs>
                <w:tab w:val="left" w:pos="567"/>
              </w:tabs>
              <w:ind w:right="0"/>
              <w:jc w:val="center"/>
              <w:rPr>
                <w:sz w:val="22"/>
                <w:szCs w:val="22"/>
              </w:rPr>
            </w:pPr>
            <w:r w:rsidRPr="002A54AF">
              <w:rPr>
                <w:sz w:val="22"/>
                <w:szCs w:val="22"/>
              </w:rPr>
              <w:t>Intravenosa</w:t>
            </w:r>
          </w:p>
        </w:tc>
        <w:tc>
          <w:tcPr>
            <w:tcW w:w="4799" w:type="dxa"/>
            <w:gridSpan w:val="2"/>
          </w:tcPr>
          <w:p w14:paraId="547B2526" w14:textId="77777777" w:rsidR="00011577" w:rsidRPr="002A54AF" w:rsidRDefault="00011577" w:rsidP="00011577">
            <w:pPr>
              <w:pStyle w:val="Heading9"/>
              <w:tabs>
                <w:tab w:val="left" w:pos="567"/>
              </w:tabs>
              <w:ind w:right="0"/>
              <w:jc w:val="center"/>
              <w:rPr>
                <w:sz w:val="22"/>
                <w:szCs w:val="22"/>
              </w:rPr>
            </w:pPr>
            <w:r w:rsidRPr="002A54AF">
              <w:rPr>
                <w:sz w:val="22"/>
                <w:szCs w:val="22"/>
              </w:rPr>
              <w:t>Oral</w:t>
            </w:r>
          </w:p>
        </w:tc>
      </w:tr>
      <w:tr w:rsidR="00011577" w:rsidRPr="00376167" w14:paraId="471C28B6" w14:textId="77777777" w:rsidTr="00E72BDD">
        <w:trPr>
          <w:cantSplit/>
        </w:trPr>
        <w:tc>
          <w:tcPr>
            <w:tcW w:w="2127" w:type="dxa"/>
            <w:vMerge/>
          </w:tcPr>
          <w:p w14:paraId="0BA79611" w14:textId="77777777" w:rsidR="00011577" w:rsidRPr="002A54AF" w:rsidRDefault="00011577" w:rsidP="00011577">
            <w:pPr>
              <w:keepNext/>
              <w:tabs>
                <w:tab w:val="left" w:pos="567"/>
              </w:tabs>
              <w:suppressAutoHyphens/>
              <w:rPr>
                <w:szCs w:val="22"/>
                <w:lang w:val="pt-PT"/>
              </w:rPr>
            </w:pPr>
          </w:p>
        </w:tc>
        <w:tc>
          <w:tcPr>
            <w:tcW w:w="1984" w:type="dxa"/>
            <w:vMerge/>
          </w:tcPr>
          <w:p w14:paraId="3734B21D" w14:textId="77777777" w:rsidR="00011577" w:rsidRPr="002A54AF" w:rsidRDefault="00011577" w:rsidP="00011577">
            <w:pPr>
              <w:keepNext/>
              <w:tabs>
                <w:tab w:val="left" w:pos="567"/>
              </w:tabs>
              <w:suppressAutoHyphens/>
              <w:rPr>
                <w:szCs w:val="22"/>
                <w:lang w:val="pt-PT"/>
              </w:rPr>
            </w:pPr>
          </w:p>
        </w:tc>
        <w:tc>
          <w:tcPr>
            <w:tcW w:w="2410" w:type="dxa"/>
          </w:tcPr>
          <w:p w14:paraId="7BA1D541" w14:textId="77777777" w:rsidR="00011577" w:rsidRPr="002A54AF" w:rsidRDefault="00011577" w:rsidP="00011577">
            <w:pPr>
              <w:keepNext/>
              <w:tabs>
                <w:tab w:val="left" w:pos="567"/>
              </w:tabs>
              <w:suppressAutoHyphens/>
              <w:jc w:val="center"/>
              <w:rPr>
                <w:szCs w:val="22"/>
                <w:lang w:val="pt-PT"/>
              </w:rPr>
            </w:pPr>
            <w:r w:rsidRPr="002A54AF">
              <w:rPr>
                <w:szCs w:val="22"/>
                <w:lang w:val="pt-PT"/>
              </w:rPr>
              <w:t>Doentes com peso igual ou superior a 40</w:t>
            </w:r>
            <w:r w:rsidR="00734D3B" w:rsidRPr="002A54AF">
              <w:rPr>
                <w:szCs w:val="22"/>
                <w:lang w:val="pt-PT"/>
              </w:rPr>
              <w:t> </w:t>
            </w:r>
            <w:r w:rsidRPr="002A54AF">
              <w:rPr>
                <w:szCs w:val="22"/>
                <w:lang w:val="pt-PT"/>
              </w:rPr>
              <w:t>kg</w:t>
            </w:r>
            <w:r w:rsidR="00734D3B" w:rsidRPr="002A54AF">
              <w:rPr>
                <w:szCs w:val="22"/>
                <w:lang w:val="pt-PT"/>
              </w:rPr>
              <w:t>*</w:t>
            </w:r>
          </w:p>
        </w:tc>
        <w:tc>
          <w:tcPr>
            <w:tcW w:w="2389" w:type="dxa"/>
          </w:tcPr>
          <w:p w14:paraId="0A7F0CD6" w14:textId="77777777" w:rsidR="00011577" w:rsidRPr="002A54AF" w:rsidRDefault="00011577" w:rsidP="00011577">
            <w:pPr>
              <w:keepNext/>
              <w:tabs>
                <w:tab w:val="left" w:pos="567"/>
              </w:tabs>
              <w:suppressAutoHyphens/>
              <w:jc w:val="center"/>
              <w:rPr>
                <w:szCs w:val="22"/>
                <w:lang w:val="pt-PT"/>
              </w:rPr>
            </w:pPr>
            <w:r w:rsidRPr="002A54AF">
              <w:rPr>
                <w:szCs w:val="22"/>
                <w:lang w:val="pt-PT"/>
              </w:rPr>
              <w:t>Doentes com peso inferior a 40</w:t>
            </w:r>
            <w:r w:rsidR="00734D3B" w:rsidRPr="002A54AF">
              <w:rPr>
                <w:szCs w:val="22"/>
                <w:lang w:val="pt-PT"/>
              </w:rPr>
              <w:t> </w:t>
            </w:r>
            <w:r w:rsidRPr="002A54AF">
              <w:rPr>
                <w:szCs w:val="22"/>
                <w:lang w:val="pt-PT"/>
              </w:rPr>
              <w:t>kg*</w:t>
            </w:r>
          </w:p>
        </w:tc>
      </w:tr>
      <w:tr w:rsidR="00011577" w:rsidRPr="002A54AF" w14:paraId="6EC5B607" w14:textId="77777777" w:rsidTr="00E72BDD">
        <w:tc>
          <w:tcPr>
            <w:tcW w:w="2127" w:type="dxa"/>
          </w:tcPr>
          <w:p w14:paraId="1E52A616" w14:textId="77777777" w:rsidR="00011577" w:rsidRPr="002A54AF" w:rsidRDefault="00011577" w:rsidP="00011577">
            <w:pPr>
              <w:tabs>
                <w:tab w:val="left" w:pos="567"/>
              </w:tabs>
              <w:suppressAutoHyphens/>
              <w:rPr>
                <w:b/>
                <w:szCs w:val="22"/>
                <w:lang w:val="pt-PT"/>
              </w:rPr>
            </w:pPr>
            <w:r w:rsidRPr="002A54AF">
              <w:rPr>
                <w:b/>
                <w:szCs w:val="22"/>
                <w:lang w:val="pt-PT"/>
              </w:rPr>
              <w:t xml:space="preserve">Regime de dose de carga </w:t>
            </w:r>
          </w:p>
          <w:p w14:paraId="63BA56E8" w14:textId="77777777" w:rsidR="00011577" w:rsidRPr="002A54AF" w:rsidRDefault="00011577" w:rsidP="00011577">
            <w:pPr>
              <w:tabs>
                <w:tab w:val="left" w:pos="567"/>
              </w:tabs>
              <w:suppressAutoHyphens/>
              <w:rPr>
                <w:b/>
                <w:szCs w:val="22"/>
                <w:lang w:val="pt-PT"/>
              </w:rPr>
            </w:pPr>
            <w:r w:rsidRPr="002A54AF">
              <w:rPr>
                <w:b/>
                <w:szCs w:val="22"/>
                <w:lang w:val="pt-PT"/>
              </w:rPr>
              <w:t>(primeiras 24 horas)</w:t>
            </w:r>
          </w:p>
        </w:tc>
        <w:tc>
          <w:tcPr>
            <w:tcW w:w="1984" w:type="dxa"/>
          </w:tcPr>
          <w:p w14:paraId="7EA4F5F8" w14:textId="77777777" w:rsidR="00011577" w:rsidRPr="002A54AF" w:rsidRDefault="00011577" w:rsidP="00011577">
            <w:pPr>
              <w:tabs>
                <w:tab w:val="left" w:pos="567"/>
              </w:tabs>
              <w:suppressAutoHyphens/>
              <w:jc w:val="center"/>
              <w:rPr>
                <w:szCs w:val="22"/>
                <w:lang w:val="pt-PT"/>
              </w:rPr>
            </w:pPr>
            <w:r w:rsidRPr="002A54AF">
              <w:rPr>
                <w:szCs w:val="22"/>
                <w:lang w:val="pt-PT"/>
              </w:rPr>
              <w:t xml:space="preserve">6 mg/kg de 12 em 12 horas </w:t>
            </w:r>
          </w:p>
        </w:tc>
        <w:tc>
          <w:tcPr>
            <w:tcW w:w="2410" w:type="dxa"/>
          </w:tcPr>
          <w:p w14:paraId="197D1652" w14:textId="77777777" w:rsidR="00011577" w:rsidRPr="002A54AF" w:rsidRDefault="00011577" w:rsidP="00011577">
            <w:pPr>
              <w:pStyle w:val="EndnoteText"/>
              <w:widowControl/>
              <w:suppressAutoHyphens/>
              <w:jc w:val="center"/>
              <w:rPr>
                <w:szCs w:val="22"/>
              </w:rPr>
            </w:pPr>
            <w:r w:rsidRPr="002A54AF">
              <w:rPr>
                <w:szCs w:val="22"/>
              </w:rPr>
              <w:t xml:space="preserve">400 mg de 12 em 12 horas </w:t>
            </w:r>
          </w:p>
        </w:tc>
        <w:tc>
          <w:tcPr>
            <w:tcW w:w="2389" w:type="dxa"/>
          </w:tcPr>
          <w:p w14:paraId="6ECDF891" w14:textId="77777777" w:rsidR="00011577" w:rsidRPr="002A54AF" w:rsidRDefault="00011577" w:rsidP="00011577">
            <w:pPr>
              <w:pStyle w:val="EndnoteText"/>
              <w:widowControl/>
              <w:suppressAutoHyphens/>
              <w:jc w:val="center"/>
              <w:rPr>
                <w:szCs w:val="22"/>
              </w:rPr>
            </w:pPr>
            <w:r w:rsidRPr="002A54AF">
              <w:rPr>
                <w:szCs w:val="22"/>
              </w:rPr>
              <w:t xml:space="preserve">200 mg de 12 em 12 horas </w:t>
            </w:r>
          </w:p>
        </w:tc>
      </w:tr>
      <w:tr w:rsidR="00011577" w:rsidRPr="00E53416" w14:paraId="1098D1F0" w14:textId="77777777" w:rsidTr="00E72BDD">
        <w:tc>
          <w:tcPr>
            <w:tcW w:w="2127" w:type="dxa"/>
          </w:tcPr>
          <w:p w14:paraId="31E5255A" w14:textId="77777777" w:rsidR="00011577" w:rsidRPr="002A54AF" w:rsidRDefault="00011577" w:rsidP="00011577">
            <w:pPr>
              <w:pStyle w:val="Heading5"/>
              <w:keepNext w:val="0"/>
              <w:tabs>
                <w:tab w:val="left" w:pos="567"/>
              </w:tabs>
              <w:rPr>
                <w:szCs w:val="22"/>
              </w:rPr>
            </w:pPr>
            <w:r w:rsidRPr="002A54AF">
              <w:rPr>
                <w:szCs w:val="22"/>
              </w:rPr>
              <w:t xml:space="preserve">Dose de manutenção </w:t>
            </w:r>
          </w:p>
          <w:p w14:paraId="3ED6BC72" w14:textId="77777777" w:rsidR="00011577" w:rsidRPr="002A54AF" w:rsidRDefault="00011577" w:rsidP="00011577">
            <w:pPr>
              <w:tabs>
                <w:tab w:val="left" w:pos="567"/>
              </w:tabs>
              <w:suppressAutoHyphens/>
              <w:rPr>
                <w:i/>
                <w:szCs w:val="22"/>
                <w:lang w:val="pt-PT"/>
              </w:rPr>
            </w:pPr>
            <w:r w:rsidRPr="002A54AF">
              <w:rPr>
                <w:b/>
                <w:szCs w:val="22"/>
                <w:lang w:val="pt-PT"/>
              </w:rPr>
              <w:t>(após as primeiras 24 horas)</w:t>
            </w:r>
          </w:p>
        </w:tc>
        <w:tc>
          <w:tcPr>
            <w:tcW w:w="1984" w:type="dxa"/>
          </w:tcPr>
          <w:p w14:paraId="4F083795" w14:textId="77777777" w:rsidR="00011577" w:rsidRPr="002A54AF" w:rsidRDefault="00011577" w:rsidP="00011577">
            <w:pPr>
              <w:tabs>
                <w:tab w:val="left" w:pos="567"/>
              </w:tabs>
              <w:suppressAutoHyphens/>
              <w:jc w:val="center"/>
              <w:rPr>
                <w:szCs w:val="22"/>
                <w:lang w:val="pt-PT"/>
              </w:rPr>
            </w:pPr>
            <w:r w:rsidRPr="002A54AF">
              <w:rPr>
                <w:szCs w:val="22"/>
                <w:lang w:val="pt-PT"/>
              </w:rPr>
              <w:t>4 mg/kg duas vezes por dia</w:t>
            </w:r>
          </w:p>
        </w:tc>
        <w:tc>
          <w:tcPr>
            <w:tcW w:w="2410" w:type="dxa"/>
          </w:tcPr>
          <w:p w14:paraId="094924A0" w14:textId="77777777" w:rsidR="00011577" w:rsidRPr="002A54AF" w:rsidRDefault="00011577" w:rsidP="00734D3B">
            <w:pPr>
              <w:tabs>
                <w:tab w:val="left" w:pos="567"/>
              </w:tabs>
              <w:suppressAutoHyphens/>
              <w:jc w:val="center"/>
              <w:rPr>
                <w:szCs w:val="22"/>
                <w:lang w:val="pt-PT"/>
              </w:rPr>
            </w:pPr>
            <w:r w:rsidRPr="002A54AF">
              <w:rPr>
                <w:szCs w:val="22"/>
                <w:lang w:val="pt-PT"/>
              </w:rPr>
              <w:t xml:space="preserve">200 mg </w:t>
            </w:r>
            <w:r w:rsidR="00864AFA" w:rsidRPr="002A54AF">
              <w:rPr>
                <w:szCs w:val="22"/>
                <w:lang w:val="pt-PT"/>
              </w:rPr>
              <w:t xml:space="preserve">duas vezes </w:t>
            </w:r>
            <w:r w:rsidRPr="002A54AF">
              <w:rPr>
                <w:szCs w:val="22"/>
                <w:lang w:val="pt-PT"/>
              </w:rPr>
              <w:t>por dia</w:t>
            </w:r>
          </w:p>
        </w:tc>
        <w:tc>
          <w:tcPr>
            <w:tcW w:w="2389" w:type="dxa"/>
          </w:tcPr>
          <w:p w14:paraId="560ECB44" w14:textId="77777777" w:rsidR="00011577" w:rsidRPr="002A54AF" w:rsidRDefault="00011577" w:rsidP="00734D3B">
            <w:pPr>
              <w:tabs>
                <w:tab w:val="left" w:pos="567"/>
              </w:tabs>
              <w:suppressAutoHyphens/>
              <w:jc w:val="center"/>
              <w:rPr>
                <w:szCs w:val="22"/>
                <w:lang w:val="pt-PT"/>
              </w:rPr>
            </w:pPr>
            <w:r w:rsidRPr="002A54AF">
              <w:rPr>
                <w:szCs w:val="22"/>
                <w:lang w:val="pt-PT"/>
              </w:rPr>
              <w:t xml:space="preserve">100 mg </w:t>
            </w:r>
            <w:r w:rsidR="00864AFA" w:rsidRPr="002A54AF">
              <w:rPr>
                <w:szCs w:val="22"/>
                <w:lang w:val="pt-PT"/>
              </w:rPr>
              <w:t xml:space="preserve">duas vezes </w:t>
            </w:r>
            <w:r w:rsidRPr="002A54AF">
              <w:rPr>
                <w:szCs w:val="22"/>
                <w:lang w:val="pt-PT"/>
              </w:rPr>
              <w:t>por dia</w:t>
            </w:r>
          </w:p>
        </w:tc>
      </w:tr>
    </w:tbl>
    <w:p w14:paraId="51BA9CAF" w14:textId="77777777" w:rsidR="00011577" w:rsidRPr="002A54AF" w:rsidRDefault="00011577" w:rsidP="00011577">
      <w:pPr>
        <w:tabs>
          <w:tab w:val="left" w:pos="567"/>
        </w:tabs>
        <w:suppressAutoHyphens/>
        <w:rPr>
          <w:szCs w:val="22"/>
          <w:lang w:val="pt-PT"/>
        </w:rPr>
      </w:pPr>
      <w:r w:rsidRPr="002A54AF">
        <w:rPr>
          <w:szCs w:val="22"/>
          <w:lang w:val="pt-PT"/>
        </w:rPr>
        <w:t>*</w:t>
      </w:r>
      <w:r w:rsidR="00734D3B" w:rsidRPr="002A54AF">
        <w:rPr>
          <w:szCs w:val="22"/>
          <w:lang w:val="pt-PT"/>
        </w:rPr>
        <w:t>Também se aplica</w:t>
      </w:r>
      <w:r w:rsidRPr="002A54AF">
        <w:rPr>
          <w:szCs w:val="22"/>
          <w:lang w:val="pt-PT"/>
        </w:rPr>
        <w:t xml:space="preserve"> a doentes com 15 e mais anos</w:t>
      </w:r>
    </w:p>
    <w:p w14:paraId="7F19BDC3" w14:textId="77777777" w:rsidR="00011577" w:rsidRPr="002A54AF" w:rsidRDefault="00011577" w:rsidP="00011577">
      <w:pPr>
        <w:tabs>
          <w:tab w:val="left" w:pos="567"/>
        </w:tabs>
        <w:suppressAutoHyphens/>
        <w:rPr>
          <w:szCs w:val="22"/>
          <w:lang w:val="pt-PT"/>
        </w:rPr>
      </w:pPr>
    </w:p>
    <w:p w14:paraId="1991DA07" w14:textId="77777777" w:rsidR="00734D3B" w:rsidRPr="00266D2D" w:rsidRDefault="00734D3B" w:rsidP="00734D3B">
      <w:pPr>
        <w:pStyle w:val="Heading5"/>
        <w:keepNext w:val="0"/>
        <w:tabs>
          <w:tab w:val="left" w:pos="567"/>
        </w:tabs>
        <w:rPr>
          <w:b w:val="0"/>
          <w:i/>
          <w:szCs w:val="22"/>
          <w:u w:val="single"/>
        </w:rPr>
      </w:pPr>
      <w:r w:rsidRPr="00266D2D">
        <w:rPr>
          <w:b w:val="0"/>
          <w:i/>
          <w:szCs w:val="22"/>
          <w:u w:val="single"/>
        </w:rPr>
        <w:t>Duração do tratamento</w:t>
      </w:r>
    </w:p>
    <w:p w14:paraId="0B65FF82" w14:textId="77777777" w:rsidR="00734D3B" w:rsidRPr="002A54AF" w:rsidRDefault="00734D3B" w:rsidP="00734D3B">
      <w:pPr>
        <w:tabs>
          <w:tab w:val="left" w:pos="567"/>
        </w:tabs>
        <w:suppressAutoHyphens/>
        <w:rPr>
          <w:szCs w:val="22"/>
          <w:lang w:val="pt-PT"/>
        </w:rPr>
      </w:pPr>
      <w:r w:rsidRPr="002A54AF">
        <w:rPr>
          <w:szCs w:val="22"/>
          <w:lang w:val="pt-PT"/>
        </w:rPr>
        <w:t xml:space="preserve">A duração do tratamento deve ser a menor possível, dependendo da resposta clínica e micológica do doente. A exposição </w:t>
      </w:r>
      <w:r w:rsidR="00864AFA" w:rsidRPr="002A54AF">
        <w:rPr>
          <w:szCs w:val="22"/>
          <w:lang w:val="pt-PT"/>
        </w:rPr>
        <w:t>a</w:t>
      </w:r>
      <w:r w:rsidRPr="002A54AF">
        <w:rPr>
          <w:szCs w:val="22"/>
          <w:lang w:val="pt-PT"/>
        </w:rPr>
        <w:t xml:space="preserve"> longo prazo ao voriconazol, com duração super</w:t>
      </w:r>
      <w:r w:rsidR="0020636B" w:rsidRPr="002A54AF">
        <w:rPr>
          <w:szCs w:val="22"/>
          <w:lang w:val="pt-PT"/>
        </w:rPr>
        <w:t>ior a 180 dias (6 </w:t>
      </w:r>
      <w:r w:rsidRPr="002A54AF">
        <w:rPr>
          <w:szCs w:val="22"/>
          <w:lang w:val="pt-PT"/>
        </w:rPr>
        <w:t>meses), requer uma cuidadosa avaliação da relaç</w:t>
      </w:r>
      <w:r w:rsidR="0017325D" w:rsidRPr="002A54AF">
        <w:rPr>
          <w:szCs w:val="22"/>
          <w:lang w:val="pt-PT"/>
        </w:rPr>
        <w:t>ão benefício-risco (ver secções </w:t>
      </w:r>
      <w:r w:rsidRPr="002A54AF">
        <w:rPr>
          <w:szCs w:val="22"/>
          <w:lang w:val="pt-PT"/>
        </w:rPr>
        <w:t>4.4 e</w:t>
      </w:r>
      <w:r w:rsidR="00131905">
        <w:rPr>
          <w:szCs w:val="22"/>
          <w:lang w:val="pt-PT"/>
        </w:rPr>
        <w:t> </w:t>
      </w:r>
      <w:r w:rsidRPr="002A54AF">
        <w:rPr>
          <w:szCs w:val="22"/>
          <w:lang w:val="pt-PT"/>
        </w:rPr>
        <w:t>5.1).</w:t>
      </w:r>
    </w:p>
    <w:p w14:paraId="6307E435" w14:textId="77777777" w:rsidR="00734D3B" w:rsidRPr="002A54AF" w:rsidRDefault="00734D3B" w:rsidP="00011577">
      <w:pPr>
        <w:tabs>
          <w:tab w:val="left" w:pos="567"/>
        </w:tabs>
        <w:suppressAutoHyphens/>
        <w:rPr>
          <w:szCs w:val="22"/>
          <w:lang w:val="pt-PT"/>
        </w:rPr>
      </w:pPr>
    </w:p>
    <w:p w14:paraId="40CAB81F" w14:textId="77777777" w:rsidR="00011577" w:rsidRPr="002A54AF" w:rsidRDefault="00011577" w:rsidP="00011577">
      <w:pPr>
        <w:pStyle w:val="Heading5"/>
        <w:keepNext w:val="0"/>
        <w:tabs>
          <w:tab w:val="left" w:pos="567"/>
        </w:tabs>
        <w:rPr>
          <w:b w:val="0"/>
          <w:i/>
          <w:szCs w:val="22"/>
          <w:u w:val="single"/>
        </w:rPr>
      </w:pPr>
      <w:r w:rsidRPr="002A54AF">
        <w:rPr>
          <w:b w:val="0"/>
          <w:i/>
          <w:szCs w:val="22"/>
          <w:u w:val="single"/>
        </w:rPr>
        <w:t>Ajuste posológico</w:t>
      </w:r>
      <w:r w:rsidR="00734D3B" w:rsidRPr="002A54AF">
        <w:rPr>
          <w:b w:val="0"/>
          <w:i/>
          <w:szCs w:val="22"/>
          <w:u w:val="single"/>
        </w:rPr>
        <w:t xml:space="preserve"> (Adultos)</w:t>
      </w:r>
    </w:p>
    <w:p w14:paraId="3C064232" w14:textId="77777777" w:rsidR="00011577" w:rsidRPr="002A54AF" w:rsidRDefault="00011577" w:rsidP="00011577">
      <w:pPr>
        <w:tabs>
          <w:tab w:val="left" w:pos="567"/>
        </w:tabs>
        <w:suppressAutoHyphens/>
        <w:rPr>
          <w:szCs w:val="22"/>
          <w:lang w:val="pt-PT"/>
        </w:rPr>
      </w:pPr>
      <w:r w:rsidRPr="002A54AF">
        <w:rPr>
          <w:szCs w:val="22"/>
          <w:lang w:val="pt-PT"/>
        </w:rPr>
        <w:t xml:space="preserve">Se a resposta do doente </w:t>
      </w:r>
      <w:r w:rsidR="00734D3B" w:rsidRPr="002A54AF">
        <w:rPr>
          <w:szCs w:val="22"/>
          <w:lang w:val="pt-PT"/>
        </w:rPr>
        <w:t xml:space="preserve">ao tratamento </w:t>
      </w:r>
      <w:r w:rsidRPr="002A54AF">
        <w:rPr>
          <w:szCs w:val="22"/>
          <w:lang w:val="pt-PT"/>
        </w:rPr>
        <w:t>não for adequada, a dose de manutenção poderá ser aumentada para 300 mg duas vezes por dia por administração oral. Para doentes com peso inferior a 40 kg a dose por via oral poderá ser aumentada para 150 mg duas vezes por dia.</w:t>
      </w:r>
    </w:p>
    <w:p w14:paraId="57265633" w14:textId="77777777" w:rsidR="00011577" w:rsidRPr="002A54AF" w:rsidRDefault="00011577" w:rsidP="00011577">
      <w:pPr>
        <w:tabs>
          <w:tab w:val="left" w:pos="567"/>
        </w:tabs>
        <w:suppressAutoHyphens/>
        <w:rPr>
          <w:szCs w:val="22"/>
          <w:lang w:val="pt-PT"/>
        </w:rPr>
      </w:pPr>
    </w:p>
    <w:p w14:paraId="74C5BACA" w14:textId="77777777" w:rsidR="00011577" w:rsidRPr="002A54AF" w:rsidRDefault="00011577" w:rsidP="00011577">
      <w:pPr>
        <w:tabs>
          <w:tab w:val="left" w:pos="567"/>
        </w:tabs>
        <w:suppressAutoHyphens/>
        <w:rPr>
          <w:szCs w:val="22"/>
          <w:lang w:val="pt-PT"/>
        </w:rPr>
      </w:pPr>
      <w:r w:rsidRPr="002A54AF">
        <w:rPr>
          <w:szCs w:val="22"/>
          <w:lang w:val="pt-PT"/>
        </w:rPr>
        <w:t xml:space="preserve">Se o doente não tolerar o tratamento com </w:t>
      </w:r>
      <w:r w:rsidR="00734D3B" w:rsidRPr="002A54AF">
        <w:rPr>
          <w:szCs w:val="22"/>
          <w:lang w:val="pt-PT"/>
        </w:rPr>
        <w:t xml:space="preserve">uma </w:t>
      </w:r>
      <w:r w:rsidRPr="002A54AF">
        <w:rPr>
          <w:szCs w:val="22"/>
          <w:lang w:val="pt-PT"/>
        </w:rPr>
        <w:t>dose mais elevada, reduzir, por etapas de 50 mg a dose por via oral até à dose de manutenção de 200</w:t>
      </w:r>
      <w:r w:rsidR="008805C8" w:rsidRPr="002A54AF">
        <w:rPr>
          <w:szCs w:val="22"/>
          <w:lang w:val="pt-PT"/>
        </w:rPr>
        <w:t> </w:t>
      </w:r>
      <w:r w:rsidRPr="002A54AF">
        <w:rPr>
          <w:szCs w:val="22"/>
          <w:lang w:val="pt-PT"/>
        </w:rPr>
        <w:t>mg duas vezes por dia (ou 100</w:t>
      </w:r>
      <w:r w:rsidR="008805C8" w:rsidRPr="002A54AF">
        <w:rPr>
          <w:szCs w:val="22"/>
          <w:lang w:val="pt-PT"/>
        </w:rPr>
        <w:t> </w:t>
      </w:r>
      <w:r w:rsidRPr="002A54AF">
        <w:rPr>
          <w:szCs w:val="22"/>
          <w:lang w:val="pt-PT"/>
        </w:rPr>
        <w:t>mg duas vezes por dia para doentes com peso inferior a 40</w:t>
      </w:r>
      <w:r w:rsidR="008805C8" w:rsidRPr="002A54AF">
        <w:rPr>
          <w:szCs w:val="22"/>
          <w:lang w:val="pt-PT"/>
        </w:rPr>
        <w:t> </w:t>
      </w:r>
      <w:r w:rsidRPr="002A54AF">
        <w:rPr>
          <w:szCs w:val="22"/>
          <w:lang w:val="pt-PT"/>
        </w:rPr>
        <w:t>kg).</w:t>
      </w:r>
    </w:p>
    <w:p w14:paraId="609BD689" w14:textId="77777777" w:rsidR="008805C8" w:rsidRPr="002A54AF" w:rsidRDefault="008805C8" w:rsidP="00011577">
      <w:pPr>
        <w:tabs>
          <w:tab w:val="left" w:pos="567"/>
        </w:tabs>
        <w:suppressAutoHyphens/>
        <w:rPr>
          <w:szCs w:val="22"/>
          <w:lang w:val="pt-PT"/>
        </w:rPr>
      </w:pPr>
    </w:p>
    <w:p w14:paraId="5582290C" w14:textId="77777777" w:rsidR="008805C8" w:rsidRPr="002A54AF" w:rsidRDefault="008805C8" w:rsidP="008805C8">
      <w:pPr>
        <w:tabs>
          <w:tab w:val="left" w:pos="567"/>
        </w:tabs>
        <w:suppressAutoHyphens/>
        <w:rPr>
          <w:szCs w:val="22"/>
          <w:lang w:val="pt-PT"/>
        </w:rPr>
      </w:pPr>
      <w:r w:rsidRPr="002A54AF">
        <w:rPr>
          <w:szCs w:val="22"/>
          <w:lang w:val="pt-PT"/>
        </w:rPr>
        <w:t>Consultar as informações abaixo para o caso de utilização profilática.</w:t>
      </w:r>
    </w:p>
    <w:p w14:paraId="7D6DA50C" w14:textId="77777777" w:rsidR="008805C8" w:rsidRPr="002A54AF" w:rsidRDefault="008805C8" w:rsidP="008805C8">
      <w:pPr>
        <w:tabs>
          <w:tab w:val="left" w:pos="567"/>
        </w:tabs>
        <w:suppressAutoHyphens/>
        <w:rPr>
          <w:szCs w:val="22"/>
          <w:lang w:val="pt-PT"/>
        </w:rPr>
      </w:pPr>
    </w:p>
    <w:p w14:paraId="7261A894" w14:textId="77777777" w:rsidR="008805C8" w:rsidRPr="002A54AF" w:rsidRDefault="008805C8" w:rsidP="008805C8">
      <w:pPr>
        <w:pStyle w:val="Heading5"/>
        <w:keepNext w:val="0"/>
        <w:tabs>
          <w:tab w:val="left" w:pos="567"/>
        </w:tabs>
        <w:rPr>
          <w:b w:val="0"/>
          <w:i/>
          <w:szCs w:val="22"/>
        </w:rPr>
      </w:pPr>
      <w:r w:rsidRPr="002A54AF">
        <w:rPr>
          <w:b w:val="0"/>
          <w:i/>
          <w:szCs w:val="22"/>
        </w:rPr>
        <w:t xml:space="preserve">Crianças </w:t>
      </w:r>
      <w:r w:rsidRPr="002A54AF">
        <w:rPr>
          <w:i/>
          <w:szCs w:val="22"/>
        </w:rPr>
        <w:t>(</w:t>
      </w:r>
      <w:r w:rsidRPr="002A54AF">
        <w:rPr>
          <w:b w:val="0"/>
          <w:i/>
          <w:szCs w:val="22"/>
        </w:rPr>
        <w:t>2 a &lt;12 anos) e adolescentes jovens com baixo peso corporal (12 a 14 anos e &lt;50 kg)</w:t>
      </w:r>
    </w:p>
    <w:p w14:paraId="278D3346" w14:textId="77777777" w:rsidR="008805C8" w:rsidRPr="002A54AF" w:rsidRDefault="008805C8" w:rsidP="008805C8">
      <w:pPr>
        <w:rPr>
          <w:szCs w:val="22"/>
          <w:lang w:val="pt-PT"/>
        </w:rPr>
      </w:pPr>
      <w:r w:rsidRPr="002A54AF">
        <w:rPr>
          <w:szCs w:val="22"/>
          <w:lang w:val="pt-PT"/>
        </w:rPr>
        <w:t>O voriconazol deve ser doseado da mesma forma como nas crianças porque estes jovens adolescentes podem metabolizar o voriconazol de forma mais semelhante às crianças do que aos adultos.</w:t>
      </w:r>
    </w:p>
    <w:p w14:paraId="6EF4C17E" w14:textId="77777777" w:rsidR="008805C8" w:rsidRPr="002A54AF" w:rsidRDefault="008805C8" w:rsidP="008805C8">
      <w:pPr>
        <w:rPr>
          <w:szCs w:val="22"/>
          <w:lang w:val="pt-PT"/>
        </w:rPr>
      </w:pPr>
    </w:p>
    <w:p w14:paraId="3EB00066" w14:textId="77777777" w:rsidR="008805C8" w:rsidRPr="002A54AF" w:rsidRDefault="008805C8" w:rsidP="008805C8">
      <w:pPr>
        <w:pStyle w:val="Paragraph"/>
        <w:rPr>
          <w:sz w:val="22"/>
          <w:szCs w:val="22"/>
          <w:lang w:val="pt-PT"/>
        </w:rPr>
      </w:pPr>
      <w:r w:rsidRPr="002A54AF">
        <w:rPr>
          <w:sz w:val="22"/>
          <w:szCs w:val="22"/>
          <w:lang w:val="pt-PT"/>
        </w:rPr>
        <w:lastRenderedPageBreak/>
        <w:t xml:space="preserve">O regime posológico recomendado é o seguinte: </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3"/>
        <w:gridCol w:w="2904"/>
        <w:gridCol w:w="2904"/>
      </w:tblGrid>
      <w:tr w:rsidR="008805C8" w:rsidRPr="002A54AF" w14:paraId="6E62B6AD" w14:textId="77777777" w:rsidTr="008805C8">
        <w:trPr>
          <w:trHeight w:val="441"/>
        </w:trPr>
        <w:tc>
          <w:tcPr>
            <w:tcW w:w="2903" w:type="dxa"/>
            <w:tcBorders>
              <w:top w:val="single" w:sz="4" w:space="0" w:color="auto"/>
              <w:left w:val="single" w:sz="4" w:space="0" w:color="auto"/>
              <w:bottom w:val="single" w:sz="4" w:space="0" w:color="auto"/>
              <w:right w:val="single" w:sz="4" w:space="0" w:color="auto"/>
            </w:tcBorders>
            <w:vAlign w:val="center"/>
          </w:tcPr>
          <w:p w14:paraId="010C2C30" w14:textId="77777777" w:rsidR="008805C8" w:rsidRPr="002A54AF" w:rsidRDefault="008805C8">
            <w:pPr>
              <w:tabs>
                <w:tab w:val="left" w:pos="567"/>
              </w:tabs>
              <w:suppressAutoHyphens/>
              <w:rPr>
                <w:szCs w:val="22"/>
                <w:lang w:val="pt-PT"/>
              </w:rPr>
            </w:pPr>
          </w:p>
        </w:tc>
        <w:tc>
          <w:tcPr>
            <w:tcW w:w="2904" w:type="dxa"/>
            <w:tcBorders>
              <w:top w:val="single" w:sz="4" w:space="0" w:color="auto"/>
              <w:left w:val="single" w:sz="4" w:space="0" w:color="auto"/>
              <w:bottom w:val="single" w:sz="4" w:space="0" w:color="auto"/>
              <w:right w:val="single" w:sz="4" w:space="0" w:color="auto"/>
            </w:tcBorders>
            <w:vAlign w:val="center"/>
            <w:hideMark/>
          </w:tcPr>
          <w:p w14:paraId="4B07ECD4" w14:textId="77777777" w:rsidR="008805C8" w:rsidRPr="002A54AF" w:rsidRDefault="008805C8">
            <w:pPr>
              <w:tabs>
                <w:tab w:val="left" w:pos="567"/>
              </w:tabs>
              <w:suppressAutoHyphens/>
              <w:rPr>
                <w:b/>
                <w:szCs w:val="22"/>
                <w:lang w:val="pt-PT"/>
              </w:rPr>
            </w:pPr>
            <w:r w:rsidRPr="002A54AF">
              <w:rPr>
                <w:b/>
                <w:szCs w:val="22"/>
                <w:lang w:val="pt-PT"/>
              </w:rPr>
              <w:t>Intravenosa</w:t>
            </w:r>
          </w:p>
        </w:tc>
        <w:tc>
          <w:tcPr>
            <w:tcW w:w="2904" w:type="dxa"/>
            <w:tcBorders>
              <w:top w:val="single" w:sz="4" w:space="0" w:color="auto"/>
              <w:left w:val="single" w:sz="4" w:space="0" w:color="auto"/>
              <w:bottom w:val="single" w:sz="4" w:space="0" w:color="auto"/>
              <w:right w:val="single" w:sz="4" w:space="0" w:color="auto"/>
            </w:tcBorders>
            <w:vAlign w:val="center"/>
            <w:hideMark/>
          </w:tcPr>
          <w:p w14:paraId="0A154E1F" w14:textId="77777777" w:rsidR="008805C8" w:rsidRPr="002A54AF" w:rsidRDefault="008805C8">
            <w:pPr>
              <w:tabs>
                <w:tab w:val="left" w:pos="567"/>
              </w:tabs>
              <w:suppressAutoHyphens/>
              <w:rPr>
                <w:szCs w:val="22"/>
                <w:vertAlign w:val="superscript"/>
                <w:lang w:val="pt-PT"/>
              </w:rPr>
            </w:pPr>
            <w:r w:rsidRPr="002A54AF">
              <w:rPr>
                <w:b/>
                <w:szCs w:val="22"/>
                <w:lang w:val="pt-PT"/>
              </w:rPr>
              <w:t>Oral</w:t>
            </w:r>
          </w:p>
        </w:tc>
      </w:tr>
      <w:tr w:rsidR="008805C8" w:rsidRPr="002A54AF" w14:paraId="42D83A0F" w14:textId="77777777" w:rsidTr="008805C8">
        <w:trPr>
          <w:cantSplit/>
          <w:trHeight w:val="604"/>
        </w:trPr>
        <w:tc>
          <w:tcPr>
            <w:tcW w:w="2903" w:type="dxa"/>
            <w:tcBorders>
              <w:top w:val="single" w:sz="4" w:space="0" w:color="auto"/>
              <w:left w:val="single" w:sz="4" w:space="0" w:color="auto"/>
              <w:bottom w:val="single" w:sz="4" w:space="0" w:color="auto"/>
              <w:right w:val="single" w:sz="4" w:space="0" w:color="auto"/>
            </w:tcBorders>
            <w:vAlign w:val="center"/>
            <w:hideMark/>
          </w:tcPr>
          <w:p w14:paraId="5C070C9F" w14:textId="77777777" w:rsidR="008805C8" w:rsidRPr="002A54AF" w:rsidRDefault="008805C8">
            <w:pPr>
              <w:tabs>
                <w:tab w:val="left" w:pos="567"/>
              </w:tabs>
              <w:suppressAutoHyphens/>
              <w:rPr>
                <w:b/>
                <w:szCs w:val="22"/>
                <w:lang w:val="pt-PT"/>
              </w:rPr>
            </w:pPr>
            <w:r w:rsidRPr="002A54AF">
              <w:rPr>
                <w:b/>
                <w:szCs w:val="22"/>
                <w:lang w:val="pt-PT"/>
              </w:rPr>
              <w:t>Regime de dose de carga</w:t>
            </w:r>
          </w:p>
          <w:p w14:paraId="157C20AE" w14:textId="77777777" w:rsidR="008805C8" w:rsidRPr="002A54AF" w:rsidRDefault="008805C8">
            <w:pPr>
              <w:tabs>
                <w:tab w:val="left" w:pos="567"/>
              </w:tabs>
              <w:suppressAutoHyphens/>
              <w:rPr>
                <w:b/>
                <w:szCs w:val="22"/>
                <w:lang w:val="pt-PT"/>
              </w:rPr>
            </w:pPr>
            <w:r w:rsidRPr="002A54AF">
              <w:rPr>
                <w:b/>
                <w:szCs w:val="22"/>
                <w:lang w:val="pt-PT"/>
              </w:rPr>
              <w:t>(primeiras 24 horas)</w:t>
            </w:r>
          </w:p>
        </w:tc>
        <w:tc>
          <w:tcPr>
            <w:tcW w:w="2904" w:type="dxa"/>
            <w:tcBorders>
              <w:top w:val="single" w:sz="4" w:space="0" w:color="auto"/>
              <w:left w:val="single" w:sz="4" w:space="0" w:color="auto"/>
              <w:bottom w:val="single" w:sz="4" w:space="0" w:color="auto"/>
              <w:right w:val="single" w:sz="4" w:space="0" w:color="auto"/>
            </w:tcBorders>
            <w:vAlign w:val="center"/>
            <w:hideMark/>
          </w:tcPr>
          <w:p w14:paraId="55FE82C9" w14:textId="77777777" w:rsidR="008805C8" w:rsidRPr="002A54AF" w:rsidRDefault="008805C8">
            <w:pPr>
              <w:tabs>
                <w:tab w:val="left" w:pos="567"/>
              </w:tabs>
              <w:suppressAutoHyphens/>
              <w:rPr>
                <w:szCs w:val="22"/>
                <w:lang w:val="pt-PT"/>
              </w:rPr>
            </w:pPr>
            <w:r w:rsidRPr="002A54AF">
              <w:rPr>
                <w:szCs w:val="22"/>
                <w:lang w:val="pt-PT"/>
              </w:rPr>
              <w:t>9 mg/kg a cada 12 horas</w:t>
            </w:r>
          </w:p>
        </w:tc>
        <w:tc>
          <w:tcPr>
            <w:tcW w:w="2904" w:type="dxa"/>
            <w:tcBorders>
              <w:top w:val="single" w:sz="4" w:space="0" w:color="auto"/>
              <w:left w:val="single" w:sz="4" w:space="0" w:color="auto"/>
              <w:bottom w:val="single" w:sz="4" w:space="0" w:color="auto"/>
              <w:right w:val="single" w:sz="4" w:space="0" w:color="auto"/>
            </w:tcBorders>
            <w:vAlign w:val="center"/>
            <w:hideMark/>
          </w:tcPr>
          <w:p w14:paraId="1FEC2F1D" w14:textId="77777777" w:rsidR="008805C8" w:rsidRPr="002A54AF" w:rsidRDefault="008805C8">
            <w:pPr>
              <w:tabs>
                <w:tab w:val="left" w:pos="567"/>
              </w:tabs>
              <w:suppressAutoHyphens/>
              <w:rPr>
                <w:szCs w:val="22"/>
                <w:lang w:val="pt-PT"/>
              </w:rPr>
            </w:pPr>
            <w:r w:rsidRPr="002A54AF">
              <w:rPr>
                <w:szCs w:val="22"/>
                <w:lang w:val="pt-PT"/>
              </w:rPr>
              <w:t>Não recomendado</w:t>
            </w:r>
          </w:p>
        </w:tc>
      </w:tr>
      <w:tr w:rsidR="008805C8" w:rsidRPr="00E53416" w14:paraId="42020BCA" w14:textId="77777777" w:rsidTr="008805C8">
        <w:trPr>
          <w:trHeight w:val="604"/>
        </w:trPr>
        <w:tc>
          <w:tcPr>
            <w:tcW w:w="2903" w:type="dxa"/>
            <w:tcBorders>
              <w:top w:val="single" w:sz="4" w:space="0" w:color="auto"/>
              <w:left w:val="single" w:sz="4" w:space="0" w:color="auto"/>
              <w:bottom w:val="single" w:sz="4" w:space="0" w:color="auto"/>
              <w:right w:val="single" w:sz="4" w:space="0" w:color="auto"/>
            </w:tcBorders>
            <w:vAlign w:val="center"/>
            <w:hideMark/>
          </w:tcPr>
          <w:p w14:paraId="7C383912" w14:textId="77777777" w:rsidR="008805C8" w:rsidRPr="002A54AF" w:rsidRDefault="008805C8">
            <w:pPr>
              <w:tabs>
                <w:tab w:val="left" w:pos="567"/>
              </w:tabs>
              <w:suppressAutoHyphens/>
              <w:rPr>
                <w:b/>
                <w:szCs w:val="22"/>
                <w:lang w:val="pt-PT"/>
              </w:rPr>
            </w:pPr>
            <w:r w:rsidRPr="002A54AF">
              <w:rPr>
                <w:b/>
                <w:szCs w:val="22"/>
                <w:lang w:val="pt-PT"/>
              </w:rPr>
              <w:t>Dose de manutenção</w:t>
            </w:r>
          </w:p>
          <w:p w14:paraId="13F26FC3" w14:textId="77777777" w:rsidR="008805C8" w:rsidRPr="002A54AF" w:rsidRDefault="008805C8">
            <w:pPr>
              <w:tabs>
                <w:tab w:val="left" w:pos="567"/>
              </w:tabs>
              <w:suppressAutoHyphens/>
              <w:rPr>
                <w:b/>
                <w:szCs w:val="22"/>
                <w:lang w:val="pt-PT"/>
              </w:rPr>
            </w:pPr>
            <w:r w:rsidRPr="002A54AF">
              <w:rPr>
                <w:b/>
                <w:szCs w:val="22"/>
                <w:lang w:val="pt-PT"/>
              </w:rPr>
              <w:t>(após as primeiras 24 horas)</w:t>
            </w:r>
          </w:p>
        </w:tc>
        <w:tc>
          <w:tcPr>
            <w:tcW w:w="2904" w:type="dxa"/>
            <w:tcBorders>
              <w:top w:val="single" w:sz="4" w:space="0" w:color="auto"/>
              <w:left w:val="single" w:sz="4" w:space="0" w:color="auto"/>
              <w:bottom w:val="single" w:sz="4" w:space="0" w:color="auto"/>
              <w:right w:val="single" w:sz="4" w:space="0" w:color="auto"/>
            </w:tcBorders>
            <w:vAlign w:val="center"/>
            <w:hideMark/>
          </w:tcPr>
          <w:p w14:paraId="56B64802" w14:textId="77777777" w:rsidR="008805C8" w:rsidRPr="002A54AF" w:rsidRDefault="008805C8">
            <w:pPr>
              <w:tabs>
                <w:tab w:val="left" w:pos="567"/>
              </w:tabs>
              <w:suppressAutoHyphens/>
              <w:rPr>
                <w:szCs w:val="22"/>
                <w:lang w:val="pt-PT"/>
              </w:rPr>
            </w:pPr>
            <w:r w:rsidRPr="002A54AF">
              <w:rPr>
                <w:szCs w:val="22"/>
                <w:lang w:val="pt-PT"/>
              </w:rPr>
              <w:t>8 mg/kg duas vezes por dia</w:t>
            </w:r>
          </w:p>
        </w:tc>
        <w:tc>
          <w:tcPr>
            <w:tcW w:w="2904" w:type="dxa"/>
            <w:tcBorders>
              <w:top w:val="single" w:sz="4" w:space="0" w:color="auto"/>
              <w:left w:val="single" w:sz="4" w:space="0" w:color="auto"/>
              <w:bottom w:val="single" w:sz="4" w:space="0" w:color="auto"/>
              <w:right w:val="single" w:sz="4" w:space="0" w:color="auto"/>
            </w:tcBorders>
            <w:vAlign w:val="center"/>
            <w:hideMark/>
          </w:tcPr>
          <w:p w14:paraId="29F54919" w14:textId="77777777" w:rsidR="008805C8" w:rsidRPr="002A54AF" w:rsidRDefault="008805C8">
            <w:pPr>
              <w:tabs>
                <w:tab w:val="left" w:pos="567"/>
              </w:tabs>
              <w:suppressAutoHyphens/>
              <w:rPr>
                <w:szCs w:val="22"/>
                <w:lang w:val="pt-PT"/>
              </w:rPr>
            </w:pPr>
            <w:r w:rsidRPr="002A54AF">
              <w:rPr>
                <w:szCs w:val="22"/>
                <w:lang w:val="pt-PT"/>
              </w:rPr>
              <w:t>9 mg/kg duas vezes por dia (dose máxima de 350 mg duas vezes por dia)</w:t>
            </w:r>
          </w:p>
        </w:tc>
      </w:tr>
    </w:tbl>
    <w:p w14:paraId="638B17B4" w14:textId="77777777" w:rsidR="008805C8" w:rsidRPr="002A54AF" w:rsidRDefault="008805C8" w:rsidP="008805C8">
      <w:pPr>
        <w:pStyle w:val="EndnoteText"/>
        <w:widowControl/>
        <w:suppressAutoHyphens/>
        <w:rPr>
          <w:szCs w:val="22"/>
        </w:rPr>
      </w:pPr>
      <w:r w:rsidRPr="002A54AF">
        <w:rPr>
          <w:szCs w:val="22"/>
        </w:rPr>
        <w:t>Nota: Baseado numa análise populacional de farmacocinética em 112 doentes pediátricos imunocomprometidos com idades dos 2 aos &lt;12 anos e 26 adolescentes imunocomprometidos com idades dos 12 a &lt;17 anos.</w:t>
      </w:r>
    </w:p>
    <w:p w14:paraId="6A192DA1" w14:textId="77777777" w:rsidR="008805C8" w:rsidRPr="002A54AF" w:rsidRDefault="008805C8" w:rsidP="00011577">
      <w:pPr>
        <w:tabs>
          <w:tab w:val="left" w:pos="567"/>
        </w:tabs>
        <w:suppressAutoHyphens/>
        <w:rPr>
          <w:szCs w:val="22"/>
          <w:lang w:val="pt-PT"/>
        </w:rPr>
      </w:pPr>
    </w:p>
    <w:p w14:paraId="62F86023" w14:textId="77777777" w:rsidR="008805C8" w:rsidRPr="002A54AF" w:rsidRDefault="008805C8" w:rsidP="008805C8">
      <w:pPr>
        <w:pStyle w:val="EndnoteText"/>
        <w:widowControl/>
        <w:suppressAutoHyphens/>
        <w:rPr>
          <w:rStyle w:val="hps"/>
          <w:szCs w:val="22"/>
        </w:rPr>
      </w:pPr>
      <w:r w:rsidRPr="002A54AF">
        <w:rPr>
          <w:rStyle w:val="hps"/>
          <w:szCs w:val="22"/>
        </w:rPr>
        <w:t>Recomenda-se</w:t>
      </w:r>
      <w:r w:rsidRPr="002A54AF">
        <w:rPr>
          <w:szCs w:val="22"/>
        </w:rPr>
        <w:t xml:space="preserve"> </w:t>
      </w:r>
      <w:r w:rsidRPr="002A54AF">
        <w:rPr>
          <w:rStyle w:val="hps"/>
          <w:szCs w:val="22"/>
        </w:rPr>
        <w:t>iniciar a</w:t>
      </w:r>
      <w:r w:rsidRPr="002A54AF">
        <w:rPr>
          <w:szCs w:val="22"/>
        </w:rPr>
        <w:t xml:space="preserve"> </w:t>
      </w:r>
      <w:r w:rsidRPr="002A54AF">
        <w:rPr>
          <w:rStyle w:val="hps"/>
          <w:szCs w:val="22"/>
        </w:rPr>
        <w:t>terapêutica como o</w:t>
      </w:r>
      <w:r w:rsidRPr="002A54AF">
        <w:rPr>
          <w:szCs w:val="22"/>
        </w:rPr>
        <w:t xml:space="preserve"> </w:t>
      </w:r>
      <w:r w:rsidRPr="002A54AF">
        <w:rPr>
          <w:rStyle w:val="hps"/>
          <w:szCs w:val="22"/>
        </w:rPr>
        <w:t>regime</w:t>
      </w:r>
      <w:r w:rsidRPr="002A54AF">
        <w:rPr>
          <w:szCs w:val="22"/>
        </w:rPr>
        <w:t xml:space="preserve"> </w:t>
      </w:r>
      <w:r w:rsidRPr="002A54AF">
        <w:rPr>
          <w:rStyle w:val="hps"/>
          <w:szCs w:val="22"/>
        </w:rPr>
        <w:t>intravenoso,</w:t>
      </w:r>
      <w:r w:rsidRPr="002A54AF">
        <w:rPr>
          <w:szCs w:val="22"/>
        </w:rPr>
        <w:t xml:space="preserve"> </w:t>
      </w:r>
      <w:r w:rsidRPr="002A54AF">
        <w:rPr>
          <w:rStyle w:val="hps"/>
          <w:szCs w:val="22"/>
        </w:rPr>
        <w:t>e o regime</w:t>
      </w:r>
      <w:r w:rsidRPr="002A54AF">
        <w:rPr>
          <w:szCs w:val="22"/>
        </w:rPr>
        <w:t xml:space="preserve"> </w:t>
      </w:r>
      <w:r w:rsidRPr="002A54AF">
        <w:rPr>
          <w:rStyle w:val="hps"/>
          <w:szCs w:val="22"/>
        </w:rPr>
        <w:t>oral deve ser</w:t>
      </w:r>
      <w:r w:rsidRPr="002A54AF">
        <w:rPr>
          <w:szCs w:val="22"/>
        </w:rPr>
        <w:t xml:space="preserve"> </w:t>
      </w:r>
      <w:r w:rsidRPr="002A54AF">
        <w:rPr>
          <w:rStyle w:val="hps"/>
          <w:szCs w:val="22"/>
        </w:rPr>
        <w:t>considerado apenas após</w:t>
      </w:r>
      <w:r w:rsidRPr="002A54AF">
        <w:rPr>
          <w:szCs w:val="22"/>
        </w:rPr>
        <w:t xml:space="preserve"> </w:t>
      </w:r>
      <w:r w:rsidRPr="002A54AF">
        <w:rPr>
          <w:rStyle w:val="hps"/>
          <w:szCs w:val="22"/>
        </w:rPr>
        <w:t>uma</w:t>
      </w:r>
      <w:r w:rsidRPr="002A54AF">
        <w:rPr>
          <w:szCs w:val="22"/>
        </w:rPr>
        <w:t xml:space="preserve"> </w:t>
      </w:r>
      <w:r w:rsidRPr="002A54AF">
        <w:rPr>
          <w:rStyle w:val="hps"/>
          <w:szCs w:val="22"/>
        </w:rPr>
        <w:t>significativa melhoria clínica</w:t>
      </w:r>
      <w:r w:rsidRPr="002A54AF">
        <w:rPr>
          <w:szCs w:val="22"/>
        </w:rPr>
        <w:t xml:space="preserve">. Deve ter-se em consideração </w:t>
      </w:r>
      <w:r w:rsidRPr="002A54AF">
        <w:rPr>
          <w:rStyle w:val="hps"/>
          <w:szCs w:val="22"/>
        </w:rPr>
        <w:t>que uma</w:t>
      </w:r>
      <w:r w:rsidRPr="002A54AF">
        <w:rPr>
          <w:szCs w:val="22"/>
        </w:rPr>
        <w:t xml:space="preserve"> </w:t>
      </w:r>
      <w:r w:rsidR="00F66FD2" w:rsidRPr="002A54AF">
        <w:rPr>
          <w:rStyle w:val="hps"/>
          <w:szCs w:val="22"/>
        </w:rPr>
        <w:t>dose intravenosa de 8 </w:t>
      </w:r>
      <w:r w:rsidRPr="002A54AF">
        <w:rPr>
          <w:rStyle w:val="hps"/>
          <w:szCs w:val="22"/>
        </w:rPr>
        <w:t>mg/kg</w:t>
      </w:r>
      <w:r w:rsidRPr="002A54AF">
        <w:rPr>
          <w:szCs w:val="22"/>
        </w:rPr>
        <w:t xml:space="preserve"> pr</w:t>
      </w:r>
      <w:r w:rsidRPr="002A54AF">
        <w:rPr>
          <w:rStyle w:val="hps"/>
          <w:szCs w:val="22"/>
        </w:rPr>
        <w:t>oporcionará</w:t>
      </w:r>
      <w:r w:rsidRPr="002A54AF">
        <w:rPr>
          <w:szCs w:val="22"/>
        </w:rPr>
        <w:t xml:space="preserve"> uma</w:t>
      </w:r>
      <w:r w:rsidRPr="002A54AF">
        <w:rPr>
          <w:rStyle w:val="hps"/>
          <w:szCs w:val="22"/>
        </w:rPr>
        <w:t xml:space="preserve"> exposição ao</w:t>
      </w:r>
      <w:r w:rsidRPr="002A54AF">
        <w:rPr>
          <w:szCs w:val="22"/>
        </w:rPr>
        <w:t xml:space="preserve"> </w:t>
      </w:r>
      <w:r w:rsidRPr="002A54AF">
        <w:rPr>
          <w:rStyle w:val="hps"/>
          <w:szCs w:val="22"/>
        </w:rPr>
        <w:t>voriconazol</w:t>
      </w:r>
      <w:r w:rsidRPr="002A54AF">
        <w:rPr>
          <w:szCs w:val="22"/>
        </w:rPr>
        <w:t xml:space="preserve"> </w:t>
      </w:r>
      <w:r w:rsidRPr="002A54AF">
        <w:rPr>
          <w:rStyle w:val="hps"/>
          <w:szCs w:val="22"/>
        </w:rPr>
        <w:t>aproximadamente 2 vezes</w:t>
      </w:r>
      <w:r w:rsidRPr="002A54AF">
        <w:rPr>
          <w:szCs w:val="22"/>
        </w:rPr>
        <w:t xml:space="preserve"> </w:t>
      </w:r>
      <w:r w:rsidRPr="002A54AF">
        <w:rPr>
          <w:rStyle w:val="hps"/>
          <w:szCs w:val="22"/>
        </w:rPr>
        <w:t>superior</w:t>
      </w:r>
      <w:r w:rsidRPr="002A54AF">
        <w:rPr>
          <w:szCs w:val="22"/>
        </w:rPr>
        <w:t xml:space="preserve"> </w:t>
      </w:r>
      <w:r w:rsidRPr="002A54AF">
        <w:rPr>
          <w:rStyle w:val="hps"/>
          <w:szCs w:val="22"/>
        </w:rPr>
        <w:t>a uma dose oral de 9</w:t>
      </w:r>
      <w:r w:rsidR="00F66FD2" w:rsidRPr="002A54AF">
        <w:rPr>
          <w:szCs w:val="22"/>
        </w:rPr>
        <w:t> </w:t>
      </w:r>
      <w:r w:rsidRPr="002A54AF">
        <w:rPr>
          <w:rStyle w:val="hps"/>
          <w:szCs w:val="22"/>
        </w:rPr>
        <w:t>mg/kg.</w:t>
      </w:r>
    </w:p>
    <w:p w14:paraId="6D8D1912" w14:textId="77777777" w:rsidR="008805C8" w:rsidRPr="002A54AF" w:rsidRDefault="008805C8" w:rsidP="008805C8">
      <w:pPr>
        <w:pStyle w:val="EndnoteText"/>
        <w:widowControl/>
        <w:suppressAutoHyphens/>
        <w:rPr>
          <w:szCs w:val="22"/>
        </w:rPr>
      </w:pPr>
    </w:p>
    <w:p w14:paraId="5907B921" w14:textId="77777777" w:rsidR="008805C8" w:rsidRPr="002A54AF" w:rsidRDefault="008805C8" w:rsidP="008805C8">
      <w:pPr>
        <w:pStyle w:val="EndnoteText"/>
        <w:widowControl/>
        <w:suppressAutoHyphens/>
        <w:rPr>
          <w:szCs w:val="22"/>
        </w:rPr>
      </w:pPr>
      <w:r w:rsidRPr="002A54AF">
        <w:rPr>
          <w:szCs w:val="22"/>
        </w:rPr>
        <w:t xml:space="preserve">Estas recomendações de doses orais para crianças foram baseadas em estudos em que o voriconazol foi administrado na forma de pó para suspensão oral. A bioequivalência entre o pó para suspensão oral e os comprimidos não foi investigada numa população pediátrica. Considerando os tempos de trânsito gastroentéricos em doentes pediátricos assumidamente limitados, a absorção dos comprimidos pode ser diferente em pediatria comparativamente aos adultos. Desta forma, é recomendada a utilização da formulação em suspensão </w:t>
      </w:r>
      <w:r w:rsidR="0020636B" w:rsidRPr="002A54AF">
        <w:rPr>
          <w:szCs w:val="22"/>
        </w:rPr>
        <w:t>oral nas crianças dos 2 aos &lt;12 </w:t>
      </w:r>
      <w:r w:rsidRPr="002A54AF">
        <w:rPr>
          <w:szCs w:val="22"/>
        </w:rPr>
        <w:t>anos.</w:t>
      </w:r>
    </w:p>
    <w:p w14:paraId="18560EEB" w14:textId="77777777" w:rsidR="008805C8" w:rsidRPr="002A54AF" w:rsidRDefault="008805C8" w:rsidP="008805C8">
      <w:pPr>
        <w:tabs>
          <w:tab w:val="left" w:pos="567"/>
        </w:tabs>
        <w:suppressAutoHyphens/>
        <w:rPr>
          <w:szCs w:val="22"/>
          <w:lang w:val="pt-PT"/>
        </w:rPr>
      </w:pPr>
    </w:p>
    <w:p w14:paraId="3886FE60" w14:textId="77777777" w:rsidR="008805C8" w:rsidRPr="002A54AF" w:rsidRDefault="008805C8" w:rsidP="008805C8">
      <w:pPr>
        <w:tabs>
          <w:tab w:val="left" w:pos="567"/>
        </w:tabs>
        <w:suppressAutoHyphens/>
        <w:rPr>
          <w:i/>
          <w:szCs w:val="22"/>
          <w:lang w:val="pt-PT"/>
        </w:rPr>
      </w:pPr>
      <w:r w:rsidRPr="002A54AF">
        <w:rPr>
          <w:i/>
          <w:szCs w:val="22"/>
          <w:lang w:val="pt-PT"/>
        </w:rPr>
        <w:t>Todos os outros adolescent</w:t>
      </w:r>
      <w:r w:rsidR="0020636B" w:rsidRPr="002A54AF">
        <w:rPr>
          <w:i/>
          <w:szCs w:val="22"/>
          <w:lang w:val="pt-PT"/>
        </w:rPr>
        <w:t>es (12 a 14 anos de idade e ≥50 kg; 15 a 17 </w:t>
      </w:r>
      <w:r w:rsidRPr="002A54AF">
        <w:rPr>
          <w:i/>
          <w:szCs w:val="22"/>
          <w:lang w:val="pt-PT"/>
        </w:rPr>
        <w:t>anos de idade</w:t>
      </w:r>
      <w:r w:rsidRPr="002A54AF">
        <w:rPr>
          <w:szCs w:val="22"/>
          <w:lang w:val="pt-PT"/>
        </w:rPr>
        <w:t xml:space="preserve"> </w:t>
      </w:r>
      <w:r w:rsidRPr="002A54AF">
        <w:rPr>
          <w:i/>
          <w:szCs w:val="22"/>
          <w:lang w:val="pt-PT"/>
        </w:rPr>
        <w:t>independentemente do peso corporal)</w:t>
      </w:r>
    </w:p>
    <w:p w14:paraId="2DD97AC6" w14:textId="77777777" w:rsidR="008805C8" w:rsidRPr="002A54AF" w:rsidRDefault="008805C8" w:rsidP="008805C8">
      <w:pPr>
        <w:tabs>
          <w:tab w:val="left" w:pos="567"/>
        </w:tabs>
        <w:suppressAutoHyphens/>
        <w:rPr>
          <w:szCs w:val="22"/>
          <w:lang w:val="pt-PT"/>
        </w:rPr>
      </w:pPr>
      <w:r w:rsidRPr="002A54AF">
        <w:rPr>
          <w:szCs w:val="22"/>
          <w:lang w:val="pt-PT"/>
        </w:rPr>
        <w:t>O voriconazol deve ser utilizado como nos adultos.</w:t>
      </w:r>
    </w:p>
    <w:p w14:paraId="0B47C5DD" w14:textId="77777777" w:rsidR="008805C8" w:rsidRPr="002A54AF" w:rsidRDefault="008805C8" w:rsidP="008805C8">
      <w:pPr>
        <w:tabs>
          <w:tab w:val="left" w:pos="567"/>
        </w:tabs>
        <w:suppressAutoHyphens/>
        <w:rPr>
          <w:szCs w:val="22"/>
          <w:lang w:val="pt-PT"/>
        </w:rPr>
      </w:pPr>
    </w:p>
    <w:p w14:paraId="5B7E7125" w14:textId="77777777" w:rsidR="008805C8" w:rsidRPr="00FE5F8B" w:rsidRDefault="008805C8" w:rsidP="008805C8">
      <w:pPr>
        <w:pStyle w:val="Paragraph"/>
        <w:spacing w:after="0"/>
        <w:rPr>
          <w:i/>
          <w:sz w:val="22"/>
          <w:szCs w:val="22"/>
          <w:u w:val="single"/>
          <w:lang w:val="pt-PT"/>
        </w:rPr>
      </w:pPr>
      <w:r w:rsidRPr="00FE5F8B">
        <w:rPr>
          <w:i/>
          <w:sz w:val="22"/>
          <w:szCs w:val="22"/>
          <w:u w:val="single"/>
          <w:lang w:val="pt-PT"/>
        </w:rPr>
        <w:t>Aj</w:t>
      </w:r>
      <w:r w:rsidR="0020636B" w:rsidRPr="00FE5F8B">
        <w:rPr>
          <w:i/>
          <w:sz w:val="22"/>
          <w:szCs w:val="22"/>
          <w:u w:val="single"/>
          <w:lang w:val="pt-PT"/>
        </w:rPr>
        <w:t>uste de dose (Crianças [2 a &lt;12 </w:t>
      </w:r>
      <w:r w:rsidRPr="00FE5F8B">
        <w:rPr>
          <w:i/>
          <w:sz w:val="22"/>
          <w:szCs w:val="22"/>
          <w:u w:val="single"/>
          <w:lang w:val="pt-PT"/>
        </w:rPr>
        <w:t>anos] e adolescentes jovens com baixo peso corpora</w:t>
      </w:r>
      <w:r w:rsidR="0020636B" w:rsidRPr="00FE5F8B">
        <w:rPr>
          <w:i/>
          <w:sz w:val="22"/>
          <w:szCs w:val="22"/>
          <w:u w:val="single"/>
          <w:lang w:val="pt-PT"/>
        </w:rPr>
        <w:t>l [12 a 14 </w:t>
      </w:r>
      <w:r w:rsidRPr="00FE5F8B">
        <w:rPr>
          <w:i/>
          <w:sz w:val="22"/>
          <w:szCs w:val="22"/>
          <w:u w:val="single"/>
          <w:lang w:val="pt-PT"/>
        </w:rPr>
        <w:t>anos e &lt;50 kg])</w:t>
      </w:r>
    </w:p>
    <w:p w14:paraId="1CC78BAF" w14:textId="77777777" w:rsidR="008805C8" w:rsidRPr="002A54AF" w:rsidRDefault="008805C8" w:rsidP="008805C8">
      <w:pPr>
        <w:pStyle w:val="Default"/>
        <w:rPr>
          <w:rStyle w:val="hps"/>
          <w:rFonts w:ascii="Times New Roman" w:hAnsi="Times New Roman" w:cs="Times New Roman"/>
          <w:color w:val="auto"/>
          <w:sz w:val="22"/>
          <w:szCs w:val="22"/>
          <w:lang w:val="pt-PT"/>
        </w:rPr>
      </w:pPr>
      <w:r w:rsidRPr="002A54AF">
        <w:rPr>
          <w:rStyle w:val="hps"/>
          <w:rFonts w:ascii="Times New Roman" w:hAnsi="Times New Roman" w:cs="Times New Roman"/>
          <w:color w:val="auto"/>
          <w:sz w:val="22"/>
          <w:szCs w:val="22"/>
          <w:lang w:val="pt-PT"/>
        </w:rPr>
        <w:t>Se a resposta do doente</w:t>
      </w:r>
      <w:r w:rsidRPr="002A54AF">
        <w:rPr>
          <w:rFonts w:ascii="Times New Roman" w:hAnsi="Times New Roman" w:cs="Times New Roman"/>
          <w:color w:val="auto"/>
          <w:sz w:val="22"/>
          <w:szCs w:val="22"/>
          <w:lang w:val="pt-PT"/>
        </w:rPr>
        <w:t xml:space="preserve"> ao tratamento </w:t>
      </w:r>
      <w:r w:rsidRPr="002A54AF">
        <w:rPr>
          <w:rStyle w:val="hps"/>
          <w:rFonts w:ascii="Times New Roman" w:hAnsi="Times New Roman" w:cs="Times New Roman"/>
          <w:color w:val="auto"/>
          <w:sz w:val="22"/>
          <w:szCs w:val="22"/>
          <w:lang w:val="pt-PT"/>
        </w:rPr>
        <w:t>for inadequada</w:t>
      </w:r>
      <w:r w:rsidRPr="002A54AF">
        <w:rPr>
          <w:rFonts w:ascii="Times New Roman" w:hAnsi="Times New Roman" w:cs="Times New Roman"/>
          <w:color w:val="auto"/>
          <w:sz w:val="22"/>
          <w:szCs w:val="22"/>
          <w:lang w:val="pt-PT"/>
        </w:rPr>
        <w:t xml:space="preserve">, a dose </w:t>
      </w:r>
      <w:r w:rsidRPr="002A54AF">
        <w:rPr>
          <w:rStyle w:val="hps"/>
          <w:rFonts w:ascii="Times New Roman" w:hAnsi="Times New Roman" w:cs="Times New Roman"/>
          <w:color w:val="auto"/>
          <w:sz w:val="22"/>
          <w:szCs w:val="22"/>
          <w:lang w:val="pt-PT"/>
        </w:rPr>
        <w:t>pode ser aumentada em</w:t>
      </w:r>
      <w:r w:rsidRPr="002A54AF">
        <w:rPr>
          <w:rFonts w:ascii="Times New Roman" w:hAnsi="Times New Roman" w:cs="Times New Roman"/>
          <w:color w:val="auto"/>
          <w:sz w:val="22"/>
          <w:szCs w:val="22"/>
          <w:lang w:val="pt-PT"/>
        </w:rPr>
        <w:t xml:space="preserve"> intervalos de </w:t>
      </w:r>
      <w:r w:rsidRPr="002A54AF">
        <w:rPr>
          <w:rStyle w:val="hps"/>
          <w:rFonts w:ascii="Times New Roman" w:hAnsi="Times New Roman" w:cs="Times New Roman"/>
          <w:color w:val="auto"/>
          <w:sz w:val="22"/>
          <w:szCs w:val="22"/>
          <w:lang w:val="pt-PT"/>
        </w:rPr>
        <w:t>1 mg/kg</w:t>
      </w:r>
      <w:r w:rsidRPr="002A54AF">
        <w:rPr>
          <w:rFonts w:ascii="Times New Roman" w:hAnsi="Times New Roman" w:cs="Times New Roman"/>
          <w:color w:val="auto"/>
          <w:sz w:val="22"/>
          <w:szCs w:val="22"/>
          <w:lang w:val="pt-PT"/>
        </w:rPr>
        <w:t xml:space="preserve"> </w:t>
      </w:r>
      <w:r w:rsidRPr="002A54AF">
        <w:rPr>
          <w:rStyle w:val="hps"/>
          <w:rFonts w:ascii="Times New Roman" w:hAnsi="Times New Roman" w:cs="Times New Roman"/>
          <w:color w:val="auto"/>
          <w:sz w:val="22"/>
          <w:szCs w:val="22"/>
          <w:lang w:val="pt-PT"/>
        </w:rPr>
        <w:t>(ou</w:t>
      </w:r>
      <w:r w:rsidRPr="002A54AF">
        <w:rPr>
          <w:rFonts w:ascii="Times New Roman" w:hAnsi="Times New Roman" w:cs="Times New Roman"/>
          <w:color w:val="auto"/>
          <w:sz w:val="22"/>
          <w:szCs w:val="22"/>
          <w:lang w:val="pt-PT"/>
        </w:rPr>
        <w:t xml:space="preserve"> </w:t>
      </w:r>
      <w:r w:rsidRPr="002A54AF">
        <w:rPr>
          <w:rStyle w:val="hps"/>
          <w:rFonts w:ascii="Times New Roman" w:hAnsi="Times New Roman" w:cs="Times New Roman"/>
          <w:color w:val="auto"/>
          <w:sz w:val="22"/>
          <w:szCs w:val="22"/>
          <w:lang w:val="pt-PT"/>
        </w:rPr>
        <w:t>em intervalos de 50</w:t>
      </w:r>
      <w:r w:rsidR="00F66FD2" w:rsidRPr="002A54AF">
        <w:rPr>
          <w:rFonts w:ascii="Times New Roman" w:hAnsi="Times New Roman" w:cs="Times New Roman"/>
          <w:color w:val="auto"/>
          <w:sz w:val="22"/>
          <w:szCs w:val="22"/>
          <w:lang w:val="pt-PT"/>
        </w:rPr>
        <w:t> </w:t>
      </w:r>
      <w:r w:rsidRPr="002A54AF">
        <w:rPr>
          <w:rStyle w:val="hps"/>
          <w:rFonts w:ascii="Times New Roman" w:hAnsi="Times New Roman" w:cs="Times New Roman"/>
          <w:color w:val="auto"/>
          <w:sz w:val="22"/>
          <w:szCs w:val="22"/>
          <w:lang w:val="pt-PT"/>
        </w:rPr>
        <w:t>mg</w:t>
      </w:r>
      <w:r w:rsidRPr="002A54AF">
        <w:rPr>
          <w:rFonts w:ascii="Times New Roman" w:hAnsi="Times New Roman" w:cs="Times New Roman"/>
          <w:color w:val="auto"/>
          <w:sz w:val="22"/>
          <w:szCs w:val="22"/>
          <w:lang w:val="pt-PT"/>
        </w:rPr>
        <w:t xml:space="preserve"> </w:t>
      </w:r>
      <w:r w:rsidRPr="002A54AF">
        <w:rPr>
          <w:rStyle w:val="hps"/>
          <w:rFonts w:ascii="Times New Roman" w:hAnsi="Times New Roman" w:cs="Times New Roman"/>
          <w:color w:val="auto"/>
          <w:sz w:val="22"/>
          <w:szCs w:val="22"/>
          <w:lang w:val="pt-PT"/>
        </w:rPr>
        <w:t>se inicialmente foi dada a dose</w:t>
      </w:r>
      <w:r w:rsidRPr="002A54AF">
        <w:rPr>
          <w:rFonts w:ascii="Times New Roman" w:hAnsi="Times New Roman" w:cs="Times New Roman"/>
          <w:color w:val="auto"/>
          <w:sz w:val="22"/>
          <w:szCs w:val="22"/>
          <w:lang w:val="pt-PT"/>
        </w:rPr>
        <w:t xml:space="preserve"> </w:t>
      </w:r>
      <w:r w:rsidRPr="002A54AF">
        <w:rPr>
          <w:rStyle w:val="hps"/>
          <w:rFonts w:ascii="Times New Roman" w:hAnsi="Times New Roman" w:cs="Times New Roman"/>
          <w:color w:val="auto"/>
          <w:sz w:val="22"/>
          <w:szCs w:val="22"/>
          <w:lang w:val="pt-PT"/>
        </w:rPr>
        <w:t>oral máxima</w:t>
      </w:r>
      <w:r w:rsidRPr="002A54AF">
        <w:rPr>
          <w:rFonts w:ascii="Times New Roman" w:hAnsi="Times New Roman" w:cs="Times New Roman"/>
          <w:color w:val="auto"/>
          <w:sz w:val="22"/>
          <w:szCs w:val="22"/>
          <w:lang w:val="pt-PT"/>
        </w:rPr>
        <w:t xml:space="preserve"> </w:t>
      </w:r>
      <w:r w:rsidRPr="002A54AF">
        <w:rPr>
          <w:rStyle w:val="hps"/>
          <w:rFonts w:ascii="Times New Roman" w:hAnsi="Times New Roman" w:cs="Times New Roman"/>
          <w:color w:val="auto"/>
          <w:sz w:val="22"/>
          <w:szCs w:val="22"/>
          <w:lang w:val="pt-PT"/>
        </w:rPr>
        <w:t>de 350</w:t>
      </w:r>
      <w:r w:rsidR="00F66FD2" w:rsidRPr="002A54AF">
        <w:rPr>
          <w:rFonts w:ascii="Times New Roman" w:hAnsi="Times New Roman" w:cs="Times New Roman"/>
          <w:color w:val="auto"/>
          <w:sz w:val="22"/>
          <w:szCs w:val="22"/>
          <w:lang w:val="pt-PT"/>
        </w:rPr>
        <w:t> </w:t>
      </w:r>
      <w:r w:rsidRPr="002A54AF">
        <w:rPr>
          <w:rStyle w:val="hps"/>
          <w:rFonts w:ascii="Times New Roman" w:hAnsi="Times New Roman" w:cs="Times New Roman"/>
          <w:color w:val="auto"/>
          <w:sz w:val="22"/>
          <w:szCs w:val="22"/>
          <w:lang w:val="pt-PT"/>
        </w:rPr>
        <w:t>mg)</w:t>
      </w:r>
      <w:r w:rsidRPr="002A54AF">
        <w:rPr>
          <w:rFonts w:ascii="Times New Roman" w:hAnsi="Times New Roman" w:cs="Times New Roman"/>
          <w:color w:val="auto"/>
          <w:sz w:val="22"/>
          <w:szCs w:val="22"/>
          <w:lang w:val="pt-PT"/>
        </w:rPr>
        <w:t xml:space="preserve">. </w:t>
      </w:r>
      <w:r w:rsidRPr="002A54AF">
        <w:rPr>
          <w:rStyle w:val="hps"/>
          <w:rFonts w:ascii="Times New Roman" w:hAnsi="Times New Roman" w:cs="Times New Roman"/>
          <w:color w:val="auto"/>
          <w:sz w:val="22"/>
          <w:szCs w:val="22"/>
          <w:lang w:val="pt-PT"/>
        </w:rPr>
        <w:t>Se o doente não conseguir</w:t>
      </w:r>
      <w:r w:rsidRPr="002A54AF">
        <w:rPr>
          <w:rFonts w:ascii="Times New Roman" w:hAnsi="Times New Roman" w:cs="Times New Roman"/>
          <w:color w:val="auto"/>
          <w:sz w:val="22"/>
          <w:szCs w:val="22"/>
          <w:lang w:val="pt-PT"/>
        </w:rPr>
        <w:t xml:space="preserve"> </w:t>
      </w:r>
      <w:r w:rsidRPr="002A54AF">
        <w:rPr>
          <w:rStyle w:val="hps"/>
          <w:rFonts w:ascii="Times New Roman" w:hAnsi="Times New Roman" w:cs="Times New Roman"/>
          <w:color w:val="auto"/>
          <w:sz w:val="22"/>
          <w:szCs w:val="22"/>
          <w:lang w:val="pt-PT"/>
        </w:rPr>
        <w:t>tolerar o tratamento</w:t>
      </w:r>
      <w:r w:rsidRPr="002A54AF">
        <w:rPr>
          <w:rFonts w:ascii="Times New Roman" w:hAnsi="Times New Roman" w:cs="Times New Roman"/>
          <w:color w:val="auto"/>
          <w:sz w:val="22"/>
          <w:szCs w:val="22"/>
          <w:lang w:val="pt-PT"/>
        </w:rPr>
        <w:t xml:space="preserve">, deve reduzir-se a dose em intervalos </w:t>
      </w:r>
      <w:r w:rsidRPr="002A54AF">
        <w:rPr>
          <w:rStyle w:val="hps"/>
          <w:rFonts w:ascii="Times New Roman" w:hAnsi="Times New Roman" w:cs="Times New Roman"/>
          <w:color w:val="auto"/>
          <w:sz w:val="22"/>
          <w:szCs w:val="22"/>
          <w:lang w:val="pt-PT"/>
        </w:rPr>
        <w:t>de 1</w:t>
      </w:r>
      <w:r w:rsidR="00F66FD2" w:rsidRPr="002A54AF">
        <w:rPr>
          <w:rFonts w:ascii="Times New Roman" w:hAnsi="Times New Roman" w:cs="Times New Roman"/>
          <w:color w:val="auto"/>
          <w:sz w:val="22"/>
          <w:szCs w:val="22"/>
          <w:lang w:val="pt-PT"/>
        </w:rPr>
        <w:t> </w:t>
      </w:r>
      <w:r w:rsidRPr="002A54AF">
        <w:rPr>
          <w:rStyle w:val="hps"/>
          <w:rFonts w:ascii="Times New Roman" w:hAnsi="Times New Roman" w:cs="Times New Roman"/>
          <w:color w:val="auto"/>
          <w:sz w:val="22"/>
          <w:szCs w:val="22"/>
          <w:lang w:val="pt-PT"/>
        </w:rPr>
        <w:t>mg/kg</w:t>
      </w:r>
      <w:r w:rsidRPr="002A54AF">
        <w:rPr>
          <w:rFonts w:ascii="Times New Roman" w:hAnsi="Times New Roman" w:cs="Times New Roman"/>
          <w:color w:val="auto"/>
          <w:sz w:val="22"/>
          <w:szCs w:val="22"/>
          <w:lang w:val="pt-PT"/>
        </w:rPr>
        <w:t xml:space="preserve"> </w:t>
      </w:r>
      <w:r w:rsidRPr="002A54AF">
        <w:rPr>
          <w:rStyle w:val="hps"/>
          <w:rFonts w:ascii="Times New Roman" w:hAnsi="Times New Roman" w:cs="Times New Roman"/>
          <w:color w:val="auto"/>
          <w:sz w:val="22"/>
          <w:szCs w:val="22"/>
          <w:lang w:val="pt-PT"/>
        </w:rPr>
        <w:t>(ou</w:t>
      </w:r>
      <w:r w:rsidRPr="002A54AF">
        <w:rPr>
          <w:rFonts w:ascii="Times New Roman" w:hAnsi="Times New Roman" w:cs="Times New Roman"/>
          <w:color w:val="auto"/>
          <w:sz w:val="22"/>
          <w:szCs w:val="22"/>
          <w:lang w:val="pt-PT"/>
        </w:rPr>
        <w:t xml:space="preserve"> </w:t>
      </w:r>
      <w:r w:rsidRPr="002A54AF">
        <w:rPr>
          <w:rStyle w:val="hps"/>
          <w:rFonts w:ascii="Times New Roman" w:hAnsi="Times New Roman" w:cs="Times New Roman"/>
          <w:color w:val="auto"/>
          <w:sz w:val="22"/>
          <w:szCs w:val="22"/>
          <w:lang w:val="pt-PT"/>
        </w:rPr>
        <w:t>em intervalos de 50</w:t>
      </w:r>
      <w:r w:rsidR="00F66FD2" w:rsidRPr="002A54AF">
        <w:rPr>
          <w:rFonts w:ascii="Times New Roman" w:hAnsi="Times New Roman" w:cs="Times New Roman"/>
          <w:color w:val="auto"/>
          <w:sz w:val="22"/>
          <w:szCs w:val="22"/>
          <w:lang w:val="pt-PT"/>
        </w:rPr>
        <w:t> </w:t>
      </w:r>
      <w:r w:rsidRPr="002A54AF">
        <w:rPr>
          <w:rStyle w:val="hps"/>
          <w:rFonts w:ascii="Times New Roman" w:hAnsi="Times New Roman" w:cs="Times New Roman"/>
          <w:color w:val="auto"/>
          <w:sz w:val="22"/>
          <w:szCs w:val="22"/>
          <w:lang w:val="pt-PT"/>
        </w:rPr>
        <w:t>mg</w:t>
      </w:r>
      <w:r w:rsidRPr="002A54AF">
        <w:rPr>
          <w:rFonts w:ascii="Times New Roman" w:hAnsi="Times New Roman" w:cs="Times New Roman"/>
          <w:color w:val="auto"/>
          <w:sz w:val="22"/>
          <w:szCs w:val="22"/>
          <w:lang w:val="pt-PT"/>
        </w:rPr>
        <w:t xml:space="preserve"> </w:t>
      </w:r>
      <w:r w:rsidRPr="002A54AF">
        <w:rPr>
          <w:rStyle w:val="hps"/>
          <w:rFonts w:ascii="Times New Roman" w:hAnsi="Times New Roman" w:cs="Times New Roman"/>
          <w:color w:val="auto"/>
          <w:sz w:val="22"/>
          <w:szCs w:val="22"/>
          <w:lang w:val="pt-PT"/>
        </w:rPr>
        <w:t>se inicialmente foi dada a dose</w:t>
      </w:r>
      <w:r w:rsidRPr="002A54AF">
        <w:rPr>
          <w:rFonts w:ascii="Times New Roman" w:hAnsi="Times New Roman" w:cs="Times New Roman"/>
          <w:color w:val="auto"/>
          <w:sz w:val="22"/>
          <w:szCs w:val="22"/>
          <w:lang w:val="pt-PT"/>
        </w:rPr>
        <w:t xml:space="preserve"> </w:t>
      </w:r>
      <w:r w:rsidRPr="002A54AF">
        <w:rPr>
          <w:rStyle w:val="hps"/>
          <w:rFonts w:ascii="Times New Roman" w:hAnsi="Times New Roman" w:cs="Times New Roman"/>
          <w:color w:val="auto"/>
          <w:sz w:val="22"/>
          <w:szCs w:val="22"/>
          <w:lang w:val="pt-PT"/>
        </w:rPr>
        <w:t>oral máxima</w:t>
      </w:r>
      <w:r w:rsidRPr="002A54AF">
        <w:rPr>
          <w:rFonts w:ascii="Times New Roman" w:hAnsi="Times New Roman" w:cs="Times New Roman"/>
          <w:color w:val="auto"/>
          <w:sz w:val="22"/>
          <w:szCs w:val="22"/>
          <w:lang w:val="pt-PT"/>
        </w:rPr>
        <w:t xml:space="preserve"> </w:t>
      </w:r>
      <w:r w:rsidRPr="002A54AF">
        <w:rPr>
          <w:rStyle w:val="hps"/>
          <w:rFonts w:ascii="Times New Roman" w:hAnsi="Times New Roman" w:cs="Times New Roman"/>
          <w:color w:val="auto"/>
          <w:sz w:val="22"/>
          <w:szCs w:val="22"/>
          <w:lang w:val="pt-PT"/>
        </w:rPr>
        <w:t>de 350</w:t>
      </w:r>
      <w:r w:rsidR="00F66FD2" w:rsidRPr="002A54AF">
        <w:rPr>
          <w:rFonts w:ascii="Times New Roman" w:hAnsi="Times New Roman" w:cs="Times New Roman"/>
          <w:color w:val="auto"/>
          <w:sz w:val="22"/>
          <w:szCs w:val="22"/>
          <w:lang w:val="pt-PT"/>
        </w:rPr>
        <w:t> </w:t>
      </w:r>
      <w:r w:rsidRPr="002A54AF">
        <w:rPr>
          <w:rStyle w:val="hps"/>
          <w:rFonts w:ascii="Times New Roman" w:hAnsi="Times New Roman" w:cs="Times New Roman"/>
          <w:color w:val="auto"/>
          <w:sz w:val="22"/>
          <w:szCs w:val="22"/>
          <w:lang w:val="pt-PT"/>
        </w:rPr>
        <w:t>mg).</w:t>
      </w:r>
    </w:p>
    <w:p w14:paraId="2E4679FD" w14:textId="77777777" w:rsidR="008805C8" w:rsidRPr="002A54AF" w:rsidRDefault="008805C8" w:rsidP="008805C8">
      <w:pPr>
        <w:pStyle w:val="Default"/>
        <w:rPr>
          <w:rStyle w:val="hps"/>
          <w:rFonts w:ascii="Times New Roman" w:hAnsi="Times New Roman" w:cs="Times New Roman"/>
          <w:color w:val="auto"/>
          <w:sz w:val="22"/>
          <w:szCs w:val="22"/>
          <w:lang w:val="pt-PT"/>
        </w:rPr>
      </w:pPr>
    </w:p>
    <w:p w14:paraId="60C2A857" w14:textId="77777777" w:rsidR="008805C8" w:rsidRPr="002A54AF" w:rsidRDefault="008805C8" w:rsidP="008805C8">
      <w:pPr>
        <w:pStyle w:val="Default"/>
        <w:rPr>
          <w:rStyle w:val="hps"/>
          <w:rFonts w:ascii="Times New Roman" w:hAnsi="Times New Roman" w:cs="Times New Roman"/>
          <w:color w:val="auto"/>
          <w:sz w:val="22"/>
          <w:szCs w:val="22"/>
          <w:lang w:val="pt-PT"/>
        </w:rPr>
      </w:pPr>
      <w:r w:rsidRPr="002A54AF">
        <w:rPr>
          <w:rStyle w:val="hps"/>
          <w:rFonts w:ascii="Times New Roman" w:hAnsi="Times New Roman" w:cs="Times New Roman"/>
          <w:color w:val="auto"/>
          <w:sz w:val="22"/>
          <w:szCs w:val="22"/>
          <w:lang w:val="pt-PT"/>
        </w:rPr>
        <w:t>A utilização em doentes pediátri</w:t>
      </w:r>
      <w:r w:rsidR="00F66FD2" w:rsidRPr="002A54AF">
        <w:rPr>
          <w:rStyle w:val="hps"/>
          <w:rFonts w:ascii="Times New Roman" w:hAnsi="Times New Roman" w:cs="Times New Roman"/>
          <w:color w:val="auto"/>
          <w:sz w:val="22"/>
          <w:szCs w:val="22"/>
          <w:lang w:val="pt-PT"/>
        </w:rPr>
        <w:t>cos com idades entre os 2 e &lt;12 </w:t>
      </w:r>
      <w:r w:rsidRPr="002A54AF">
        <w:rPr>
          <w:rStyle w:val="hps"/>
          <w:rFonts w:ascii="Times New Roman" w:hAnsi="Times New Roman" w:cs="Times New Roman"/>
          <w:color w:val="auto"/>
          <w:sz w:val="22"/>
          <w:szCs w:val="22"/>
          <w:lang w:val="pt-PT"/>
        </w:rPr>
        <w:t>anos com insuficiência renal ou hepática não foi estu</w:t>
      </w:r>
      <w:r w:rsidR="0017325D" w:rsidRPr="002A54AF">
        <w:rPr>
          <w:rStyle w:val="hps"/>
          <w:rFonts w:ascii="Times New Roman" w:hAnsi="Times New Roman" w:cs="Times New Roman"/>
          <w:color w:val="auto"/>
          <w:sz w:val="22"/>
          <w:szCs w:val="22"/>
          <w:lang w:val="pt-PT"/>
        </w:rPr>
        <w:t>dada (ver secções </w:t>
      </w:r>
      <w:r w:rsidRPr="002A54AF">
        <w:rPr>
          <w:rStyle w:val="hps"/>
          <w:rFonts w:ascii="Times New Roman" w:hAnsi="Times New Roman" w:cs="Times New Roman"/>
          <w:color w:val="auto"/>
          <w:sz w:val="22"/>
          <w:szCs w:val="22"/>
          <w:lang w:val="pt-PT"/>
        </w:rPr>
        <w:t>4.8 e 5.2).</w:t>
      </w:r>
    </w:p>
    <w:p w14:paraId="26C0EBBF" w14:textId="77777777" w:rsidR="008805C8" w:rsidRPr="002A54AF" w:rsidRDefault="008805C8" w:rsidP="008805C8">
      <w:pPr>
        <w:pStyle w:val="Default"/>
        <w:rPr>
          <w:rStyle w:val="hps"/>
          <w:rFonts w:ascii="Times New Roman" w:hAnsi="Times New Roman" w:cs="Times New Roman"/>
          <w:color w:val="auto"/>
          <w:sz w:val="22"/>
          <w:szCs w:val="22"/>
          <w:lang w:val="pt-PT"/>
        </w:rPr>
      </w:pPr>
    </w:p>
    <w:p w14:paraId="5220C591" w14:textId="77777777" w:rsidR="008805C8" w:rsidRPr="002A54AF" w:rsidRDefault="008805C8" w:rsidP="008805C8">
      <w:pPr>
        <w:pStyle w:val="Default"/>
        <w:rPr>
          <w:rStyle w:val="hps"/>
          <w:rFonts w:ascii="Times New Roman" w:hAnsi="Times New Roman" w:cs="Times New Roman"/>
          <w:color w:val="auto"/>
          <w:sz w:val="22"/>
          <w:szCs w:val="22"/>
          <w:u w:val="single"/>
          <w:lang w:val="pt-PT"/>
        </w:rPr>
      </w:pPr>
      <w:r w:rsidRPr="002A54AF">
        <w:rPr>
          <w:rStyle w:val="hps"/>
          <w:rFonts w:ascii="Times New Roman" w:hAnsi="Times New Roman" w:cs="Times New Roman"/>
          <w:color w:val="auto"/>
          <w:sz w:val="22"/>
          <w:szCs w:val="22"/>
          <w:u w:val="single"/>
          <w:lang w:val="pt-PT"/>
        </w:rPr>
        <w:t>Profilaxia em adultos e crianças</w:t>
      </w:r>
    </w:p>
    <w:p w14:paraId="4E483AF2" w14:textId="77777777" w:rsidR="008805C8" w:rsidRPr="002A54AF" w:rsidRDefault="008805C8" w:rsidP="008805C8">
      <w:pPr>
        <w:pStyle w:val="Default"/>
        <w:rPr>
          <w:rStyle w:val="hps"/>
          <w:rFonts w:ascii="Times New Roman" w:hAnsi="Times New Roman" w:cs="Times New Roman"/>
          <w:color w:val="auto"/>
          <w:sz w:val="22"/>
          <w:szCs w:val="22"/>
          <w:lang w:val="pt-PT"/>
        </w:rPr>
      </w:pPr>
      <w:r w:rsidRPr="002A54AF">
        <w:rPr>
          <w:rStyle w:val="hps"/>
          <w:rFonts w:ascii="Times New Roman" w:hAnsi="Times New Roman" w:cs="Times New Roman"/>
          <w:color w:val="auto"/>
          <w:sz w:val="22"/>
          <w:szCs w:val="22"/>
          <w:lang w:val="pt-PT"/>
        </w:rPr>
        <w:t xml:space="preserve">A profilaxia deve ser iniciada no dia do transplante e pode ser administrada até durante 100 dias. A duração da profilaxia deve ser a menor possível, dependendo do risco de desenvolvimento de infeção fúngica invasiva (IFI) definida por neutropenia ou imunossupressão. Apenas pode ser continuada até 180 dias após o transplante em caso de persistência da imunossupressão ou de doença de enxerto </w:t>
      </w:r>
      <w:r w:rsidRPr="002A54AF">
        <w:rPr>
          <w:rStyle w:val="hps"/>
          <w:rFonts w:ascii="Times New Roman" w:hAnsi="Times New Roman" w:cs="Times New Roman"/>
          <w:i/>
          <w:color w:val="auto"/>
          <w:sz w:val="22"/>
          <w:szCs w:val="22"/>
          <w:lang w:val="pt-PT"/>
        </w:rPr>
        <w:t>versus</w:t>
      </w:r>
      <w:r w:rsidR="0017325D" w:rsidRPr="002A54AF">
        <w:rPr>
          <w:rStyle w:val="hps"/>
          <w:rFonts w:ascii="Times New Roman" w:hAnsi="Times New Roman" w:cs="Times New Roman"/>
          <w:color w:val="auto"/>
          <w:sz w:val="22"/>
          <w:szCs w:val="22"/>
          <w:lang w:val="pt-PT"/>
        </w:rPr>
        <w:t xml:space="preserve"> hospedeiro (ver secção </w:t>
      </w:r>
      <w:r w:rsidRPr="002A54AF">
        <w:rPr>
          <w:rStyle w:val="hps"/>
          <w:rFonts w:ascii="Times New Roman" w:hAnsi="Times New Roman" w:cs="Times New Roman"/>
          <w:color w:val="auto"/>
          <w:sz w:val="22"/>
          <w:szCs w:val="22"/>
          <w:lang w:val="pt-PT"/>
        </w:rPr>
        <w:t>5.1).</w:t>
      </w:r>
    </w:p>
    <w:p w14:paraId="440A25A3" w14:textId="77777777" w:rsidR="008805C8" w:rsidRPr="002A54AF" w:rsidRDefault="008805C8" w:rsidP="008805C8">
      <w:pPr>
        <w:pStyle w:val="Default"/>
        <w:rPr>
          <w:rStyle w:val="hps"/>
          <w:rFonts w:ascii="Times New Roman" w:hAnsi="Times New Roman" w:cs="Times New Roman"/>
          <w:color w:val="auto"/>
          <w:sz w:val="22"/>
          <w:szCs w:val="22"/>
          <w:lang w:val="pt-PT"/>
        </w:rPr>
      </w:pPr>
    </w:p>
    <w:p w14:paraId="5452C23E" w14:textId="77777777" w:rsidR="008805C8" w:rsidRPr="002A54AF" w:rsidRDefault="008805C8" w:rsidP="008805C8">
      <w:pPr>
        <w:pStyle w:val="Default"/>
        <w:rPr>
          <w:rStyle w:val="hps"/>
          <w:rFonts w:ascii="Times New Roman" w:hAnsi="Times New Roman" w:cs="Times New Roman"/>
          <w:i/>
          <w:color w:val="auto"/>
          <w:sz w:val="22"/>
          <w:szCs w:val="22"/>
          <w:lang w:val="pt-PT"/>
        </w:rPr>
      </w:pPr>
      <w:r w:rsidRPr="002A54AF">
        <w:rPr>
          <w:rStyle w:val="hps"/>
          <w:rFonts w:ascii="Times New Roman" w:hAnsi="Times New Roman" w:cs="Times New Roman"/>
          <w:i/>
          <w:color w:val="auto"/>
          <w:sz w:val="22"/>
          <w:szCs w:val="22"/>
          <w:lang w:val="pt-PT"/>
        </w:rPr>
        <w:t>Dose</w:t>
      </w:r>
    </w:p>
    <w:p w14:paraId="05F2B12C" w14:textId="77777777" w:rsidR="008805C8" w:rsidRPr="002A54AF" w:rsidRDefault="008805C8" w:rsidP="008805C8">
      <w:pPr>
        <w:pStyle w:val="Default"/>
        <w:rPr>
          <w:rStyle w:val="hps"/>
          <w:rFonts w:ascii="Times New Roman" w:hAnsi="Times New Roman" w:cs="Times New Roman"/>
          <w:color w:val="auto"/>
          <w:sz w:val="22"/>
          <w:szCs w:val="22"/>
          <w:lang w:val="pt-PT"/>
        </w:rPr>
      </w:pPr>
      <w:r w:rsidRPr="002A54AF">
        <w:rPr>
          <w:rStyle w:val="hps"/>
          <w:rFonts w:ascii="Times New Roman" w:hAnsi="Times New Roman" w:cs="Times New Roman"/>
          <w:color w:val="auto"/>
          <w:sz w:val="22"/>
          <w:szCs w:val="22"/>
          <w:lang w:val="pt-PT"/>
        </w:rPr>
        <w:t>O regime posológico recomendado para a profilaxia é o mesmo que para o tratamento nos respetivos grupos etários. Consulte as tabelas de tratamento acima.</w:t>
      </w:r>
    </w:p>
    <w:p w14:paraId="4A83A6FF" w14:textId="77777777" w:rsidR="008805C8" w:rsidRPr="002A54AF" w:rsidRDefault="008805C8" w:rsidP="008805C8">
      <w:pPr>
        <w:tabs>
          <w:tab w:val="left" w:pos="567"/>
        </w:tabs>
        <w:suppressAutoHyphens/>
        <w:rPr>
          <w:szCs w:val="22"/>
          <w:lang w:val="pt-PT"/>
        </w:rPr>
      </w:pPr>
    </w:p>
    <w:p w14:paraId="37AA5F73" w14:textId="77777777" w:rsidR="008805C8" w:rsidRPr="002A54AF" w:rsidRDefault="008805C8" w:rsidP="008805C8">
      <w:pPr>
        <w:pStyle w:val="Heading5"/>
        <w:keepNext w:val="0"/>
        <w:tabs>
          <w:tab w:val="left" w:pos="567"/>
        </w:tabs>
        <w:rPr>
          <w:b w:val="0"/>
          <w:i/>
          <w:szCs w:val="22"/>
        </w:rPr>
      </w:pPr>
      <w:r w:rsidRPr="002A54AF">
        <w:rPr>
          <w:b w:val="0"/>
          <w:i/>
          <w:szCs w:val="22"/>
        </w:rPr>
        <w:t>Duração da profilaxia</w:t>
      </w:r>
    </w:p>
    <w:p w14:paraId="1E1C9E50" w14:textId="77777777" w:rsidR="008805C8" w:rsidRPr="002A54AF" w:rsidRDefault="008805C8" w:rsidP="008805C8">
      <w:pPr>
        <w:rPr>
          <w:szCs w:val="22"/>
          <w:lang w:val="pt-PT"/>
        </w:rPr>
      </w:pPr>
      <w:r w:rsidRPr="002A54AF">
        <w:rPr>
          <w:szCs w:val="22"/>
          <w:lang w:val="pt-PT"/>
        </w:rPr>
        <w:t>A segurança e a eficácia da utilização de voriconazol por um período superior a 180 dias não foram devidamente estudadas em ensaios clínicos.</w:t>
      </w:r>
    </w:p>
    <w:p w14:paraId="4AF22D3E" w14:textId="77777777" w:rsidR="008805C8" w:rsidRPr="002A54AF" w:rsidRDefault="008805C8" w:rsidP="008805C8">
      <w:pPr>
        <w:rPr>
          <w:szCs w:val="22"/>
          <w:lang w:val="pt-PT"/>
        </w:rPr>
      </w:pPr>
    </w:p>
    <w:p w14:paraId="47BE769E" w14:textId="77777777" w:rsidR="008805C8" w:rsidRPr="002A54AF" w:rsidRDefault="008805C8" w:rsidP="008805C8">
      <w:pPr>
        <w:rPr>
          <w:szCs w:val="22"/>
          <w:lang w:val="pt-PT"/>
        </w:rPr>
      </w:pPr>
      <w:r w:rsidRPr="002A54AF">
        <w:rPr>
          <w:szCs w:val="22"/>
          <w:lang w:val="pt-PT"/>
        </w:rPr>
        <w:t>A utilização de voriconazol em profilaxia, por mais de 180 dias (6 meses), requer uma cuidadosa avaliação da relaç</w:t>
      </w:r>
      <w:r w:rsidR="0017325D" w:rsidRPr="002A54AF">
        <w:rPr>
          <w:szCs w:val="22"/>
          <w:lang w:val="pt-PT"/>
        </w:rPr>
        <w:t>ão benefício-risco (ver secções </w:t>
      </w:r>
      <w:r w:rsidRPr="002A54AF">
        <w:rPr>
          <w:szCs w:val="22"/>
          <w:lang w:val="pt-PT"/>
        </w:rPr>
        <w:t>4.4 e</w:t>
      </w:r>
      <w:r w:rsidR="00633122">
        <w:rPr>
          <w:szCs w:val="22"/>
          <w:lang w:val="pt-PT"/>
        </w:rPr>
        <w:t> </w:t>
      </w:r>
      <w:r w:rsidRPr="002A54AF">
        <w:rPr>
          <w:szCs w:val="22"/>
          <w:lang w:val="pt-PT"/>
        </w:rPr>
        <w:t>5.1).</w:t>
      </w:r>
    </w:p>
    <w:p w14:paraId="70D97618" w14:textId="77777777" w:rsidR="008805C8" w:rsidRPr="002A54AF" w:rsidRDefault="008805C8" w:rsidP="008805C8">
      <w:pPr>
        <w:rPr>
          <w:szCs w:val="22"/>
          <w:lang w:val="pt-PT"/>
        </w:rPr>
      </w:pPr>
    </w:p>
    <w:p w14:paraId="619469BB" w14:textId="77777777" w:rsidR="008805C8" w:rsidRPr="002A54AF" w:rsidRDefault="008805C8" w:rsidP="008805C8">
      <w:pPr>
        <w:rPr>
          <w:szCs w:val="22"/>
          <w:u w:val="single"/>
          <w:lang w:val="pt-PT"/>
        </w:rPr>
      </w:pPr>
      <w:r w:rsidRPr="002A54AF">
        <w:rPr>
          <w:szCs w:val="22"/>
          <w:u w:val="single"/>
          <w:lang w:val="pt-PT"/>
        </w:rPr>
        <w:lastRenderedPageBreak/>
        <w:t>As seguintes instruções aplicam-se quer para o tratamento, quer para a profilaxia</w:t>
      </w:r>
    </w:p>
    <w:p w14:paraId="15A9243F" w14:textId="77777777" w:rsidR="008805C8" w:rsidRPr="002A54AF" w:rsidRDefault="008805C8" w:rsidP="008805C8">
      <w:pPr>
        <w:rPr>
          <w:szCs w:val="22"/>
          <w:lang w:val="pt-PT"/>
        </w:rPr>
      </w:pPr>
    </w:p>
    <w:p w14:paraId="14E03B4A" w14:textId="77777777" w:rsidR="008805C8" w:rsidRPr="00E951C7" w:rsidRDefault="008805C8" w:rsidP="008805C8">
      <w:pPr>
        <w:rPr>
          <w:i/>
          <w:szCs w:val="22"/>
          <w:lang w:val="pt-PT"/>
        </w:rPr>
      </w:pPr>
      <w:r w:rsidRPr="00E951C7">
        <w:rPr>
          <w:i/>
          <w:szCs w:val="22"/>
          <w:lang w:val="pt-PT"/>
        </w:rPr>
        <w:t>Ajuste de dose</w:t>
      </w:r>
    </w:p>
    <w:p w14:paraId="794F3469" w14:textId="77777777" w:rsidR="008805C8" w:rsidRPr="002A54AF" w:rsidRDefault="008805C8" w:rsidP="008805C8">
      <w:pPr>
        <w:rPr>
          <w:szCs w:val="22"/>
          <w:lang w:val="pt-PT"/>
        </w:rPr>
      </w:pPr>
      <w:r w:rsidRPr="002A54AF">
        <w:rPr>
          <w:szCs w:val="22"/>
          <w:lang w:val="pt-PT"/>
        </w:rPr>
        <w:t>Para utilização profilática, não se recomendam ajustes de dose no caso de perda de eficácia ou de acontecimentos adversos relacionados com o tratamento. No caso de acontecimentos adversos relacionados com o tratamento, deve considerar-se a interrupção do voriconazol e a utilização de agentes antifún</w:t>
      </w:r>
      <w:r w:rsidR="0017325D" w:rsidRPr="002A54AF">
        <w:rPr>
          <w:szCs w:val="22"/>
          <w:lang w:val="pt-PT"/>
        </w:rPr>
        <w:t>gicos alternativos (ver secções </w:t>
      </w:r>
      <w:r w:rsidRPr="002A54AF">
        <w:rPr>
          <w:szCs w:val="22"/>
          <w:lang w:val="pt-PT"/>
        </w:rPr>
        <w:t>4.4 e</w:t>
      </w:r>
      <w:r w:rsidR="00131905">
        <w:rPr>
          <w:szCs w:val="22"/>
          <w:lang w:val="pt-PT"/>
        </w:rPr>
        <w:t> </w:t>
      </w:r>
      <w:r w:rsidRPr="002A54AF">
        <w:rPr>
          <w:szCs w:val="22"/>
          <w:lang w:val="pt-PT"/>
        </w:rPr>
        <w:t>4.8).</w:t>
      </w:r>
    </w:p>
    <w:p w14:paraId="6E9A98A0" w14:textId="77777777" w:rsidR="005110B9" w:rsidRPr="002A54AF" w:rsidRDefault="005110B9" w:rsidP="008805C8">
      <w:pPr>
        <w:rPr>
          <w:i/>
          <w:szCs w:val="22"/>
          <w:lang w:val="pt-PT"/>
        </w:rPr>
      </w:pPr>
    </w:p>
    <w:p w14:paraId="3BDE3553" w14:textId="77777777" w:rsidR="00011577" w:rsidRPr="00266D2D" w:rsidRDefault="008805C8" w:rsidP="008805C8">
      <w:pPr>
        <w:rPr>
          <w:i/>
          <w:szCs w:val="22"/>
          <w:u w:val="single"/>
          <w:lang w:val="pt-PT"/>
        </w:rPr>
      </w:pPr>
      <w:r w:rsidRPr="00266D2D">
        <w:rPr>
          <w:i/>
          <w:szCs w:val="22"/>
          <w:u w:val="single"/>
          <w:lang w:val="pt-PT"/>
        </w:rPr>
        <w:t>Ajustes de dose em caso de coadministração</w:t>
      </w:r>
    </w:p>
    <w:p w14:paraId="56B08D17" w14:textId="77777777" w:rsidR="00011577" w:rsidRPr="002A54AF" w:rsidRDefault="00011577" w:rsidP="00011577">
      <w:pPr>
        <w:tabs>
          <w:tab w:val="left" w:pos="567"/>
        </w:tabs>
        <w:suppressAutoHyphens/>
        <w:rPr>
          <w:szCs w:val="22"/>
          <w:lang w:val="pt-PT"/>
        </w:rPr>
      </w:pPr>
      <w:r w:rsidRPr="002A54AF">
        <w:rPr>
          <w:szCs w:val="22"/>
          <w:lang w:val="pt-PT"/>
        </w:rPr>
        <w:t>A fenitoína pode ser coadministrada com o voriconazol se a dose de manutenção do voriconazol for aumentada de 200</w:t>
      </w:r>
      <w:r w:rsidR="008805C8" w:rsidRPr="002A54AF">
        <w:rPr>
          <w:szCs w:val="22"/>
          <w:lang w:val="pt-PT"/>
        </w:rPr>
        <w:t> </w:t>
      </w:r>
      <w:r w:rsidRPr="002A54AF">
        <w:rPr>
          <w:szCs w:val="22"/>
          <w:lang w:val="pt-PT"/>
        </w:rPr>
        <w:t>mg para 400 mg por via oral, duas vezes por dia (100 mg para 200 mg por via oral, duas vezes por dia em doentes com peso inferior a 40 kg), ver secções 4.4 e</w:t>
      </w:r>
      <w:r w:rsidR="00131905">
        <w:rPr>
          <w:szCs w:val="22"/>
          <w:lang w:val="pt-PT"/>
        </w:rPr>
        <w:t> </w:t>
      </w:r>
      <w:r w:rsidRPr="002A54AF">
        <w:rPr>
          <w:szCs w:val="22"/>
          <w:lang w:val="pt-PT"/>
        </w:rPr>
        <w:t>4.5.</w:t>
      </w:r>
    </w:p>
    <w:p w14:paraId="4E218053" w14:textId="77777777" w:rsidR="00011577" w:rsidRPr="002A54AF" w:rsidRDefault="00011577" w:rsidP="00011577">
      <w:pPr>
        <w:tabs>
          <w:tab w:val="left" w:pos="567"/>
        </w:tabs>
        <w:suppressAutoHyphens/>
        <w:rPr>
          <w:szCs w:val="22"/>
          <w:lang w:val="pt-PT"/>
        </w:rPr>
      </w:pPr>
    </w:p>
    <w:p w14:paraId="7644C93D" w14:textId="77777777" w:rsidR="00011577" w:rsidRPr="002A54AF" w:rsidRDefault="00011577" w:rsidP="00011577">
      <w:pPr>
        <w:tabs>
          <w:tab w:val="left" w:pos="567"/>
        </w:tabs>
        <w:suppressAutoHyphens/>
        <w:rPr>
          <w:szCs w:val="22"/>
          <w:lang w:val="pt-PT"/>
        </w:rPr>
      </w:pPr>
      <w:r w:rsidRPr="002A54AF">
        <w:rPr>
          <w:szCs w:val="22"/>
          <w:lang w:val="pt-PT"/>
        </w:rPr>
        <w:t>A associação de voriconazol com a rifabutina deve ser evitada, se possível. No entanto, se a associação for estritamente necessária, a dose de manutenção do voriconazol pode ser aumentada de 200 mg para 350 mg por via oral, duas vezes por dia (100 mg para 200 mg por via oral, duas vezes por dia em doentes com peso inferior a 40 kg), ver secções 4.4 e</w:t>
      </w:r>
      <w:r w:rsidR="00131905">
        <w:rPr>
          <w:szCs w:val="22"/>
          <w:lang w:val="pt-PT"/>
        </w:rPr>
        <w:t> </w:t>
      </w:r>
      <w:r w:rsidRPr="002A54AF">
        <w:rPr>
          <w:szCs w:val="22"/>
          <w:lang w:val="pt-PT"/>
        </w:rPr>
        <w:t>4.5.</w:t>
      </w:r>
    </w:p>
    <w:p w14:paraId="47E9283D" w14:textId="77777777" w:rsidR="00011577" w:rsidRPr="002A54AF" w:rsidRDefault="00011577" w:rsidP="00011577">
      <w:pPr>
        <w:tabs>
          <w:tab w:val="left" w:pos="567"/>
        </w:tabs>
        <w:suppressAutoHyphens/>
        <w:rPr>
          <w:szCs w:val="22"/>
          <w:lang w:val="pt-PT"/>
        </w:rPr>
      </w:pPr>
    </w:p>
    <w:p w14:paraId="56B98865" w14:textId="77777777" w:rsidR="00011577" w:rsidRPr="002A54AF" w:rsidRDefault="00011577" w:rsidP="00011577">
      <w:pPr>
        <w:tabs>
          <w:tab w:val="left" w:pos="567"/>
        </w:tabs>
        <w:suppressAutoHyphens/>
        <w:rPr>
          <w:szCs w:val="22"/>
          <w:lang w:val="pt-PT"/>
        </w:rPr>
      </w:pPr>
      <w:r w:rsidRPr="002A54AF">
        <w:rPr>
          <w:szCs w:val="22"/>
          <w:lang w:val="pt-PT"/>
        </w:rPr>
        <w:t>O efavirenz pode ser administrado concomitantemente com o voriconazol, se a dose de manutenção de voriconazol for aumentada para 400 mg a cada 12 horas e a dose de efavirenz for reduzida em 50%, isto é, para 300 mg uma vez por dia. Quando o tratamento com voriconazol é suspenso, a dose inicial de efavirenz deve ser restabelecida (ver secções 4.4 e</w:t>
      </w:r>
      <w:r w:rsidR="00131905">
        <w:rPr>
          <w:szCs w:val="22"/>
          <w:lang w:val="pt-PT"/>
        </w:rPr>
        <w:t> </w:t>
      </w:r>
      <w:r w:rsidRPr="002A54AF">
        <w:rPr>
          <w:szCs w:val="22"/>
          <w:lang w:val="pt-PT"/>
        </w:rPr>
        <w:t>4.5).</w:t>
      </w:r>
    </w:p>
    <w:p w14:paraId="26B27B89" w14:textId="77777777" w:rsidR="00011577" w:rsidRPr="002A54AF" w:rsidRDefault="00011577" w:rsidP="00011577">
      <w:pPr>
        <w:tabs>
          <w:tab w:val="left" w:pos="567"/>
        </w:tabs>
        <w:suppressAutoHyphens/>
        <w:rPr>
          <w:szCs w:val="22"/>
          <w:lang w:val="pt-PT"/>
        </w:rPr>
      </w:pPr>
    </w:p>
    <w:p w14:paraId="2839FF60" w14:textId="77777777" w:rsidR="00011577" w:rsidRPr="00266D2D" w:rsidRDefault="00A25EDC" w:rsidP="00011577">
      <w:pPr>
        <w:pStyle w:val="Heading5"/>
        <w:keepNext w:val="0"/>
        <w:tabs>
          <w:tab w:val="left" w:pos="567"/>
        </w:tabs>
        <w:rPr>
          <w:b w:val="0"/>
          <w:i/>
          <w:szCs w:val="22"/>
          <w:u w:val="single"/>
        </w:rPr>
      </w:pPr>
      <w:r w:rsidRPr="00266D2D">
        <w:rPr>
          <w:b w:val="0"/>
          <w:i/>
          <w:szCs w:val="22"/>
          <w:u w:val="single"/>
        </w:rPr>
        <w:t>I</w:t>
      </w:r>
      <w:r w:rsidR="00011577" w:rsidRPr="00266D2D">
        <w:rPr>
          <w:b w:val="0"/>
          <w:i/>
          <w:szCs w:val="22"/>
          <w:u w:val="single"/>
        </w:rPr>
        <w:t>dosos</w:t>
      </w:r>
    </w:p>
    <w:p w14:paraId="5406E016" w14:textId="77777777" w:rsidR="00011577" w:rsidRPr="002A54AF" w:rsidRDefault="00011577" w:rsidP="00011577">
      <w:pPr>
        <w:tabs>
          <w:tab w:val="left" w:pos="567"/>
        </w:tabs>
        <w:suppressAutoHyphens/>
        <w:rPr>
          <w:szCs w:val="22"/>
          <w:lang w:val="pt-PT"/>
        </w:rPr>
      </w:pPr>
      <w:r w:rsidRPr="002A54AF">
        <w:rPr>
          <w:szCs w:val="22"/>
          <w:lang w:val="pt-PT"/>
        </w:rPr>
        <w:t>Não é necessário ajuste posológico no doente idoso (ver secção 5.2).</w:t>
      </w:r>
    </w:p>
    <w:p w14:paraId="26CFA082" w14:textId="77777777" w:rsidR="00011577" w:rsidRPr="002A54AF" w:rsidRDefault="00011577" w:rsidP="00011577">
      <w:pPr>
        <w:tabs>
          <w:tab w:val="left" w:pos="567"/>
        </w:tabs>
        <w:suppressAutoHyphens/>
        <w:rPr>
          <w:szCs w:val="22"/>
          <w:lang w:val="pt-PT"/>
        </w:rPr>
      </w:pPr>
    </w:p>
    <w:p w14:paraId="064D6004" w14:textId="77777777" w:rsidR="00011577" w:rsidRPr="00266D2D" w:rsidRDefault="00A25EDC" w:rsidP="00011577">
      <w:pPr>
        <w:pStyle w:val="Heading5"/>
        <w:keepNext w:val="0"/>
        <w:tabs>
          <w:tab w:val="left" w:pos="567"/>
        </w:tabs>
        <w:rPr>
          <w:b w:val="0"/>
          <w:i/>
          <w:szCs w:val="22"/>
          <w:u w:val="single"/>
        </w:rPr>
      </w:pPr>
      <w:r w:rsidRPr="00266D2D">
        <w:rPr>
          <w:b w:val="0"/>
          <w:i/>
          <w:szCs w:val="22"/>
          <w:u w:val="single"/>
        </w:rPr>
        <w:t>C</w:t>
      </w:r>
      <w:r w:rsidR="00011577" w:rsidRPr="00266D2D">
        <w:rPr>
          <w:b w:val="0"/>
          <w:i/>
          <w:szCs w:val="22"/>
          <w:u w:val="single"/>
        </w:rPr>
        <w:t>ompromisso renal</w:t>
      </w:r>
    </w:p>
    <w:p w14:paraId="61692330" w14:textId="77777777" w:rsidR="00011577" w:rsidRPr="002A54AF" w:rsidRDefault="00011577" w:rsidP="00011577">
      <w:pPr>
        <w:tabs>
          <w:tab w:val="left" w:pos="567"/>
        </w:tabs>
        <w:suppressAutoHyphens/>
        <w:rPr>
          <w:szCs w:val="22"/>
          <w:lang w:val="pt-PT"/>
        </w:rPr>
      </w:pPr>
      <w:r w:rsidRPr="002A54AF">
        <w:rPr>
          <w:szCs w:val="22"/>
          <w:lang w:val="pt-PT"/>
        </w:rPr>
        <w:t>A farmacocinética do voriconazol administrado por via oral não é afetada pelo compromisso renal. Consequentemente, não é necessário ajuste nas doses administradas por via oral em doentes com compromisso renal ligeiro a grave (ver secção 5.2).</w:t>
      </w:r>
    </w:p>
    <w:p w14:paraId="1977C8F3" w14:textId="77777777" w:rsidR="00011577" w:rsidRPr="002A54AF" w:rsidRDefault="00011577" w:rsidP="00011577">
      <w:pPr>
        <w:tabs>
          <w:tab w:val="left" w:pos="567"/>
        </w:tabs>
        <w:suppressAutoHyphens/>
        <w:rPr>
          <w:szCs w:val="22"/>
          <w:lang w:val="pt-PT"/>
        </w:rPr>
      </w:pPr>
    </w:p>
    <w:p w14:paraId="2364C3F5" w14:textId="77777777" w:rsidR="00011577" w:rsidRPr="002A54AF" w:rsidRDefault="00011577" w:rsidP="00011577">
      <w:pPr>
        <w:tabs>
          <w:tab w:val="left" w:pos="567"/>
        </w:tabs>
        <w:suppressAutoHyphens/>
        <w:rPr>
          <w:szCs w:val="22"/>
          <w:lang w:val="pt-PT"/>
        </w:rPr>
      </w:pPr>
      <w:r w:rsidRPr="002A54AF">
        <w:rPr>
          <w:szCs w:val="22"/>
          <w:lang w:val="pt-PT"/>
        </w:rPr>
        <w:t>O voriconazol é hemodiali</w:t>
      </w:r>
      <w:r w:rsidR="008805C8" w:rsidRPr="002A54AF">
        <w:rPr>
          <w:szCs w:val="22"/>
          <w:lang w:val="pt-PT"/>
        </w:rPr>
        <w:t>s</w:t>
      </w:r>
      <w:r w:rsidRPr="002A54AF">
        <w:rPr>
          <w:szCs w:val="22"/>
          <w:lang w:val="pt-PT"/>
        </w:rPr>
        <w:t>ável com uma depuração de 121 ml/min. Uma sessão de hemodiálise, com duração de 4 horas, não remove uma quantidade de voriconazol suficiente que justifique um ajuste posológico.</w:t>
      </w:r>
    </w:p>
    <w:p w14:paraId="6BBE51E3" w14:textId="77777777" w:rsidR="00011577" w:rsidRPr="002A54AF" w:rsidRDefault="00011577" w:rsidP="00011577">
      <w:pPr>
        <w:tabs>
          <w:tab w:val="left" w:pos="567"/>
        </w:tabs>
        <w:suppressAutoHyphens/>
        <w:rPr>
          <w:szCs w:val="22"/>
          <w:lang w:val="pt-PT"/>
        </w:rPr>
      </w:pPr>
    </w:p>
    <w:p w14:paraId="7F586108" w14:textId="77777777" w:rsidR="00266D2D" w:rsidRPr="00CB39F3" w:rsidRDefault="00266D2D" w:rsidP="00266D2D">
      <w:pPr>
        <w:pStyle w:val="Heading5"/>
        <w:tabs>
          <w:tab w:val="left" w:pos="567"/>
        </w:tabs>
        <w:rPr>
          <w:b w:val="0"/>
          <w:i/>
          <w:u w:val="single"/>
        </w:rPr>
      </w:pPr>
      <w:r w:rsidRPr="00CB39F3">
        <w:rPr>
          <w:b w:val="0"/>
          <w:i/>
          <w:u w:val="single"/>
        </w:rPr>
        <w:t>Compromisso hepático</w:t>
      </w:r>
    </w:p>
    <w:p w14:paraId="7C8F5B93" w14:textId="77777777" w:rsidR="00011577" w:rsidRPr="002A54AF" w:rsidRDefault="00011577" w:rsidP="00011577">
      <w:pPr>
        <w:tabs>
          <w:tab w:val="left" w:pos="567"/>
        </w:tabs>
        <w:suppressAutoHyphens/>
        <w:rPr>
          <w:szCs w:val="22"/>
          <w:lang w:val="pt-PT"/>
        </w:rPr>
      </w:pPr>
      <w:r w:rsidRPr="002A54AF">
        <w:rPr>
          <w:szCs w:val="22"/>
          <w:lang w:val="pt-PT"/>
        </w:rPr>
        <w:t>Recomenda-se que seja utilizado o regime de dose de carga padrão, contudo a dose de manutenção deve ser reduzida para metade em doentes com cirrose hepática ligeira a moderada (Child-Pugh A e B) medicados com voriconazol (ver secção 5.2).</w:t>
      </w:r>
    </w:p>
    <w:p w14:paraId="22B9175B" w14:textId="77777777" w:rsidR="00011577" w:rsidRPr="002A54AF" w:rsidRDefault="00011577" w:rsidP="00011577">
      <w:pPr>
        <w:tabs>
          <w:tab w:val="left" w:pos="567"/>
        </w:tabs>
        <w:suppressAutoHyphens/>
        <w:rPr>
          <w:szCs w:val="22"/>
          <w:lang w:val="pt-PT"/>
        </w:rPr>
      </w:pPr>
    </w:p>
    <w:p w14:paraId="31C1C8C3" w14:textId="77777777" w:rsidR="00011577" w:rsidRPr="002A54AF" w:rsidRDefault="00011577" w:rsidP="00011577">
      <w:pPr>
        <w:tabs>
          <w:tab w:val="left" w:pos="567"/>
        </w:tabs>
        <w:suppressAutoHyphens/>
        <w:rPr>
          <w:szCs w:val="22"/>
          <w:lang w:val="pt-PT"/>
        </w:rPr>
      </w:pPr>
      <w:r w:rsidRPr="002A54AF">
        <w:rPr>
          <w:szCs w:val="22"/>
          <w:lang w:val="pt-PT"/>
        </w:rPr>
        <w:t>O voriconazol não foi estudado nos doentes com cirrose hepática crónica grave (Child-Pugh C).</w:t>
      </w:r>
    </w:p>
    <w:p w14:paraId="723FBE59" w14:textId="77777777" w:rsidR="00011577" w:rsidRPr="002A54AF" w:rsidRDefault="00011577" w:rsidP="00011577">
      <w:pPr>
        <w:tabs>
          <w:tab w:val="left" w:pos="567"/>
        </w:tabs>
        <w:suppressAutoHyphens/>
        <w:rPr>
          <w:szCs w:val="22"/>
          <w:lang w:val="pt-PT"/>
        </w:rPr>
      </w:pPr>
    </w:p>
    <w:p w14:paraId="1276508D" w14:textId="77777777" w:rsidR="008805C8" w:rsidRPr="002A54AF" w:rsidRDefault="008805C8" w:rsidP="00011577">
      <w:pPr>
        <w:tabs>
          <w:tab w:val="left" w:pos="567"/>
        </w:tabs>
        <w:suppressAutoHyphens/>
        <w:rPr>
          <w:szCs w:val="22"/>
          <w:lang w:val="pt-PT"/>
        </w:rPr>
      </w:pPr>
      <w:r w:rsidRPr="002A54AF">
        <w:rPr>
          <w:szCs w:val="22"/>
          <w:lang w:val="pt-PT"/>
        </w:rPr>
        <w:t xml:space="preserve">Os dados sobre a segurança de </w:t>
      </w:r>
      <w:r w:rsidR="002D7F44" w:rsidRPr="002A54AF">
        <w:rPr>
          <w:szCs w:val="22"/>
          <w:lang w:val="pt-PT"/>
        </w:rPr>
        <w:t>v</w:t>
      </w:r>
      <w:r w:rsidR="0020636B" w:rsidRPr="002A54AF">
        <w:rPr>
          <w:szCs w:val="22"/>
          <w:lang w:val="pt-PT"/>
        </w:rPr>
        <w:t xml:space="preserve">oriconazol </w:t>
      </w:r>
      <w:r w:rsidRPr="002A54AF">
        <w:rPr>
          <w:szCs w:val="22"/>
          <w:lang w:val="pt-PT"/>
        </w:rPr>
        <w:t>em doentes com resultados alterados dos testes de função hepática (aspartato transaminase [AST], alanina transaminase [ALT], fosfatase alcalina [FA] ou bilirrubina total &gt;5</w:t>
      </w:r>
      <w:r w:rsidR="00633122">
        <w:rPr>
          <w:szCs w:val="22"/>
          <w:lang w:val="pt-PT"/>
        </w:rPr>
        <w:t> </w:t>
      </w:r>
      <w:r w:rsidRPr="002A54AF">
        <w:rPr>
          <w:szCs w:val="22"/>
          <w:lang w:val="pt-PT"/>
        </w:rPr>
        <w:t>vezes o limite superior normal) são limitados.</w:t>
      </w:r>
    </w:p>
    <w:p w14:paraId="5FFCDA35" w14:textId="77777777" w:rsidR="008805C8" w:rsidRPr="002A54AF" w:rsidRDefault="008805C8" w:rsidP="00011577">
      <w:pPr>
        <w:tabs>
          <w:tab w:val="left" w:pos="567"/>
        </w:tabs>
        <w:suppressAutoHyphens/>
        <w:rPr>
          <w:szCs w:val="22"/>
          <w:lang w:val="pt-PT"/>
        </w:rPr>
      </w:pPr>
    </w:p>
    <w:p w14:paraId="024C0ACF" w14:textId="77777777" w:rsidR="00011577" w:rsidRPr="002A54AF" w:rsidRDefault="00011577" w:rsidP="00011577">
      <w:pPr>
        <w:tabs>
          <w:tab w:val="left" w:pos="567"/>
        </w:tabs>
        <w:suppressAutoHyphens/>
        <w:rPr>
          <w:szCs w:val="22"/>
          <w:lang w:val="pt-PT"/>
        </w:rPr>
      </w:pPr>
      <w:r w:rsidRPr="002A54AF">
        <w:rPr>
          <w:szCs w:val="22"/>
          <w:lang w:val="pt-PT"/>
        </w:rPr>
        <w:t xml:space="preserve">A administração de voriconazol tem sido associada a elevações dos testes da função hepática e a sinais clínicos de lesão hepática, tal como icterícia, e deve ser apenas utilizado em doentes com afeção hepática grave se os benefícios compensarem os potenciais riscos. Os doentes com afeção hepática </w:t>
      </w:r>
      <w:r w:rsidR="008805C8" w:rsidRPr="002A54AF">
        <w:rPr>
          <w:szCs w:val="22"/>
          <w:lang w:val="pt-PT"/>
        </w:rPr>
        <w:t xml:space="preserve">grave </w:t>
      </w:r>
      <w:r w:rsidRPr="002A54AF">
        <w:rPr>
          <w:szCs w:val="22"/>
          <w:lang w:val="pt-PT"/>
        </w:rPr>
        <w:t>devem ser cuidadosamente monitorizados quanto à toxicidade do fármaco (ver secção 4.8)</w:t>
      </w:r>
    </w:p>
    <w:p w14:paraId="3A475BBA" w14:textId="77777777" w:rsidR="00011577" w:rsidRPr="002A54AF" w:rsidRDefault="00011577" w:rsidP="00011577">
      <w:pPr>
        <w:tabs>
          <w:tab w:val="left" w:pos="567"/>
        </w:tabs>
        <w:suppressAutoHyphens/>
        <w:rPr>
          <w:szCs w:val="22"/>
          <w:lang w:val="pt-PT"/>
        </w:rPr>
      </w:pPr>
    </w:p>
    <w:p w14:paraId="5E96AEB6" w14:textId="77777777" w:rsidR="00011577" w:rsidRPr="00266D2D" w:rsidRDefault="00011577" w:rsidP="00011577">
      <w:pPr>
        <w:pStyle w:val="Heading5"/>
        <w:keepNext w:val="0"/>
        <w:tabs>
          <w:tab w:val="left" w:pos="567"/>
        </w:tabs>
        <w:rPr>
          <w:b w:val="0"/>
          <w:i/>
          <w:szCs w:val="22"/>
          <w:u w:val="single"/>
        </w:rPr>
      </w:pPr>
      <w:r w:rsidRPr="00266D2D">
        <w:rPr>
          <w:b w:val="0"/>
          <w:i/>
          <w:szCs w:val="22"/>
          <w:u w:val="single"/>
        </w:rPr>
        <w:t>População pediátrica</w:t>
      </w:r>
    </w:p>
    <w:p w14:paraId="55B9592D" w14:textId="77777777" w:rsidR="00011577" w:rsidRPr="002A54AF" w:rsidRDefault="00011577" w:rsidP="00011577">
      <w:pPr>
        <w:pStyle w:val="EndnoteText"/>
        <w:widowControl/>
        <w:suppressAutoHyphens/>
        <w:rPr>
          <w:szCs w:val="22"/>
        </w:rPr>
      </w:pPr>
      <w:r w:rsidRPr="002A54AF">
        <w:rPr>
          <w:szCs w:val="22"/>
        </w:rPr>
        <w:t>A segurança e eficácia de voriconazol em crianças com idade inferior a 2 anos não foram estabelecidas. Os dados atualmente disponíveis encontram-se descritos nas secções 4.8 e</w:t>
      </w:r>
      <w:r w:rsidR="00633122">
        <w:rPr>
          <w:szCs w:val="22"/>
        </w:rPr>
        <w:t> </w:t>
      </w:r>
      <w:r w:rsidRPr="002A54AF">
        <w:rPr>
          <w:szCs w:val="22"/>
        </w:rPr>
        <w:t>5.1 mas não pode ser feita qualquer recomendação posológica.</w:t>
      </w:r>
    </w:p>
    <w:p w14:paraId="429F041D" w14:textId="77777777" w:rsidR="00E72BDD" w:rsidRPr="002A54AF" w:rsidRDefault="00E72BDD" w:rsidP="00011577">
      <w:pPr>
        <w:tabs>
          <w:tab w:val="left" w:pos="567"/>
        </w:tabs>
        <w:rPr>
          <w:szCs w:val="22"/>
          <w:lang w:val="pt-PT"/>
        </w:rPr>
      </w:pPr>
    </w:p>
    <w:p w14:paraId="696DB489" w14:textId="77777777" w:rsidR="00011577" w:rsidRDefault="00011577" w:rsidP="00011577">
      <w:pPr>
        <w:pStyle w:val="CM55"/>
        <w:spacing w:after="0"/>
        <w:rPr>
          <w:sz w:val="22"/>
          <w:szCs w:val="22"/>
          <w:u w:val="single"/>
          <w:lang w:val="pt-PT"/>
        </w:rPr>
      </w:pPr>
      <w:r w:rsidRPr="002A54AF">
        <w:rPr>
          <w:sz w:val="22"/>
          <w:szCs w:val="22"/>
          <w:u w:val="single"/>
          <w:lang w:val="pt-PT"/>
        </w:rPr>
        <w:t>Modo de administração</w:t>
      </w:r>
    </w:p>
    <w:p w14:paraId="30B3CA1B" w14:textId="77777777" w:rsidR="00633122" w:rsidRPr="00CB39F3" w:rsidRDefault="00633122" w:rsidP="00CB39F3">
      <w:pPr>
        <w:pStyle w:val="Default"/>
        <w:rPr>
          <w:lang w:val="pt-PT" w:eastAsia="en-GB"/>
        </w:rPr>
      </w:pPr>
    </w:p>
    <w:p w14:paraId="7C5D3B95" w14:textId="77777777" w:rsidR="00011577" w:rsidRPr="002A54AF" w:rsidRDefault="00011577" w:rsidP="00011577">
      <w:pPr>
        <w:pStyle w:val="BodyText2"/>
        <w:tabs>
          <w:tab w:val="left" w:pos="567"/>
        </w:tabs>
        <w:rPr>
          <w:szCs w:val="22"/>
        </w:rPr>
      </w:pPr>
      <w:r w:rsidRPr="002A54AF">
        <w:rPr>
          <w:szCs w:val="22"/>
        </w:rPr>
        <w:t>Voriconazol Accord comprimidos revestidos por película deve ser administrado pelo menos uma hora antes, ou uma hora após uma refeição.</w:t>
      </w:r>
    </w:p>
    <w:p w14:paraId="1FC3B1CD" w14:textId="77777777" w:rsidR="00011577" w:rsidRPr="002A54AF" w:rsidRDefault="00011577" w:rsidP="00011577">
      <w:pPr>
        <w:tabs>
          <w:tab w:val="left" w:pos="567"/>
        </w:tabs>
        <w:suppressAutoHyphens/>
        <w:rPr>
          <w:szCs w:val="22"/>
          <w:lang w:val="pt-PT"/>
        </w:rPr>
      </w:pPr>
    </w:p>
    <w:p w14:paraId="3188C3E4" w14:textId="77777777" w:rsidR="00011577" w:rsidRPr="002A54AF" w:rsidRDefault="00011577" w:rsidP="00011577">
      <w:pPr>
        <w:tabs>
          <w:tab w:val="left" w:pos="567"/>
        </w:tabs>
        <w:suppressAutoHyphens/>
        <w:rPr>
          <w:szCs w:val="22"/>
          <w:lang w:val="pt-PT"/>
        </w:rPr>
      </w:pPr>
      <w:r w:rsidRPr="002A54AF">
        <w:rPr>
          <w:b/>
          <w:szCs w:val="22"/>
          <w:lang w:val="pt-PT"/>
        </w:rPr>
        <w:t>4.3</w:t>
      </w:r>
      <w:r w:rsidRPr="002A54AF">
        <w:rPr>
          <w:b/>
          <w:szCs w:val="22"/>
          <w:lang w:val="pt-PT"/>
        </w:rPr>
        <w:tab/>
        <w:t>Contraindicações</w:t>
      </w:r>
    </w:p>
    <w:p w14:paraId="66CFC111" w14:textId="77777777" w:rsidR="00011577" w:rsidRPr="002A54AF" w:rsidRDefault="00011577" w:rsidP="00011577">
      <w:pPr>
        <w:tabs>
          <w:tab w:val="left" w:pos="567"/>
        </w:tabs>
        <w:suppressAutoHyphens/>
        <w:rPr>
          <w:szCs w:val="22"/>
          <w:lang w:val="pt-PT"/>
        </w:rPr>
      </w:pPr>
    </w:p>
    <w:p w14:paraId="4B2E8EB4" w14:textId="77777777" w:rsidR="00011577" w:rsidRPr="002A54AF" w:rsidRDefault="00011577" w:rsidP="00011577">
      <w:pPr>
        <w:pStyle w:val="BodyText2"/>
        <w:tabs>
          <w:tab w:val="left" w:pos="567"/>
        </w:tabs>
        <w:rPr>
          <w:szCs w:val="22"/>
        </w:rPr>
      </w:pPr>
      <w:r w:rsidRPr="002A54AF">
        <w:rPr>
          <w:szCs w:val="22"/>
        </w:rPr>
        <w:t>Hipersensibilidade à substância ativa ou a qualquer um dos excipientes mencionados na secção 6.1.</w:t>
      </w:r>
    </w:p>
    <w:p w14:paraId="54256DF3" w14:textId="77777777" w:rsidR="00011577" w:rsidRPr="002A54AF" w:rsidRDefault="00011577" w:rsidP="00011577">
      <w:pPr>
        <w:tabs>
          <w:tab w:val="left" w:pos="567"/>
        </w:tabs>
        <w:suppressAutoHyphens/>
        <w:rPr>
          <w:szCs w:val="22"/>
          <w:lang w:val="pt-PT"/>
        </w:rPr>
      </w:pPr>
    </w:p>
    <w:p w14:paraId="3AF7E5F5" w14:textId="77777777" w:rsidR="00011577" w:rsidRPr="002A54AF" w:rsidRDefault="00011577" w:rsidP="00011577">
      <w:pPr>
        <w:tabs>
          <w:tab w:val="left" w:pos="567"/>
        </w:tabs>
        <w:suppressAutoHyphens/>
        <w:rPr>
          <w:szCs w:val="22"/>
          <w:lang w:val="pt-PT"/>
        </w:rPr>
      </w:pPr>
      <w:r w:rsidRPr="002A54AF">
        <w:rPr>
          <w:szCs w:val="22"/>
          <w:lang w:val="pt-PT"/>
        </w:rPr>
        <w:t>Coadministração com os substratos do CYP3A4, terfenadina, astemizol, cisaprida, pimozida</w:t>
      </w:r>
      <w:r w:rsidR="00742CF6">
        <w:rPr>
          <w:szCs w:val="22"/>
          <w:lang w:val="pt-PT"/>
        </w:rPr>
        <w:t>,</w:t>
      </w:r>
      <w:r w:rsidRPr="002A54AF">
        <w:rPr>
          <w:szCs w:val="22"/>
          <w:lang w:val="pt-PT"/>
        </w:rPr>
        <w:t xml:space="preserve"> quinidina</w:t>
      </w:r>
      <w:r w:rsidR="00742CF6">
        <w:rPr>
          <w:szCs w:val="22"/>
          <w:lang w:val="pt-PT"/>
        </w:rPr>
        <w:t xml:space="preserve"> ou ivabradina</w:t>
      </w:r>
      <w:r w:rsidRPr="002A54AF">
        <w:rPr>
          <w:szCs w:val="22"/>
          <w:lang w:val="pt-PT"/>
        </w:rPr>
        <w:t>, uma vez que o aumento das concentrações plasmáticas destes medicamentos pode provocar um prolongamento do intervalo QTc e, raramente, a ocorrência de t</w:t>
      </w:r>
      <w:r w:rsidRPr="002A54AF">
        <w:rPr>
          <w:i/>
          <w:szCs w:val="22"/>
          <w:lang w:val="pt-PT"/>
        </w:rPr>
        <w:t xml:space="preserve">orsades de pointes </w:t>
      </w:r>
      <w:r w:rsidRPr="002A54AF">
        <w:rPr>
          <w:szCs w:val="22"/>
          <w:lang w:val="pt-PT"/>
        </w:rPr>
        <w:t>(ver secção 4.5).</w:t>
      </w:r>
    </w:p>
    <w:p w14:paraId="533DCA4F" w14:textId="77777777" w:rsidR="00011577" w:rsidRPr="002A54AF" w:rsidRDefault="00011577" w:rsidP="00011577">
      <w:pPr>
        <w:tabs>
          <w:tab w:val="left" w:pos="567"/>
        </w:tabs>
        <w:suppressAutoHyphens/>
        <w:rPr>
          <w:szCs w:val="22"/>
          <w:lang w:val="pt-PT"/>
        </w:rPr>
      </w:pPr>
      <w:bookmarkStart w:id="51" w:name="OLE_LINK4"/>
    </w:p>
    <w:p w14:paraId="04871E88" w14:textId="77777777" w:rsidR="00011577" w:rsidRPr="002A54AF" w:rsidRDefault="00011577" w:rsidP="00011577">
      <w:pPr>
        <w:tabs>
          <w:tab w:val="left" w:pos="567"/>
        </w:tabs>
        <w:suppressAutoHyphens/>
        <w:rPr>
          <w:szCs w:val="22"/>
          <w:lang w:val="pt-PT"/>
        </w:rPr>
      </w:pPr>
      <w:r w:rsidRPr="002A54AF">
        <w:rPr>
          <w:szCs w:val="22"/>
          <w:lang w:val="pt-PT"/>
        </w:rPr>
        <w:t>Coadministração com rifampicina, carbamazepina</w:t>
      </w:r>
      <w:r w:rsidR="00007F99">
        <w:rPr>
          <w:szCs w:val="22"/>
          <w:lang w:val="pt-PT"/>
        </w:rPr>
        <w:t>,</w:t>
      </w:r>
      <w:r w:rsidRPr="002A54AF">
        <w:rPr>
          <w:szCs w:val="22"/>
          <w:lang w:val="pt-PT"/>
        </w:rPr>
        <w:t xml:space="preserve"> fenobarbital</w:t>
      </w:r>
      <w:r w:rsidR="00007F99">
        <w:rPr>
          <w:szCs w:val="22"/>
          <w:lang w:val="pt-PT"/>
        </w:rPr>
        <w:t xml:space="preserve"> e hipericão</w:t>
      </w:r>
      <w:r w:rsidRPr="002A54AF">
        <w:rPr>
          <w:szCs w:val="22"/>
          <w:lang w:val="pt-PT"/>
        </w:rPr>
        <w:t>, uma vez que estes medicamentos podem provocar um decréscimo significativo das concentrações plasmáticas de voriconazol (ver secção 4.5).</w:t>
      </w:r>
    </w:p>
    <w:p w14:paraId="4EAAF51D" w14:textId="77777777" w:rsidR="00011577" w:rsidRPr="002A54AF" w:rsidRDefault="00011577" w:rsidP="00011577">
      <w:pPr>
        <w:tabs>
          <w:tab w:val="left" w:pos="567"/>
        </w:tabs>
        <w:suppressAutoHyphens/>
        <w:rPr>
          <w:szCs w:val="22"/>
          <w:lang w:val="pt-PT"/>
        </w:rPr>
      </w:pPr>
    </w:p>
    <w:p w14:paraId="0F8A2BBC" w14:textId="77777777" w:rsidR="00011577" w:rsidRDefault="008805C8" w:rsidP="00011577">
      <w:pPr>
        <w:tabs>
          <w:tab w:val="left" w:pos="567"/>
        </w:tabs>
        <w:suppressAutoHyphens/>
        <w:rPr>
          <w:szCs w:val="22"/>
          <w:lang w:val="pt-PT"/>
        </w:rPr>
      </w:pPr>
      <w:r w:rsidRPr="002A54AF">
        <w:rPr>
          <w:szCs w:val="22"/>
          <w:lang w:val="pt-PT"/>
        </w:rPr>
        <w:t>É contraindicada a coadministração de doses padrão de voriconazol com doses de efavirenz de 400 mg uma vez por dia ou superiores uma vez que o efavirenz diminui significativamente as concentrações plasmáticas de voriconazol em indivíduos saudáveis. O voriconazol também aumenta significativamente as concentrações plasmáticas do efavirenz (ver secção 4.5, para dosagens inferiores ver secção 4.4).</w:t>
      </w:r>
    </w:p>
    <w:p w14:paraId="42BC88BD" w14:textId="77777777" w:rsidR="00633122" w:rsidRPr="002A54AF" w:rsidRDefault="00633122" w:rsidP="00011577">
      <w:pPr>
        <w:tabs>
          <w:tab w:val="left" w:pos="567"/>
        </w:tabs>
        <w:suppressAutoHyphens/>
        <w:rPr>
          <w:szCs w:val="22"/>
          <w:lang w:val="pt-PT"/>
        </w:rPr>
      </w:pPr>
    </w:p>
    <w:bookmarkEnd w:id="51"/>
    <w:p w14:paraId="55D69266" w14:textId="77777777" w:rsidR="00011577" w:rsidRPr="002A54AF" w:rsidRDefault="00011577" w:rsidP="00011577">
      <w:pPr>
        <w:tabs>
          <w:tab w:val="left" w:pos="567"/>
        </w:tabs>
        <w:suppressAutoHyphens/>
        <w:rPr>
          <w:szCs w:val="22"/>
          <w:lang w:val="pt-PT"/>
        </w:rPr>
      </w:pPr>
      <w:r w:rsidRPr="002A54AF">
        <w:rPr>
          <w:szCs w:val="22"/>
          <w:lang w:val="pt-PT"/>
        </w:rPr>
        <w:t>Coadministração com doses elevadas de ritonavir (400 mg ou doses superiores, duas vezes por dia), uma vez que o ritonavir nestas dosagens diminui significativamente as concentrações plasmáticas de voriconazol em indivíduos saudáveis (ver secção 4.5, para dosagens inferiores ver secção 4.4).</w:t>
      </w:r>
    </w:p>
    <w:p w14:paraId="23BB47CC" w14:textId="77777777" w:rsidR="00011577" w:rsidRPr="002A54AF" w:rsidRDefault="00011577" w:rsidP="00011577">
      <w:pPr>
        <w:tabs>
          <w:tab w:val="left" w:pos="567"/>
        </w:tabs>
        <w:suppressAutoHyphens/>
        <w:rPr>
          <w:szCs w:val="22"/>
          <w:lang w:val="pt-PT"/>
        </w:rPr>
      </w:pPr>
    </w:p>
    <w:p w14:paraId="62BE106F" w14:textId="77777777" w:rsidR="00011577" w:rsidRPr="002A54AF" w:rsidRDefault="00011577" w:rsidP="00011577">
      <w:pPr>
        <w:tabs>
          <w:tab w:val="left" w:pos="567"/>
        </w:tabs>
        <w:suppressAutoHyphens/>
        <w:rPr>
          <w:szCs w:val="22"/>
          <w:lang w:val="pt-PT"/>
        </w:rPr>
      </w:pPr>
      <w:r w:rsidRPr="002A54AF">
        <w:rPr>
          <w:szCs w:val="22"/>
          <w:lang w:val="pt-PT"/>
        </w:rPr>
        <w:t>Coadministração com alcaloídes da cravagem de centeio (ergotamina, dihidroergotamina), que são substratos do CYP3A4, uma vez que o aumento das concentrações plasmáticas destes medicamentos pode conduzir ao ergotismo (ver secção 4.5).</w:t>
      </w:r>
    </w:p>
    <w:p w14:paraId="30895C6D" w14:textId="77777777" w:rsidR="00011577" w:rsidRPr="002A54AF" w:rsidRDefault="00011577" w:rsidP="00011577">
      <w:pPr>
        <w:tabs>
          <w:tab w:val="left" w:pos="567"/>
        </w:tabs>
        <w:suppressAutoHyphens/>
        <w:rPr>
          <w:szCs w:val="22"/>
          <w:lang w:val="pt-PT"/>
        </w:rPr>
      </w:pPr>
    </w:p>
    <w:p w14:paraId="20AB7CDE" w14:textId="77777777" w:rsidR="00011577" w:rsidRPr="002A54AF" w:rsidRDefault="00011577" w:rsidP="00011577">
      <w:pPr>
        <w:tabs>
          <w:tab w:val="left" w:pos="567"/>
        </w:tabs>
        <w:suppressAutoHyphens/>
        <w:rPr>
          <w:szCs w:val="22"/>
          <w:lang w:val="pt-PT"/>
        </w:rPr>
      </w:pPr>
      <w:r w:rsidRPr="002A54AF">
        <w:rPr>
          <w:szCs w:val="22"/>
          <w:lang w:val="pt-PT"/>
        </w:rPr>
        <w:t>Coadministração com sirolimus, uma vez que o voriconazol pode aumentar significativamente a concentração plasmática de sirolimus (ver secção 4.5).</w:t>
      </w:r>
    </w:p>
    <w:p w14:paraId="6DE21E1F" w14:textId="77777777" w:rsidR="00011577" w:rsidRPr="002A54AF" w:rsidRDefault="00011577" w:rsidP="00011577">
      <w:pPr>
        <w:tabs>
          <w:tab w:val="left" w:pos="567"/>
        </w:tabs>
        <w:suppressAutoHyphens/>
        <w:rPr>
          <w:szCs w:val="22"/>
          <w:lang w:val="pt-PT"/>
        </w:rPr>
      </w:pPr>
    </w:p>
    <w:p w14:paraId="16AA846C" w14:textId="77777777" w:rsidR="00007F99" w:rsidRPr="00007F99" w:rsidRDefault="00007F99" w:rsidP="00007F99">
      <w:pPr>
        <w:tabs>
          <w:tab w:val="left" w:pos="567"/>
        </w:tabs>
        <w:suppressAutoHyphens/>
        <w:rPr>
          <w:szCs w:val="22"/>
          <w:lang w:val="pt-PT"/>
        </w:rPr>
      </w:pPr>
      <w:r w:rsidRPr="00007F99">
        <w:rPr>
          <w:szCs w:val="22"/>
          <w:lang w:val="pt-PT"/>
        </w:rPr>
        <w:t>Coadministração de voriconazol com naloxegol, um substrato do CYP3A4, uma vez que o aumento</w:t>
      </w:r>
    </w:p>
    <w:p w14:paraId="26A6F223" w14:textId="77777777" w:rsidR="00007F99" w:rsidRPr="00007F99" w:rsidRDefault="00007F99" w:rsidP="00007F99">
      <w:pPr>
        <w:tabs>
          <w:tab w:val="left" w:pos="567"/>
        </w:tabs>
        <w:suppressAutoHyphens/>
        <w:rPr>
          <w:szCs w:val="22"/>
          <w:lang w:val="pt-PT"/>
        </w:rPr>
      </w:pPr>
      <w:r w:rsidRPr="00007F99">
        <w:rPr>
          <w:szCs w:val="22"/>
          <w:lang w:val="pt-PT"/>
        </w:rPr>
        <w:t>das concentrações plasmáticas de naloxegol pode precipitar os sintomas de privação de opioides (ver</w:t>
      </w:r>
    </w:p>
    <w:p w14:paraId="6DA3E674" w14:textId="77777777" w:rsidR="00007F99" w:rsidRDefault="00007F99" w:rsidP="00007F99">
      <w:pPr>
        <w:tabs>
          <w:tab w:val="left" w:pos="567"/>
        </w:tabs>
        <w:suppressAutoHyphens/>
        <w:rPr>
          <w:szCs w:val="22"/>
          <w:lang w:val="pt-PT"/>
        </w:rPr>
      </w:pPr>
      <w:r w:rsidRPr="00007F99">
        <w:rPr>
          <w:szCs w:val="22"/>
          <w:lang w:val="pt-PT"/>
        </w:rPr>
        <w:t>secção 4.5).</w:t>
      </w:r>
    </w:p>
    <w:p w14:paraId="43CCE3C1" w14:textId="77777777" w:rsidR="00007F99" w:rsidRPr="00007F99" w:rsidRDefault="00007F99" w:rsidP="00007F99">
      <w:pPr>
        <w:tabs>
          <w:tab w:val="left" w:pos="567"/>
        </w:tabs>
        <w:suppressAutoHyphens/>
        <w:rPr>
          <w:szCs w:val="22"/>
          <w:lang w:val="pt-PT"/>
        </w:rPr>
      </w:pPr>
    </w:p>
    <w:p w14:paraId="264A4772" w14:textId="77777777" w:rsidR="00007F99" w:rsidRPr="00007F99" w:rsidRDefault="00007F99" w:rsidP="00007F99">
      <w:pPr>
        <w:tabs>
          <w:tab w:val="left" w:pos="567"/>
        </w:tabs>
        <w:suppressAutoHyphens/>
        <w:rPr>
          <w:szCs w:val="22"/>
          <w:lang w:val="pt-PT"/>
        </w:rPr>
      </w:pPr>
      <w:r w:rsidRPr="00007F99">
        <w:rPr>
          <w:szCs w:val="22"/>
          <w:lang w:val="pt-PT"/>
        </w:rPr>
        <w:t>Coadministração de voriconazol com tolvaptano, uma vez que os inibidores potentes do CYP3A4, tais</w:t>
      </w:r>
    </w:p>
    <w:p w14:paraId="0AA39C36" w14:textId="77777777" w:rsidR="00007F99" w:rsidRPr="00007F99" w:rsidRDefault="00007F99" w:rsidP="00007F99">
      <w:pPr>
        <w:tabs>
          <w:tab w:val="left" w:pos="567"/>
        </w:tabs>
        <w:suppressAutoHyphens/>
        <w:rPr>
          <w:szCs w:val="22"/>
          <w:lang w:val="pt-PT"/>
        </w:rPr>
      </w:pPr>
      <w:r w:rsidRPr="00007F99">
        <w:rPr>
          <w:szCs w:val="22"/>
          <w:lang w:val="pt-PT"/>
        </w:rPr>
        <w:t>como o voriconazol, aumentam significativamente as concentrações plasmáticas de tolvaptano (ver</w:t>
      </w:r>
    </w:p>
    <w:p w14:paraId="41AC7525" w14:textId="77777777" w:rsidR="00007F99" w:rsidRDefault="00007F99" w:rsidP="00007F99">
      <w:pPr>
        <w:tabs>
          <w:tab w:val="left" w:pos="567"/>
        </w:tabs>
        <w:suppressAutoHyphens/>
        <w:rPr>
          <w:szCs w:val="22"/>
          <w:lang w:val="pt-PT"/>
        </w:rPr>
      </w:pPr>
      <w:r w:rsidRPr="00007F99">
        <w:rPr>
          <w:szCs w:val="22"/>
          <w:lang w:val="pt-PT"/>
        </w:rPr>
        <w:t>secção 4.5).</w:t>
      </w:r>
    </w:p>
    <w:p w14:paraId="1016E8C2" w14:textId="77777777" w:rsidR="00007F99" w:rsidRPr="00007F99" w:rsidRDefault="00007F99" w:rsidP="00007F99">
      <w:pPr>
        <w:tabs>
          <w:tab w:val="left" w:pos="567"/>
        </w:tabs>
        <w:suppressAutoHyphens/>
        <w:rPr>
          <w:szCs w:val="22"/>
          <w:lang w:val="pt-PT"/>
        </w:rPr>
      </w:pPr>
    </w:p>
    <w:p w14:paraId="59EC058F" w14:textId="77777777" w:rsidR="00007F99" w:rsidRPr="00007F99" w:rsidRDefault="00007F99" w:rsidP="00007F99">
      <w:pPr>
        <w:tabs>
          <w:tab w:val="left" w:pos="567"/>
        </w:tabs>
        <w:suppressAutoHyphens/>
        <w:rPr>
          <w:szCs w:val="22"/>
          <w:lang w:val="pt-PT"/>
        </w:rPr>
      </w:pPr>
      <w:r w:rsidRPr="00007F99">
        <w:rPr>
          <w:szCs w:val="22"/>
          <w:lang w:val="pt-PT"/>
        </w:rPr>
        <w:t>Coadministração de voriconazol com lurasidona, uma vez que aumentos significativos da exposição à</w:t>
      </w:r>
    </w:p>
    <w:p w14:paraId="4E9E29CC" w14:textId="77777777" w:rsidR="00742CF6" w:rsidRDefault="00007F99" w:rsidP="00007F99">
      <w:pPr>
        <w:tabs>
          <w:tab w:val="left" w:pos="567"/>
        </w:tabs>
        <w:suppressAutoHyphens/>
        <w:rPr>
          <w:szCs w:val="22"/>
          <w:lang w:val="pt-PT"/>
        </w:rPr>
      </w:pPr>
      <w:r w:rsidRPr="00007F99">
        <w:rPr>
          <w:szCs w:val="22"/>
          <w:lang w:val="pt-PT"/>
        </w:rPr>
        <w:t>lurasidona têm o potencial para reações adversas graves (ver secção 4.5).</w:t>
      </w:r>
    </w:p>
    <w:p w14:paraId="24B651B3" w14:textId="77777777" w:rsidR="00007F99" w:rsidRPr="00007F99" w:rsidRDefault="00007F99" w:rsidP="00007F99">
      <w:pPr>
        <w:tabs>
          <w:tab w:val="left" w:pos="567"/>
        </w:tabs>
        <w:suppressAutoHyphens/>
        <w:rPr>
          <w:szCs w:val="22"/>
          <w:lang w:val="pt-PT"/>
        </w:rPr>
      </w:pPr>
    </w:p>
    <w:p w14:paraId="01690AA9" w14:textId="77777777" w:rsidR="00742CF6" w:rsidRPr="00742CF6" w:rsidRDefault="00742CF6" w:rsidP="00646C77">
      <w:pPr>
        <w:autoSpaceDE w:val="0"/>
        <w:autoSpaceDN w:val="0"/>
        <w:adjustRightInd w:val="0"/>
        <w:rPr>
          <w:bCs/>
          <w:szCs w:val="22"/>
          <w:lang w:val="pt-PT"/>
        </w:rPr>
      </w:pPr>
      <w:r w:rsidRPr="00646C77">
        <w:rPr>
          <w:bCs/>
          <w:szCs w:val="22"/>
          <w:lang w:val="pt-PT"/>
        </w:rPr>
        <w:t>Administra</w:t>
      </w:r>
      <w:r w:rsidRPr="00646C77">
        <w:rPr>
          <w:rFonts w:hint="eastAsia"/>
          <w:bCs/>
          <w:szCs w:val="22"/>
          <w:lang w:val="pt-PT"/>
        </w:rPr>
        <w:t>çã</w:t>
      </w:r>
      <w:r w:rsidRPr="00646C77">
        <w:rPr>
          <w:bCs/>
          <w:szCs w:val="22"/>
          <w:lang w:val="pt-PT"/>
        </w:rPr>
        <w:t>o concomitante com venetoclax no in</w:t>
      </w:r>
      <w:r w:rsidRPr="00646C77">
        <w:rPr>
          <w:rFonts w:hint="eastAsia"/>
          <w:bCs/>
          <w:szCs w:val="22"/>
          <w:lang w:val="pt-PT"/>
        </w:rPr>
        <w:t>í</w:t>
      </w:r>
      <w:r w:rsidRPr="00646C77">
        <w:rPr>
          <w:bCs/>
          <w:szCs w:val="22"/>
          <w:lang w:val="pt-PT"/>
        </w:rPr>
        <w:t>cio e durante a fase de titula</w:t>
      </w:r>
      <w:r w:rsidRPr="00646C77">
        <w:rPr>
          <w:rFonts w:hint="eastAsia"/>
          <w:bCs/>
          <w:szCs w:val="22"/>
          <w:lang w:val="pt-PT"/>
        </w:rPr>
        <w:t>çã</w:t>
      </w:r>
      <w:r w:rsidRPr="00646C77">
        <w:rPr>
          <w:bCs/>
          <w:szCs w:val="22"/>
          <w:lang w:val="pt-PT"/>
        </w:rPr>
        <w:t xml:space="preserve">o da dose de venetoclax, uma vez que </w:t>
      </w:r>
      <w:r w:rsidRPr="00646C77">
        <w:rPr>
          <w:rFonts w:hint="eastAsia"/>
          <w:bCs/>
          <w:szCs w:val="22"/>
          <w:lang w:val="pt-PT"/>
        </w:rPr>
        <w:t>é</w:t>
      </w:r>
      <w:r w:rsidRPr="00646C77">
        <w:rPr>
          <w:bCs/>
          <w:szCs w:val="22"/>
          <w:lang w:val="pt-PT"/>
        </w:rPr>
        <w:t xml:space="preserve"> prov</w:t>
      </w:r>
      <w:r w:rsidRPr="00646C77">
        <w:rPr>
          <w:rFonts w:hint="eastAsia"/>
          <w:bCs/>
          <w:szCs w:val="22"/>
          <w:lang w:val="pt-PT"/>
        </w:rPr>
        <w:t>á</w:t>
      </w:r>
      <w:r w:rsidRPr="00646C77">
        <w:rPr>
          <w:bCs/>
          <w:szCs w:val="22"/>
          <w:lang w:val="pt-PT"/>
        </w:rPr>
        <w:t>vel que o voriconazol aumente significativamente as concentra</w:t>
      </w:r>
      <w:r w:rsidRPr="00646C77">
        <w:rPr>
          <w:rFonts w:hint="eastAsia"/>
          <w:bCs/>
          <w:szCs w:val="22"/>
          <w:lang w:val="pt-PT"/>
        </w:rPr>
        <w:t>çõ</w:t>
      </w:r>
      <w:r w:rsidRPr="00646C77">
        <w:rPr>
          <w:bCs/>
          <w:szCs w:val="22"/>
          <w:lang w:val="pt-PT"/>
        </w:rPr>
        <w:t>es</w:t>
      </w:r>
      <w:r>
        <w:rPr>
          <w:bCs/>
          <w:szCs w:val="22"/>
          <w:lang w:val="pt-PT"/>
        </w:rPr>
        <w:t xml:space="preserve"> </w:t>
      </w:r>
      <w:r w:rsidRPr="00646C77">
        <w:rPr>
          <w:bCs/>
          <w:szCs w:val="22"/>
          <w:lang w:val="pt-PT"/>
        </w:rPr>
        <w:t>plasm</w:t>
      </w:r>
      <w:r w:rsidRPr="00646C77">
        <w:rPr>
          <w:rFonts w:hint="eastAsia"/>
          <w:bCs/>
          <w:szCs w:val="22"/>
          <w:lang w:val="pt-PT"/>
        </w:rPr>
        <w:t>á</w:t>
      </w:r>
      <w:r w:rsidRPr="00646C77">
        <w:rPr>
          <w:bCs/>
          <w:szCs w:val="22"/>
          <w:lang w:val="pt-PT"/>
        </w:rPr>
        <w:t>ticas de venetoclax e aumente o risco de s</w:t>
      </w:r>
      <w:r w:rsidRPr="00646C77">
        <w:rPr>
          <w:rFonts w:hint="eastAsia"/>
          <w:bCs/>
          <w:szCs w:val="22"/>
          <w:lang w:val="pt-PT"/>
        </w:rPr>
        <w:t>í</w:t>
      </w:r>
      <w:r w:rsidRPr="00646C77">
        <w:rPr>
          <w:bCs/>
          <w:szCs w:val="22"/>
          <w:lang w:val="pt-PT"/>
        </w:rPr>
        <w:t>ndrome de lise tumoral (ver sec</w:t>
      </w:r>
      <w:r w:rsidRPr="00646C77">
        <w:rPr>
          <w:rFonts w:hint="eastAsia"/>
          <w:bCs/>
          <w:szCs w:val="22"/>
          <w:lang w:val="pt-PT"/>
        </w:rPr>
        <w:t>çã</w:t>
      </w:r>
      <w:r w:rsidRPr="00646C77">
        <w:rPr>
          <w:bCs/>
          <w:szCs w:val="22"/>
          <w:lang w:val="pt-PT"/>
        </w:rPr>
        <w:t>o 4.5).</w:t>
      </w:r>
    </w:p>
    <w:p w14:paraId="35CAA593" w14:textId="77777777" w:rsidR="00011577" w:rsidRPr="002A54AF" w:rsidRDefault="00011577" w:rsidP="00011577">
      <w:pPr>
        <w:pStyle w:val="EndnoteText"/>
        <w:widowControl/>
        <w:suppressAutoHyphens/>
        <w:rPr>
          <w:szCs w:val="22"/>
        </w:rPr>
      </w:pPr>
    </w:p>
    <w:p w14:paraId="3A3ECA60" w14:textId="77777777" w:rsidR="00011577" w:rsidRPr="002A54AF" w:rsidRDefault="00011577" w:rsidP="00011577">
      <w:pPr>
        <w:tabs>
          <w:tab w:val="left" w:pos="567"/>
        </w:tabs>
        <w:suppressAutoHyphens/>
        <w:rPr>
          <w:szCs w:val="22"/>
          <w:lang w:val="pt-PT"/>
        </w:rPr>
      </w:pPr>
      <w:r w:rsidRPr="002A54AF">
        <w:rPr>
          <w:b/>
          <w:szCs w:val="22"/>
          <w:lang w:val="pt-PT"/>
        </w:rPr>
        <w:t>4.4</w:t>
      </w:r>
      <w:r w:rsidRPr="002A54AF">
        <w:rPr>
          <w:b/>
          <w:szCs w:val="22"/>
          <w:lang w:val="pt-PT"/>
        </w:rPr>
        <w:tab/>
        <w:t>Advertências e precauções especiais de utilização</w:t>
      </w:r>
    </w:p>
    <w:p w14:paraId="15E69F3E" w14:textId="77777777" w:rsidR="00011577" w:rsidRPr="002A54AF" w:rsidRDefault="00011577" w:rsidP="00011577">
      <w:pPr>
        <w:pStyle w:val="EndnoteText"/>
        <w:widowControl/>
        <w:suppressAutoHyphens/>
        <w:rPr>
          <w:bCs/>
          <w:szCs w:val="22"/>
        </w:rPr>
      </w:pPr>
    </w:p>
    <w:p w14:paraId="4B77C33F" w14:textId="77777777" w:rsidR="00011577" w:rsidRDefault="00011577" w:rsidP="00011577">
      <w:pPr>
        <w:tabs>
          <w:tab w:val="left" w:pos="567"/>
        </w:tabs>
        <w:suppressAutoHyphens/>
        <w:rPr>
          <w:szCs w:val="22"/>
          <w:u w:val="single"/>
          <w:lang w:val="pt-PT"/>
        </w:rPr>
      </w:pPr>
      <w:r w:rsidRPr="002A54AF">
        <w:rPr>
          <w:szCs w:val="22"/>
          <w:u w:val="single"/>
          <w:lang w:val="pt-PT"/>
        </w:rPr>
        <w:t>Hipersensibilidade</w:t>
      </w:r>
    </w:p>
    <w:p w14:paraId="4C8A2ACB" w14:textId="77777777" w:rsidR="00633122" w:rsidRPr="002A54AF" w:rsidRDefault="00633122" w:rsidP="00011577">
      <w:pPr>
        <w:tabs>
          <w:tab w:val="left" w:pos="567"/>
        </w:tabs>
        <w:suppressAutoHyphens/>
        <w:rPr>
          <w:b/>
          <w:szCs w:val="22"/>
          <w:lang w:val="pt-PT"/>
        </w:rPr>
      </w:pPr>
    </w:p>
    <w:p w14:paraId="6B987E97" w14:textId="77777777" w:rsidR="00011577" w:rsidRPr="002A54AF" w:rsidRDefault="00011577" w:rsidP="00011577">
      <w:pPr>
        <w:tabs>
          <w:tab w:val="left" w:pos="567"/>
        </w:tabs>
        <w:suppressAutoHyphens/>
        <w:rPr>
          <w:szCs w:val="22"/>
          <w:lang w:val="pt-PT"/>
        </w:rPr>
      </w:pPr>
      <w:r w:rsidRPr="002A54AF">
        <w:rPr>
          <w:szCs w:val="22"/>
          <w:lang w:val="pt-PT"/>
        </w:rPr>
        <w:t>A prescrição de Voriconazol Accord a doentes com hipersensibilidade a outros azóis deverá ser feita com precaução (ver igualmente secção 4.8).</w:t>
      </w:r>
    </w:p>
    <w:p w14:paraId="543D66AF" w14:textId="77777777" w:rsidR="00011577" w:rsidRPr="002A54AF" w:rsidRDefault="00011577" w:rsidP="00011577">
      <w:pPr>
        <w:tabs>
          <w:tab w:val="left" w:pos="567"/>
        </w:tabs>
        <w:suppressAutoHyphens/>
        <w:rPr>
          <w:szCs w:val="22"/>
          <w:lang w:val="pt-PT"/>
        </w:rPr>
      </w:pPr>
    </w:p>
    <w:p w14:paraId="52991CEB" w14:textId="77777777" w:rsidR="00011577" w:rsidRDefault="00011577" w:rsidP="00011577">
      <w:pPr>
        <w:tabs>
          <w:tab w:val="left" w:pos="567"/>
        </w:tabs>
        <w:suppressAutoHyphens/>
        <w:jc w:val="both"/>
        <w:rPr>
          <w:szCs w:val="22"/>
          <w:u w:val="single"/>
          <w:lang w:val="pt-PT"/>
        </w:rPr>
      </w:pPr>
      <w:r w:rsidRPr="002A54AF">
        <w:rPr>
          <w:szCs w:val="22"/>
          <w:u w:val="single"/>
          <w:lang w:val="pt-PT"/>
        </w:rPr>
        <w:t>Cardiovasculares</w:t>
      </w:r>
    </w:p>
    <w:p w14:paraId="56F738F0" w14:textId="77777777" w:rsidR="00633122" w:rsidRPr="002A54AF" w:rsidRDefault="00633122" w:rsidP="00011577">
      <w:pPr>
        <w:tabs>
          <w:tab w:val="left" w:pos="567"/>
        </w:tabs>
        <w:suppressAutoHyphens/>
        <w:jc w:val="both"/>
        <w:rPr>
          <w:szCs w:val="22"/>
          <w:u w:val="single"/>
          <w:lang w:val="pt-PT"/>
        </w:rPr>
      </w:pPr>
    </w:p>
    <w:p w14:paraId="655039A9" w14:textId="77777777" w:rsidR="00011577" w:rsidRPr="002A54AF" w:rsidRDefault="00011577" w:rsidP="00011577">
      <w:pPr>
        <w:tabs>
          <w:tab w:val="left" w:pos="567"/>
        </w:tabs>
        <w:suppressAutoHyphens/>
        <w:rPr>
          <w:szCs w:val="22"/>
          <w:lang w:val="pt-PT"/>
        </w:rPr>
      </w:pPr>
      <w:r w:rsidRPr="002A54AF">
        <w:rPr>
          <w:szCs w:val="22"/>
          <w:lang w:val="pt-PT"/>
        </w:rPr>
        <w:t>O voriconazol, tem sido associado ao prolongamento do intervalo QT</w:t>
      </w:r>
      <w:r w:rsidR="008805C8" w:rsidRPr="002A54AF">
        <w:rPr>
          <w:szCs w:val="22"/>
          <w:lang w:val="pt-PT"/>
        </w:rPr>
        <w:t>c</w:t>
      </w:r>
      <w:r w:rsidRPr="002A54AF">
        <w:rPr>
          <w:szCs w:val="22"/>
          <w:lang w:val="pt-PT"/>
        </w:rPr>
        <w:t xml:space="preserve">. Têm ocorrido casos raros de </w:t>
      </w:r>
      <w:r w:rsidRPr="002A54AF">
        <w:rPr>
          <w:i/>
          <w:iCs/>
          <w:szCs w:val="22"/>
          <w:lang w:val="pt-PT"/>
        </w:rPr>
        <w:t>torsades de pointes</w:t>
      </w:r>
      <w:r w:rsidRPr="002A54AF">
        <w:rPr>
          <w:szCs w:val="22"/>
          <w:lang w:val="pt-PT"/>
        </w:rPr>
        <w:t xml:space="preserve"> em doentes sob terapêutica com voriconazol e com determinados fatores de risco, tais como, história de quimioterapia cardiotóxica, cardiomiopatia, hipocaliemia e medicamentos concomitantes que poderá ter contribuído para o referido efeito. O voriconazol deve ser administrado com precaução em doentes com condições proarrítmicas potenciais, tais como:</w:t>
      </w:r>
    </w:p>
    <w:p w14:paraId="51C0E681" w14:textId="77777777" w:rsidR="00011577" w:rsidRPr="002A54AF" w:rsidRDefault="00011577" w:rsidP="00011577">
      <w:pPr>
        <w:tabs>
          <w:tab w:val="left" w:pos="567"/>
        </w:tabs>
        <w:suppressAutoHyphens/>
        <w:rPr>
          <w:szCs w:val="22"/>
          <w:lang w:val="pt-PT"/>
        </w:rPr>
      </w:pPr>
    </w:p>
    <w:p w14:paraId="7057C218" w14:textId="77777777" w:rsidR="00011577" w:rsidRPr="002A54AF" w:rsidRDefault="00011577" w:rsidP="00E72BDD">
      <w:pPr>
        <w:numPr>
          <w:ilvl w:val="0"/>
          <w:numId w:val="5"/>
        </w:numPr>
        <w:tabs>
          <w:tab w:val="clear" w:pos="720"/>
          <w:tab w:val="left" w:pos="567"/>
        </w:tabs>
        <w:suppressAutoHyphens/>
        <w:ind w:left="0" w:firstLine="0"/>
        <w:jc w:val="both"/>
        <w:rPr>
          <w:szCs w:val="22"/>
          <w:lang w:val="pt-PT"/>
        </w:rPr>
      </w:pPr>
      <w:r w:rsidRPr="002A54AF">
        <w:rPr>
          <w:szCs w:val="22"/>
          <w:lang w:val="pt-PT"/>
        </w:rPr>
        <w:t>Prolongamento do intervalo QT</w:t>
      </w:r>
      <w:r w:rsidR="008805C8" w:rsidRPr="002A54AF">
        <w:rPr>
          <w:szCs w:val="22"/>
          <w:lang w:val="pt-PT"/>
        </w:rPr>
        <w:t>c</w:t>
      </w:r>
      <w:r w:rsidRPr="002A54AF">
        <w:rPr>
          <w:szCs w:val="22"/>
          <w:lang w:val="pt-PT"/>
        </w:rPr>
        <w:t xml:space="preserve"> congénito ou adquirido</w:t>
      </w:r>
      <w:r w:rsidR="008805C8" w:rsidRPr="002A54AF">
        <w:rPr>
          <w:szCs w:val="22"/>
          <w:lang w:val="pt-PT"/>
        </w:rPr>
        <w:t>.</w:t>
      </w:r>
    </w:p>
    <w:p w14:paraId="71BE0DC0" w14:textId="77777777" w:rsidR="00011577" w:rsidRPr="002A54AF" w:rsidRDefault="00011577" w:rsidP="00E72BDD">
      <w:pPr>
        <w:numPr>
          <w:ilvl w:val="0"/>
          <w:numId w:val="5"/>
        </w:numPr>
        <w:tabs>
          <w:tab w:val="clear" w:pos="720"/>
          <w:tab w:val="left" w:pos="567"/>
        </w:tabs>
        <w:suppressAutoHyphens/>
        <w:ind w:left="0" w:firstLine="0"/>
        <w:jc w:val="both"/>
        <w:rPr>
          <w:szCs w:val="22"/>
          <w:lang w:val="pt-PT"/>
        </w:rPr>
      </w:pPr>
      <w:r w:rsidRPr="002A54AF">
        <w:rPr>
          <w:szCs w:val="22"/>
          <w:lang w:val="pt-PT"/>
        </w:rPr>
        <w:t>Cardiomiopatia, especialmente quando existe falência cardíaca</w:t>
      </w:r>
      <w:r w:rsidR="008805C8" w:rsidRPr="002A54AF">
        <w:rPr>
          <w:szCs w:val="22"/>
          <w:lang w:val="pt-PT"/>
        </w:rPr>
        <w:t>.</w:t>
      </w:r>
    </w:p>
    <w:p w14:paraId="2322627B" w14:textId="77777777" w:rsidR="00011577" w:rsidRPr="002A54AF" w:rsidRDefault="00011577" w:rsidP="00E72BDD">
      <w:pPr>
        <w:numPr>
          <w:ilvl w:val="0"/>
          <w:numId w:val="5"/>
        </w:numPr>
        <w:tabs>
          <w:tab w:val="clear" w:pos="720"/>
          <w:tab w:val="left" w:pos="567"/>
        </w:tabs>
        <w:suppressAutoHyphens/>
        <w:ind w:left="0" w:firstLine="0"/>
        <w:jc w:val="both"/>
        <w:rPr>
          <w:szCs w:val="22"/>
          <w:lang w:val="pt-PT"/>
        </w:rPr>
      </w:pPr>
      <w:r w:rsidRPr="002A54AF">
        <w:rPr>
          <w:szCs w:val="22"/>
          <w:lang w:val="pt-PT"/>
        </w:rPr>
        <w:t>Bradicardia sinusal</w:t>
      </w:r>
      <w:r w:rsidR="008805C8" w:rsidRPr="002A54AF">
        <w:rPr>
          <w:szCs w:val="22"/>
          <w:lang w:val="pt-PT"/>
        </w:rPr>
        <w:t>.</w:t>
      </w:r>
    </w:p>
    <w:p w14:paraId="7928D987" w14:textId="77777777" w:rsidR="00011577" w:rsidRPr="002A54AF" w:rsidRDefault="00011577" w:rsidP="00E72BDD">
      <w:pPr>
        <w:numPr>
          <w:ilvl w:val="0"/>
          <w:numId w:val="5"/>
        </w:numPr>
        <w:tabs>
          <w:tab w:val="clear" w:pos="720"/>
          <w:tab w:val="left" w:pos="567"/>
        </w:tabs>
        <w:suppressAutoHyphens/>
        <w:ind w:left="0" w:firstLine="0"/>
        <w:jc w:val="both"/>
        <w:rPr>
          <w:szCs w:val="22"/>
          <w:lang w:val="pt-PT"/>
        </w:rPr>
      </w:pPr>
      <w:r w:rsidRPr="002A54AF">
        <w:rPr>
          <w:szCs w:val="22"/>
          <w:lang w:val="pt-PT"/>
        </w:rPr>
        <w:t>Existência de arritmias sintomáticas</w:t>
      </w:r>
      <w:r w:rsidR="008805C8" w:rsidRPr="002A54AF">
        <w:rPr>
          <w:szCs w:val="22"/>
          <w:lang w:val="pt-PT"/>
        </w:rPr>
        <w:t>.</w:t>
      </w:r>
    </w:p>
    <w:p w14:paraId="2F2E0FDF" w14:textId="77777777" w:rsidR="00011577" w:rsidRPr="002A54AF" w:rsidRDefault="00011577" w:rsidP="00E72BDD">
      <w:pPr>
        <w:numPr>
          <w:ilvl w:val="0"/>
          <w:numId w:val="5"/>
        </w:numPr>
        <w:tabs>
          <w:tab w:val="clear" w:pos="720"/>
          <w:tab w:val="left" w:pos="567"/>
        </w:tabs>
        <w:suppressAutoHyphens/>
        <w:ind w:left="0" w:firstLine="0"/>
        <w:jc w:val="both"/>
        <w:rPr>
          <w:szCs w:val="22"/>
          <w:lang w:val="pt-PT"/>
        </w:rPr>
      </w:pPr>
      <w:r w:rsidRPr="002A54AF">
        <w:rPr>
          <w:szCs w:val="22"/>
          <w:lang w:val="pt-PT"/>
        </w:rPr>
        <w:t>Medicamentos concomitantes que prolongam o intervalo QT</w:t>
      </w:r>
      <w:r w:rsidR="008805C8" w:rsidRPr="002A54AF">
        <w:rPr>
          <w:szCs w:val="22"/>
          <w:lang w:val="pt-PT"/>
        </w:rPr>
        <w:t>c.</w:t>
      </w:r>
    </w:p>
    <w:p w14:paraId="1523B35C" w14:textId="77777777" w:rsidR="00011577" w:rsidRPr="002A54AF" w:rsidRDefault="00011577" w:rsidP="00011577">
      <w:pPr>
        <w:tabs>
          <w:tab w:val="left" w:pos="567"/>
        </w:tabs>
        <w:suppressAutoHyphens/>
        <w:ind w:left="550"/>
        <w:rPr>
          <w:szCs w:val="22"/>
          <w:lang w:val="pt-PT"/>
        </w:rPr>
      </w:pPr>
      <w:r w:rsidRPr="002A54AF">
        <w:rPr>
          <w:szCs w:val="22"/>
          <w:lang w:val="pt-PT"/>
        </w:rPr>
        <w:t>As alterações eletrolíticas, tais como hipocaliemia, hipomagnesemia e hipocalcemia devem ser monitorizadas e corrigidas, se necessário, antes do início da terapêutica com voriconazol e durante o período de tratamento (ver secção 4.2). Foi realizado um estudo com voluntários saudáveis em que foi avaliado o efeito no intervalo QT</w:t>
      </w:r>
      <w:r w:rsidR="008805C8" w:rsidRPr="002A54AF">
        <w:rPr>
          <w:szCs w:val="22"/>
          <w:lang w:val="pt-PT"/>
        </w:rPr>
        <w:t>c</w:t>
      </w:r>
      <w:r w:rsidRPr="002A54AF">
        <w:rPr>
          <w:szCs w:val="22"/>
          <w:lang w:val="pt-PT"/>
        </w:rPr>
        <w:t xml:space="preserve"> do tratamento com voriconazol, em dose única, com uma dose diária 4 vezes superior à dose recomendada. Em nenhum indivíduo se excedeu o limite potencialmente relevante, do ponto de vista clínico, de 500 mseg (ver secção 5.1).</w:t>
      </w:r>
    </w:p>
    <w:p w14:paraId="15A47FA1" w14:textId="77777777" w:rsidR="00011577" w:rsidRPr="002A54AF" w:rsidRDefault="00011577" w:rsidP="00011577">
      <w:pPr>
        <w:tabs>
          <w:tab w:val="left" w:pos="567"/>
        </w:tabs>
        <w:suppressAutoHyphens/>
        <w:rPr>
          <w:szCs w:val="22"/>
          <w:lang w:val="pt-PT"/>
        </w:rPr>
      </w:pPr>
    </w:p>
    <w:p w14:paraId="62C10799" w14:textId="77777777" w:rsidR="00011577" w:rsidRDefault="00011577" w:rsidP="00011577">
      <w:pPr>
        <w:keepNext/>
        <w:tabs>
          <w:tab w:val="left" w:pos="567"/>
        </w:tabs>
        <w:suppressAutoHyphens/>
        <w:rPr>
          <w:szCs w:val="22"/>
          <w:u w:val="single"/>
          <w:lang w:val="pt-PT"/>
        </w:rPr>
      </w:pPr>
      <w:r w:rsidRPr="002A54AF">
        <w:rPr>
          <w:szCs w:val="22"/>
          <w:u w:val="single"/>
          <w:lang w:val="pt-PT"/>
        </w:rPr>
        <w:t>Toxicidade hepática</w:t>
      </w:r>
    </w:p>
    <w:p w14:paraId="224D56B2" w14:textId="77777777" w:rsidR="00633122" w:rsidRPr="002A54AF" w:rsidRDefault="00633122" w:rsidP="00011577">
      <w:pPr>
        <w:keepNext/>
        <w:tabs>
          <w:tab w:val="left" w:pos="567"/>
        </w:tabs>
        <w:suppressAutoHyphens/>
        <w:rPr>
          <w:b/>
          <w:szCs w:val="22"/>
          <w:lang w:val="pt-PT"/>
        </w:rPr>
      </w:pPr>
    </w:p>
    <w:p w14:paraId="0C03A38A" w14:textId="77777777" w:rsidR="00011577" w:rsidRPr="002A54AF" w:rsidRDefault="00011577" w:rsidP="00011577">
      <w:pPr>
        <w:keepNext/>
        <w:tabs>
          <w:tab w:val="left" w:pos="567"/>
        </w:tabs>
        <w:suppressAutoHyphens/>
        <w:rPr>
          <w:szCs w:val="22"/>
          <w:lang w:val="pt-PT"/>
        </w:rPr>
      </w:pPr>
      <w:r w:rsidRPr="002A54AF">
        <w:rPr>
          <w:szCs w:val="22"/>
          <w:lang w:val="pt-PT"/>
        </w:rPr>
        <w:t>Nos ensaios clínicos, houve casos de reações hepáticas graves durante a terapêutica com voriconazol (nomeadamente hepatite clínica, colestase e afeção hepática fulminante, incluíndo morte). Foram registados casos de reações hepáticas principalmente em doentes com situações clínicas graves subjacentes (predominantemente com doença hematológica maligna). Ocorreram reações hepáticas transitórias, incluindo hepatite e icterícia, em doentes sem outros fatores de risco identificados. A disfunção hepática foi habitualmente reversível com a descontinuação da terapêutica (ver secção 4.8).</w:t>
      </w:r>
    </w:p>
    <w:p w14:paraId="02A59371" w14:textId="77777777" w:rsidR="00011577" w:rsidRPr="002A54AF" w:rsidRDefault="00011577" w:rsidP="00011577">
      <w:pPr>
        <w:tabs>
          <w:tab w:val="left" w:pos="567"/>
        </w:tabs>
        <w:suppressAutoHyphens/>
        <w:rPr>
          <w:szCs w:val="22"/>
          <w:lang w:val="pt-PT"/>
        </w:rPr>
      </w:pPr>
    </w:p>
    <w:p w14:paraId="25161345" w14:textId="77777777" w:rsidR="00011577" w:rsidRDefault="00011577" w:rsidP="00011577">
      <w:pPr>
        <w:pStyle w:val="BodyText2"/>
        <w:tabs>
          <w:tab w:val="left" w:pos="567"/>
        </w:tabs>
        <w:rPr>
          <w:szCs w:val="22"/>
          <w:u w:val="single"/>
        </w:rPr>
      </w:pPr>
      <w:r w:rsidRPr="002A54AF">
        <w:rPr>
          <w:szCs w:val="22"/>
          <w:u w:val="single"/>
        </w:rPr>
        <w:t>Monitorização da função hepática</w:t>
      </w:r>
    </w:p>
    <w:p w14:paraId="5AEE00E7" w14:textId="77777777" w:rsidR="00633122" w:rsidRPr="002A54AF" w:rsidRDefault="00633122" w:rsidP="00011577">
      <w:pPr>
        <w:pStyle w:val="BodyText2"/>
        <w:tabs>
          <w:tab w:val="left" w:pos="567"/>
        </w:tabs>
        <w:rPr>
          <w:szCs w:val="22"/>
          <w:u w:val="single"/>
        </w:rPr>
      </w:pPr>
    </w:p>
    <w:p w14:paraId="77A58FA8" w14:textId="77777777" w:rsidR="008805C8" w:rsidRPr="002A54AF" w:rsidRDefault="008805C8" w:rsidP="00011577">
      <w:pPr>
        <w:pStyle w:val="BodyText2"/>
        <w:tabs>
          <w:tab w:val="left" w:pos="567"/>
        </w:tabs>
        <w:rPr>
          <w:szCs w:val="22"/>
        </w:rPr>
      </w:pPr>
      <w:r w:rsidRPr="002A54AF">
        <w:rPr>
          <w:szCs w:val="22"/>
        </w:rPr>
        <w:t xml:space="preserve">Os doentes em tratamento com </w:t>
      </w:r>
      <w:r w:rsidR="0020636B" w:rsidRPr="002A54AF">
        <w:rPr>
          <w:szCs w:val="22"/>
        </w:rPr>
        <w:t>Voriconazol Accord</w:t>
      </w:r>
      <w:r w:rsidRPr="002A54AF">
        <w:rPr>
          <w:szCs w:val="22"/>
        </w:rPr>
        <w:t xml:space="preserve"> devem ser cuidadosamente monitorizados para a toxicidade hepática. O controlo clínico deve incluir a avaliação laboratorial da função hepática (mais especificamente da AST e da ALT) no início do tratamento com </w:t>
      </w:r>
      <w:r w:rsidR="0020636B" w:rsidRPr="002A54AF">
        <w:rPr>
          <w:szCs w:val="22"/>
        </w:rPr>
        <w:t>Voriconazol Accord</w:t>
      </w:r>
      <w:r w:rsidRPr="002A54AF">
        <w:rPr>
          <w:szCs w:val="22"/>
        </w:rPr>
        <w:t xml:space="preserve"> e, no mínimo, semanalmente durante o primeiro mês de tratamento. A duração do tratamento deve ser o mais curta possível; no entanto, se a avaliação benefício/risco determinar a c</w:t>
      </w:r>
      <w:r w:rsidR="0017325D" w:rsidRPr="002A54AF">
        <w:rPr>
          <w:szCs w:val="22"/>
        </w:rPr>
        <w:t>ontinuação do mesmo (ver secção </w:t>
      </w:r>
      <w:r w:rsidRPr="002A54AF">
        <w:rPr>
          <w:szCs w:val="22"/>
        </w:rPr>
        <w:t>4.2), a frequência da monitorização pode ser reduzida a mensal caso não ocorram alterações nos testes de função hepática.</w:t>
      </w:r>
    </w:p>
    <w:p w14:paraId="258515E5" w14:textId="77777777" w:rsidR="008805C8" w:rsidRPr="002A54AF" w:rsidRDefault="008805C8" w:rsidP="00011577">
      <w:pPr>
        <w:pStyle w:val="BodyText2"/>
        <w:tabs>
          <w:tab w:val="left" w:pos="567"/>
        </w:tabs>
        <w:rPr>
          <w:szCs w:val="22"/>
        </w:rPr>
      </w:pPr>
    </w:p>
    <w:p w14:paraId="7DA5C163" w14:textId="77777777" w:rsidR="008805C8" w:rsidRPr="002A54AF" w:rsidRDefault="008805C8" w:rsidP="008805C8">
      <w:pPr>
        <w:pStyle w:val="BodyText2"/>
        <w:tabs>
          <w:tab w:val="left" w:pos="567"/>
        </w:tabs>
        <w:rPr>
          <w:szCs w:val="22"/>
        </w:rPr>
      </w:pPr>
      <w:r w:rsidRPr="002A54AF">
        <w:rPr>
          <w:szCs w:val="22"/>
        </w:rPr>
        <w:t xml:space="preserve">Se os resultados dos testes da função hepática se tornarem acentuadamente elevados, o tratamento com </w:t>
      </w:r>
      <w:r w:rsidR="0020636B" w:rsidRPr="002A54AF">
        <w:rPr>
          <w:szCs w:val="22"/>
        </w:rPr>
        <w:t>Voriconazol Accord</w:t>
      </w:r>
      <w:r w:rsidRPr="002A54AF">
        <w:rPr>
          <w:szCs w:val="22"/>
        </w:rPr>
        <w:t xml:space="preserve"> deve ser descontinuado, a menos que a avaliação médica do benefício/risco do tratamento para o doente justifique a continuação da sua utilização. </w:t>
      </w:r>
    </w:p>
    <w:p w14:paraId="5AF8F2F1" w14:textId="77777777" w:rsidR="008805C8" w:rsidRPr="002A54AF" w:rsidRDefault="008805C8" w:rsidP="008805C8">
      <w:pPr>
        <w:pStyle w:val="BodyText2"/>
        <w:tabs>
          <w:tab w:val="left" w:pos="567"/>
        </w:tabs>
        <w:rPr>
          <w:szCs w:val="22"/>
        </w:rPr>
      </w:pPr>
    </w:p>
    <w:p w14:paraId="1B8CEAAF" w14:textId="77777777" w:rsidR="00011577" w:rsidRPr="002A54AF" w:rsidRDefault="008805C8" w:rsidP="008805C8">
      <w:pPr>
        <w:pStyle w:val="BodyText2"/>
        <w:tabs>
          <w:tab w:val="left" w:pos="567"/>
        </w:tabs>
        <w:rPr>
          <w:szCs w:val="22"/>
        </w:rPr>
      </w:pPr>
      <w:r w:rsidRPr="002A54AF">
        <w:rPr>
          <w:szCs w:val="22"/>
        </w:rPr>
        <w:t>A monitorização da função hepática deve ser realizada em crianças e adultos.</w:t>
      </w:r>
    </w:p>
    <w:p w14:paraId="0813FAF8" w14:textId="77777777" w:rsidR="00011577" w:rsidRDefault="00011577" w:rsidP="00011577">
      <w:pPr>
        <w:tabs>
          <w:tab w:val="left" w:pos="567"/>
        </w:tabs>
        <w:suppressAutoHyphens/>
        <w:rPr>
          <w:szCs w:val="22"/>
          <w:lang w:val="pt-PT"/>
        </w:rPr>
      </w:pPr>
    </w:p>
    <w:p w14:paraId="018FA2D6" w14:textId="77777777" w:rsidR="00266D2D" w:rsidRPr="00266D2D" w:rsidRDefault="00266D2D" w:rsidP="00266D2D">
      <w:pPr>
        <w:tabs>
          <w:tab w:val="left" w:pos="567"/>
        </w:tabs>
        <w:suppressAutoHyphens/>
        <w:rPr>
          <w:szCs w:val="22"/>
          <w:u w:val="single"/>
          <w:lang w:val="pt-PT"/>
        </w:rPr>
      </w:pPr>
      <w:r w:rsidRPr="00266D2D">
        <w:rPr>
          <w:szCs w:val="22"/>
          <w:u w:val="single"/>
          <w:lang w:val="pt-PT"/>
        </w:rPr>
        <w:t>Reações adversas dermatológicas graves</w:t>
      </w:r>
    </w:p>
    <w:p w14:paraId="7E669BB1" w14:textId="77777777" w:rsidR="00266D2D" w:rsidRPr="00266D2D" w:rsidRDefault="00266D2D" w:rsidP="00266D2D">
      <w:pPr>
        <w:tabs>
          <w:tab w:val="left" w:pos="567"/>
        </w:tabs>
        <w:suppressAutoHyphens/>
        <w:rPr>
          <w:szCs w:val="22"/>
          <w:u w:val="single"/>
          <w:lang w:val="pt-PT"/>
        </w:rPr>
      </w:pPr>
    </w:p>
    <w:p w14:paraId="416FDF18" w14:textId="77777777" w:rsidR="00266D2D" w:rsidRPr="00CB39F3" w:rsidRDefault="00266D2D" w:rsidP="00633122">
      <w:pPr>
        <w:numPr>
          <w:ilvl w:val="0"/>
          <w:numId w:val="26"/>
        </w:numPr>
        <w:tabs>
          <w:tab w:val="left" w:pos="567"/>
        </w:tabs>
        <w:suppressAutoHyphens/>
        <w:ind w:left="567" w:hanging="567"/>
        <w:rPr>
          <w:i/>
          <w:szCs w:val="22"/>
          <w:lang w:val="pt-PT"/>
        </w:rPr>
      </w:pPr>
      <w:r w:rsidRPr="00CB39F3">
        <w:rPr>
          <w:i/>
          <w:szCs w:val="22"/>
          <w:lang w:val="pt-PT"/>
        </w:rPr>
        <w:t>Fototoxicidade</w:t>
      </w:r>
    </w:p>
    <w:p w14:paraId="7BCE8298" w14:textId="0B62B39E" w:rsidR="00266D2D" w:rsidRPr="00266D2D" w:rsidRDefault="00266D2D" w:rsidP="00266D2D">
      <w:pPr>
        <w:tabs>
          <w:tab w:val="left" w:pos="567"/>
        </w:tabs>
        <w:suppressAutoHyphens/>
        <w:rPr>
          <w:szCs w:val="22"/>
          <w:lang w:val="pt-PT"/>
        </w:rPr>
      </w:pPr>
      <w:r w:rsidRPr="00266D2D">
        <w:rPr>
          <w:szCs w:val="22"/>
          <w:lang w:val="pt-PT"/>
        </w:rPr>
        <w:t>Adicio</w:t>
      </w:r>
      <w:r>
        <w:rPr>
          <w:szCs w:val="22"/>
          <w:lang w:val="pt-PT"/>
        </w:rPr>
        <w:t xml:space="preserve">nalmente, </w:t>
      </w:r>
      <w:r w:rsidRPr="00EC0BF5">
        <w:rPr>
          <w:szCs w:val="22"/>
          <w:lang w:val="pt-PT"/>
        </w:rPr>
        <w:t>Voriconazol Accord</w:t>
      </w:r>
      <w:r w:rsidRPr="00266D2D">
        <w:rPr>
          <w:szCs w:val="22"/>
          <w:lang w:val="pt-PT"/>
        </w:rPr>
        <w:t xml:space="preserve"> tem sido associado a reações de fototoxicidade, incluindo reações como efélides, lentigo, queratose actínica e pseudoporfíria. </w:t>
      </w:r>
      <w:r w:rsidR="00376167" w:rsidRPr="00376167">
        <w:rPr>
          <w:szCs w:val="22"/>
          <w:lang w:val="pt-PT"/>
        </w:rPr>
        <w:t>Existe um potencial risco aumentado de reações/toxicidade cutânea com a utilização concomitante de agentes fotossensíveis (por ex., metotrexato, etc.)</w:t>
      </w:r>
      <w:r w:rsidR="00376167">
        <w:rPr>
          <w:szCs w:val="22"/>
          <w:lang w:val="pt-PT"/>
        </w:rPr>
        <w:t xml:space="preserve">. </w:t>
      </w:r>
      <w:r w:rsidRPr="00266D2D">
        <w:rPr>
          <w:szCs w:val="22"/>
          <w:lang w:val="pt-PT"/>
        </w:rPr>
        <w:t>Recomenda-se que todos os doentes, especialmente as crianças, evitem a exposição à luz solar direta durante o tra</w:t>
      </w:r>
      <w:r>
        <w:rPr>
          <w:szCs w:val="22"/>
          <w:lang w:val="pt-PT"/>
        </w:rPr>
        <w:t xml:space="preserve">tamento com </w:t>
      </w:r>
      <w:r w:rsidRPr="00EC0BF5">
        <w:rPr>
          <w:szCs w:val="22"/>
          <w:lang w:val="pt-PT"/>
        </w:rPr>
        <w:t>Voriconazol Accord</w:t>
      </w:r>
      <w:r w:rsidRPr="00266D2D">
        <w:rPr>
          <w:szCs w:val="22"/>
          <w:lang w:val="pt-PT"/>
        </w:rPr>
        <w:t xml:space="preserve"> e que adotem medidas, tais como, o uso de vestuário protetor e protetor solar com elevado fator de proteção (FPS). </w:t>
      </w:r>
    </w:p>
    <w:p w14:paraId="3C74EA1E" w14:textId="77777777" w:rsidR="00266D2D" w:rsidRPr="00266D2D" w:rsidRDefault="00266D2D" w:rsidP="00266D2D">
      <w:pPr>
        <w:tabs>
          <w:tab w:val="left" w:pos="567"/>
        </w:tabs>
        <w:suppressAutoHyphens/>
        <w:rPr>
          <w:b/>
          <w:szCs w:val="22"/>
          <w:lang w:val="pt-PT"/>
        </w:rPr>
      </w:pPr>
    </w:p>
    <w:p w14:paraId="6C466620" w14:textId="77777777" w:rsidR="00266D2D" w:rsidRPr="00CB39F3" w:rsidRDefault="00266D2D" w:rsidP="00633122">
      <w:pPr>
        <w:numPr>
          <w:ilvl w:val="0"/>
          <w:numId w:val="26"/>
        </w:numPr>
        <w:tabs>
          <w:tab w:val="left" w:pos="567"/>
        </w:tabs>
        <w:suppressAutoHyphens/>
        <w:ind w:left="567" w:hanging="567"/>
        <w:rPr>
          <w:i/>
          <w:szCs w:val="22"/>
          <w:lang w:val="pt-PT"/>
        </w:rPr>
      </w:pPr>
      <w:r w:rsidRPr="00CB39F3">
        <w:rPr>
          <w:i/>
          <w:szCs w:val="22"/>
          <w:lang w:val="pt-PT"/>
        </w:rPr>
        <w:t>Carcinoma espinocelular (CEC)</w:t>
      </w:r>
    </w:p>
    <w:p w14:paraId="63C8C2AC" w14:textId="6F4164EA" w:rsidR="00266D2D" w:rsidRPr="00266D2D" w:rsidRDefault="00266D2D" w:rsidP="00266D2D">
      <w:pPr>
        <w:tabs>
          <w:tab w:val="left" w:pos="567"/>
        </w:tabs>
        <w:suppressAutoHyphens/>
        <w:rPr>
          <w:b/>
          <w:szCs w:val="22"/>
          <w:lang w:val="pt-PT"/>
        </w:rPr>
      </w:pPr>
      <w:r w:rsidRPr="00266D2D">
        <w:rPr>
          <w:szCs w:val="22"/>
          <w:lang w:val="pt-PT"/>
        </w:rPr>
        <w:lastRenderedPageBreak/>
        <w:t xml:space="preserve">Tem sido notificado carcinoma espinocelular </w:t>
      </w:r>
      <w:r w:rsidR="00ED57C2">
        <w:rPr>
          <w:szCs w:val="22"/>
          <w:lang w:val="pt-PT"/>
        </w:rPr>
        <w:t>(</w:t>
      </w:r>
      <w:r w:rsidR="00ED57C2" w:rsidRPr="00ED57C2">
        <w:rPr>
          <w:szCs w:val="22"/>
          <w:lang w:val="pt-PT"/>
        </w:rPr>
        <w:t xml:space="preserve">incluindo CEC cutâneo </w:t>
      </w:r>
      <w:r w:rsidR="00ED57C2" w:rsidRPr="006D2A27">
        <w:rPr>
          <w:i/>
          <w:iCs/>
          <w:szCs w:val="22"/>
          <w:lang w:val="pt-PT"/>
        </w:rPr>
        <w:t>in situ</w:t>
      </w:r>
      <w:r w:rsidR="00ED57C2" w:rsidRPr="00ED57C2">
        <w:rPr>
          <w:szCs w:val="22"/>
          <w:lang w:val="pt-PT"/>
        </w:rPr>
        <w:t xml:space="preserve"> ou doença de Bowen)</w:t>
      </w:r>
      <w:r w:rsidR="00ED57C2">
        <w:rPr>
          <w:szCs w:val="22"/>
          <w:lang w:val="pt-PT"/>
        </w:rPr>
        <w:t xml:space="preserve"> </w:t>
      </w:r>
      <w:r w:rsidRPr="00266D2D">
        <w:rPr>
          <w:szCs w:val="22"/>
          <w:lang w:val="pt-PT"/>
        </w:rPr>
        <w:t xml:space="preserve">em doentes. Alguns destes doentes já tinham notificado reações de fototoxicidade prévias. Se ocorrerem reações de fototoxicidade deve ser solicitada uma avaliação multidisciplinar e deve considerar-se a </w:t>
      </w:r>
      <w:r>
        <w:rPr>
          <w:szCs w:val="22"/>
          <w:lang w:val="pt-PT"/>
        </w:rPr>
        <w:t xml:space="preserve">interrupção de </w:t>
      </w:r>
      <w:r w:rsidRPr="00EC0BF5">
        <w:rPr>
          <w:szCs w:val="22"/>
          <w:lang w:val="pt-PT"/>
        </w:rPr>
        <w:t>Voriconazol Accord</w:t>
      </w:r>
      <w:r w:rsidRPr="00266D2D">
        <w:rPr>
          <w:szCs w:val="22"/>
          <w:lang w:val="pt-PT"/>
        </w:rPr>
        <w:t xml:space="preserve"> e a utilização de agentes antifúngicos alternativos e o doente deve ser referenciado para a dermatologia. Caso se mantenha</w:t>
      </w:r>
      <w:r>
        <w:rPr>
          <w:szCs w:val="22"/>
          <w:lang w:val="pt-PT"/>
        </w:rPr>
        <w:t xml:space="preserve"> o tratamento com </w:t>
      </w:r>
      <w:r w:rsidRPr="00EC0BF5">
        <w:rPr>
          <w:szCs w:val="22"/>
          <w:lang w:val="pt-PT"/>
        </w:rPr>
        <w:t>Voriconazol Accord</w:t>
      </w:r>
      <w:r w:rsidRPr="00266D2D">
        <w:rPr>
          <w:szCs w:val="22"/>
          <w:lang w:val="pt-PT"/>
        </w:rPr>
        <w:t xml:space="preserve"> deve ser realizada uma avaliação dermatológica de forma sistemática e regular, para permitir a deteção e tratamento precoces d</w:t>
      </w:r>
      <w:r>
        <w:rPr>
          <w:szCs w:val="22"/>
          <w:lang w:val="pt-PT"/>
        </w:rPr>
        <w:t xml:space="preserve">e lesões pré-cancerosas. O </w:t>
      </w:r>
      <w:r w:rsidRPr="00EC0BF5">
        <w:rPr>
          <w:szCs w:val="22"/>
          <w:lang w:val="pt-PT"/>
        </w:rPr>
        <w:t>Voriconazol Accord</w:t>
      </w:r>
      <w:r w:rsidRPr="00266D2D">
        <w:rPr>
          <w:szCs w:val="22"/>
          <w:lang w:val="pt-PT"/>
        </w:rPr>
        <w:t xml:space="preserve"> deve ser interrompido se forem identificadas lesões cutâneas pré-cancerosas ou carcinoma espinocelular (ver secção abaixo Tratamento de longa duração). </w:t>
      </w:r>
    </w:p>
    <w:p w14:paraId="27E133CD" w14:textId="77777777" w:rsidR="00266D2D" w:rsidRPr="00266D2D" w:rsidRDefault="00266D2D" w:rsidP="00266D2D">
      <w:pPr>
        <w:tabs>
          <w:tab w:val="left" w:pos="567"/>
        </w:tabs>
        <w:suppressAutoHyphens/>
        <w:rPr>
          <w:szCs w:val="22"/>
          <w:lang w:val="pt-PT"/>
        </w:rPr>
      </w:pPr>
    </w:p>
    <w:p w14:paraId="058D07DB" w14:textId="77777777" w:rsidR="00266D2D" w:rsidRPr="00CB39F3" w:rsidRDefault="00266D2D" w:rsidP="00633122">
      <w:pPr>
        <w:numPr>
          <w:ilvl w:val="0"/>
          <w:numId w:val="26"/>
        </w:numPr>
        <w:tabs>
          <w:tab w:val="left" w:pos="567"/>
        </w:tabs>
        <w:suppressAutoHyphens/>
        <w:ind w:left="567" w:hanging="567"/>
        <w:rPr>
          <w:i/>
          <w:szCs w:val="22"/>
          <w:lang w:val="pt-PT"/>
        </w:rPr>
      </w:pPr>
      <w:r w:rsidRPr="00CB39F3">
        <w:rPr>
          <w:i/>
          <w:szCs w:val="22"/>
          <w:lang w:val="pt-PT"/>
        </w:rPr>
        <w:t xml:space="preserve">Reações </w:t>
      </w:r>
      <w:r w:rsidR="00742CF6">
        <w:rPr>
          <w:i/>
          <w:szCs w:val="22"/>
          <w:lang w:val="pt-PT"/>
        </w:rPr>
        <w:t xml:space="preserve">adversas </w:t>
      </w:r>
      <w:r w:rsidRPr="00CB39F3">
        <w:rPr>
          <w:i/>
          <w:szCs w:val="22"/>
          <w:lang w:val="pt-PT"/>
        </w:rPr>
        <w:t xml:space="preserve">cutâneas </w:t>
      </w:r>
      <w:r w:rsidR="00742CF6">
        <w:rPr>
          <w:i/>
          <w:szCs w:val="22"/>
          <w:lang w:val="pt-PT"/>
        </w:rPr>
        <w:t>graves</w:t>
      </w:r>
    </w:p>
    <w:p w14:paraId="0E7321DF" w14:textId="77777777" w:rsidR="00266D2D" w:rsidRDefault="00683B63" w:rsidP="00266D2D">
      <w:pPr>
        <w:tabs>
          <w:tab w:val="left" w:pos="567"/>
        </w:tabs>
        <w:suppressAutoHyphens/>
        <w:rPr>
          <w:szCs w:val="22"/>
          <w:lang w:val="pt-PT"/>
        </w:rPr>
      </w:pPr>
      <w:r w:rsidRPr="000E218C">
        <w:rPr>
          <w:lang w:val="pt-PT"/>
        </w:rPr>
        <w:t xml:space="preserve">Têm sido notificadas </w:t>
      </w:r>
      <w:r w:rsidR="00266D2D" w:rsidRPr="00683B63">
        <w:rPr>
          <w:szCs w:val="22"/>
          <w:lang w:val="pt-PT"/>
        </w:rPr>
        <w:t xml:space="preserve">reações </w:t>
      </w:r>
      <w:r w:rsidRPr="000E218C">
        <w:rPr>
          <w:lang w:val="pt-PT"/>
        </w:rPr>
        <w:t>adversas cutâneas graves com a utilização de voriconazol, incluindo</w:t>
      </w:r>
      <w:r w:rsidR="00266D2D" w:rsidRPr="00683B63">
        <w:rPr>
          <w:szCs w:val="22"/>
          <w:lang w:val="pt-PT"/>
        </w:rPr>
        <w:t xml:space="preserve"> a síndrome de Stevens-Johnson</w:t>
      </w:r>
      <w:r w:rsidR="007F757D">
        <w:rPr>
          <w:szCs w:val="22"/>
          <w:lang w:val="pt-PT"/>
        </w:rPr>
        <w:t xml:space="preserve"> </w:t>
      </w:r>
      <w:r w:rsidR="007F757D" w:rsidRPr="000E218C">
        <w:rPr>
          <w:lang w:val="pt-PT"/>
        </w:rPr>
        <w:t>(SJS), necrólise epidérmica tóxica (NET) e reação medicamentosa com eosinofilia e sintomas sistémicos (DRESS), que podem ser potencialmente fatais ou fatais</w:t>
      </w:r>
      <w:r w:rsidR="00266D2D" w:rsidRPr="00683B63">
        <w:rPr>
          <w:szCs w:val="22"/>
          <w:lang w:val="pt-PT"/>
        </w:rPr>
        <w:t>. Se um doente desenvolver um</w:t>
      </w:r>
      <w:r w:rsidR="00971115" w:rsidRPr="00683B63">
        <w:rPr>
          <w:szCs w:val="22"/>
          <w:lang w:val="pt-PT"/>
        </w:rPr>
        <w:t>a erupção cutânea</w:t>
      </w:r>
      <w:r w:rsidR="00266D2D" w:rsidRPr="00683B63">
        <w:rPr>
          <w:szCs w:val="22"/>
          <w:lang w:val="pt-PT"/>
        </w:rPr>
        <w:t xml:space="preserve">, esse doente deve ser cuidadosamente monitorizado e o </w:t>
      </w:r>
      <w:r w:rsidR="00266D2D" w:rsidRPr="007F757D">
        <w:rPr>
          <w:szCs w:val="22"/>
          <w:lang w:val="pt-PT"/>
        </w:rPr>
        <w:t xml:space="preserve">Voriconazol Accord deve ser descontinuado se as lesões progredirem. </w:t>
      </w:r>
    </w:p>
    <w:p w14:paraId="71E71C29" w14:textId="77777777" w:rsidR="00742CF6" w:rsidRDefault="00742CF6" w:rsidP="00266D2D">
      <w:pPr>
        <w:tabs>
          <w:tab w:val="left" w:pos="567"/>
        </w:tabs>
        <w:suppressAutoHyphens/>
        <w:rPr>
          <w:szCs w:val="22"/>
          <w:lang w:val="pt-PT"/>
        </w:rPr>
      </w:pPr>
    </w:p>
    <w:p w14:paraId="4A303AEB" w14:textId="77777777" w:rsidR="00742CF6" w:rsidRPr="00646C77" w:rsidRDefault="00742CF6" w:rsidP="00646C77">
      <w:pPr>
        <w:tabs>
          <w:tab w:val="left" w:pos="567"/>
        </w:tabs>
        <w:suppressAutoHyphens/>
        <w:rPr>
          <w:szCs w:val="22"/>
          <w:u w:val="single"/>
          <w:lang w:val="pt-PT"/>
        </w:rPr>
      </w:pPr>
      <w:r w:rsidRPr="00646C77">
        <w:rPr>
          <w:szCs w:val="22"/>
          <w:u w:val="single"/>
          <w:lang w:val="pt-PT"/>
        </w:rPr>
        <w:t>Acontecimentos suprarrenais</w:t>
      </w:r>
    </w:p>
    <w:p w14:paraId="3751241C" w14:textId="77777777" w:rsidR="00007F99" w:rsidRPr="00007F99" w:rsidRDefault="00007F99" w:rsidP="00007F99">
      <w:pPr>
        <w:tabs>
          <w:tab w:val="left" w:pos="567"/>
        </w:tabs>
        <w:suppressAutoHyphens/>
        <w:rPr>
          <w:szCs w:val="22"/>
          <w:lang w:val="pt-PT"/>
        </w:rPr>
      </w:pPr>
      <w:r w:rsidRPr="00007F99">
        <w:rPr>
          <w:szCs w:val="22"/>
          <w:lang w:val="pt-PT"/>
        </w:rPr>
        <w:t>Têm sido notificados casos reversíveis de insuficiência suprarrenal em doentes a receber azois,</w:t>
      </w:r>
    </w:p>
    <w:p w14:paraId="3EE31EBD" w14:textId="77777777" w:rsidR="00007F99" w:rsidRPr="00007F99" w:rsidRDefault="00007F99" w:rsidP="00007F99">
      <w:pPr>
        <w:tabs>
          <w:tab w:val="left" w:pos="567"/>
        </w:tabs>
        <w:suppressAutoHyphens/>
        <w:rPr>
          <w:szCs w:val="22"/>
          <w:lang w:val="pt-PT"/>
        </w:rPr>
      </w:pPr>
      <w:r w:rsidRPr="00007F99">
        <w:rPr>
          <w:szCs w:val="22"/>
          <w:lang w:val="pt-PT"/>
        </w:rPr>
        <w:t>incluindo voriconazol. Tem sido notificada insuficiência suprarrenal em doentes a receber azois, com</w:t>
      </w:r>
    </w:p>
    <w:p w14:paraId="2A1F06F6" w14:textId="77777777" w:rsidR="00007F99" w:rsidRPr="00007F99" w:rsidRDefault="00007F99" w:rsidP="00007F99">
      <w:pPr>
        <w:tabs>
          <w:tab w:val="left" w:pos="567"/>
        </w:tabs>
        <w:suppressAutoHyphens/>
        <w:rPr>
          <w:szCs w:val="22"/>
          <w:lang w:val="pt-PT"/>
        </w:rPr>
      </w:pPr>
      <w:r w:rsidRPr="00007F99">
        <w:rPr>
          <w:szCs w:val="22"/>
          <w:lang w:val="pt-PT"/>
        </w:rPr>
        <w:t>ou sem corticosteroides concomitantes. Em doentes a receber azois sem corticosteroides, a</w:t>
      </w:r>
    </w:p>
    <w:p w14:paraId="035ADE18" w14:textId="77777777" w:rsidR="00007F99" w:rsidRPr="00007F99" w:rsidRDefault="00007F99" w:rsidP="00007F99">
      <w:pPr>
        <w:tabs>
          <w:tab w:val="left" w:pos="567"/>
        </w:tabs>
        <w:suppressAutoHyphens/>
        <w:rPr>
          <w:szCs w:val="22"/>
          <w:lang w:val="pt-PT"/>
        </w:rPr>
      </w:pPr>
      <w:r w:rsidRPr="00007F99">
        <w:rPr>
          <w:szCs w:val="22"/>
          <w:lang w:val="pt-PT"/>
        </w:rPr>
        <w:t>insuficiência suprarrenal está relacionada com a inibição direta da esteroidogénese pelos azois. Em</w:t>
      </w:r>
    </w:p>
    <w:p w14:paraId="5006E036" w14:textId="77777777" w:rsidR="00007F99" w:rsidRPr="00007F99" w:rsidRDefault="00007F99" w:rsidP="00007F99">
      <w:pPr>
        <w:tabs>
          <w:tab w:val="left" w:pos="567"/>
        </w:tabs>
        <w:suppressAutoHyphens/>
        <w:rPr>
          <w:szCs w:val="22"/>
          <w:lang w:val="pt-PT"/>
        </w:rPr>
      </w:pPr>
      <w:r w:rsidRPr="00007F99">
        <w:rPr>
          <w:szCs w:val="22"/>
          <w:lang w:val="pt-PT"/>
        </w:rPr>
        <w:t>doentes a tomar corticosteroides, a inibição do CYP3A4 associada ao voriconazol do seu metabolismo</w:t>
      </w:r>
    </w:p>
    <w:p w14:paraId="32D458E0" w14:textId="77777777" w:rsidR="00007F99" w:rsidRPr="00007F99" w:rsidRDefault="00007F99" w:rsidP="00007F99">
      <w:pPr>
        <w:tabs>
          <w:tab w:val="left" w:pos="567"/>
        </w:tabs>
        <w:suppressAutoHyphens/>
        <w:rPr>
          <w:szCs w:val="22"/>
          <w:lang w:val="pt-PT"/>
        </w:rPr>
      </w:pPr>
      <w:r w:rsidRPr="00007F99">
        <w:rPr>
          <w:szCs w:val="22"/>
          <w:lang w:val="pt-PT"/>
        </w:rPr>
        <w:t>pode resultar em excesso de corticosteroides e em supressão das suprarrenais (ver secção 4.5).</w:t>
      </w:r>
    </w:p>
    <w:p w14:paraId="17625A60" w14:textId="77777777" w:rsidR="00007F99" w:rsidRPr="00007F99" w:rsidRDefault="00007F99" w:rsidP="00007F99">
      <w:pPr>
        <w:tabs>
          <w:tab w:val="left" w:pos="567"/>
        </w:tabs>
        <w:suppressAutoHyphens/>
        <w:rPr>
          <w:szCs w:val="22"/>
          <w:lang w:val="pt-PT"/>
        </w:rPr>
      </w:pPr>
      <w:r w:rsidRPr="00007F99">
        <w:rPr>
          <w:szCs w:val="22"/>
          <w:lang w:val="pt-PT"/>
        </w:rPr>
        <w:t>Também tem sido notificada síndrome de Cushing, com e sem insuficiência suprarrenal subsequente,</w:t>
      </w:r>
    </w:p>
    <w:p w14:paraId="3331D5EA" w14:textId="77777777" w:rsidR="00742CF6" w:rsidRDefault="00007F99" w:rsidP="00742CF6">
      <w:pPr>
        <w:tabs>
          <w:tab w:val="left" w:pos="567"/>
        </w:tabs>
        <w:suppressAutoHyphens/>
        <w:rPr>
          <w:szCs w:val="22"/>
          <w:lang w:val="pt-PT"/>
        </w:rPr>
      </w:pPr>
      <w:r w:rsidRPr="00007F99">
        <w:rPr>
          <w:szCs w:val="22"/>
          <w:lang w:val="pt-PT"/>
        </w:rPr>
        <w:t>em doentes a receber voriconazol concomitantemente com corticosteroides.</w:t>
      </w:r>
    </w:p>
    <w:p w14:paraId="19E83EF6" w14:textId="77777777" w:rsidR="004E006F" w:rsidRDefault="004E006F" w:rsidP="00007F99">
      <w:pPr>
        <w:tabs>
          <w:tab w:val="left" w:pos="567"/>
        </w:tabs>
        <w:suppressAutoHyphens/>
        <w:rPr>
          <w:szCs w:val="22"/>
          <w:lang w:val="pt-PT"/>
        </w:rPr>
      </w:pPr>
    </w:p>
    <w:p w14:paraId="7DC42BBF" w14:textId="77777777" w:rsidR="00007F99" w:rsidRPr="00007F99" w:rsidRDefault="00742CF6" w:rsidP="00007F99">
      <w:pPr>
        <w:tabs>
          <w:tab w:val="left" w:pos="567"/>
        </w:tabs>
        <w:suppressAutoHyphens/>
        <w:rPr>
          <w:szCs w:val="22"/>
          <w:lang w:val="pt-PT"/>
        </w:rPr>
      </w:pPr>
      <w:r w:rsidRPr="00646C77">
        <w:rPr>
          <w:szCs w:val="22"/>
          <w:lang w:val="pt-PT"/>
        </w:rPr>
        <w:t>Os doentes em tratamento de longa dura</w:t>
      </w:r>
      <w:r w:rsidRPr="00646C77">
        <w:rPr>
          <w:rFonts w:hint="eastAsia"/>
          <w:szCs w:val="22"/>
          <w:lang w:val="pt-PT"/>
        </w:rPr>
        <w:t>çã</w:t>
      </w:r>
      <w:r w:rsidRPr="00646C77">
        <w:rPr>
          <w:szCs w:val="22"/>
          <w:lang w:val="pt-PT"/>
        </w:rPr>
        <w:t>o com voriconazol e corticosteroides (incluindo</w:t>
      </w:r>
      <w:r>
        <w:rPr>
          <w:szCs w:val="22"/>
          <w:lang w:val="pt-PT"/>
        </w:rPr>
        <w:t xml:space="preserve"> </w:t>
      </w:r>
      <w:r w:rsidRPr="00646C77">
        <w:rPr>
          <w:szCs w:val="22"/>
          <w:lang w:val="pt-PT"/>
        </w:rPr>
        <w:t>corticosteroides inalados, por exemplo, budesonida e corticoides intranasais) devem ser</w:t>
      </w:r>
      <w:r>
        <w:rPr>
          <w:szCs w:val="22"/>
          <w:lang w:val="pt-PT"/>
        </w:rPr>
        <w:t xml:space="preserve"> </w:t>
      </w:r>
      <w:r w:rsidRPr="00646C77">
        <w:rPr>
          <w:szCs w:val="22"/>
          <w:lang w:val="pt-PT"/>
        </w:rPr>
        <w:t xml:space="preserve">cuidadosamente monitorizados quanto </w:t>
      </w:r>
      <w:r w:rsidRPr="00646C77">
        <w:rPr>
          <w:rFonts w:hint="eastAsia"/>
          <w:szCs w:val="22"/>
          <w:lang w:val="pt-PT"/>
        </w:rPr>
        <w:t>à</w:t>
      </w:r>
      <w:r w:rsidRPr="00646C77">
        <w:rPr>
          <w:szCs w:val="22"/>
          <w:lang w:val="pt-PT"/>
        </w:rPr>
        <w:t xml:space="preserve"> disfun</w:t>
      </w:r>
      <w:r w:rsidRPr="00646C77">
        <w:rPr>
          <w:rFonts w:hint="eastAsia"/>
          <w:szCs w:val="22"/>
          <w:lang w:val="pt-PT"/>
        </w:rPr>
        <w:t>çã</w:t>
      </w:r>
      <w:r w:rsidRPr="00646C77">
        <w:rPr>
          <w:szCs w:val="22"/>
          <w:lang w:val="pt-PT"/>
        </w:rPr>
        <w:t>o do c</w:t>
      </w:r>
      <w:r w:rsidRPr="00646C77">
        <w:rPr>
          <w:rFonts w:hint="eastAsia"/>
          <w:szCs w:val="22"/>
          <w:lang w:val="pt-PT"/>
        </w:rPr>
        <w:t>ó</w:t>
      </w:r>
      <w:r w:rsidRPr="00646C77">
        <w:rPr>
          <w:szCs w:val="22"/>
          <w:lang w:val="pt-PT"/>
        </w:rPr>
        <w:t>rtex adrenal durante o tratamento e quando o</w:t>
      </w:r>
      <w:r>
        <w:rPr>
          <w:szCs w:val="22"/>
          <w:lang w:val="pt-PT"/>
        </w:rPr>
        <w:t xml:space="preserve"> </w:t>
      </w:r>
      <w:r w:rsidRPr="00646C77">
        <w:rPr>
          <w:szCs w:val="22"/>
          <w:lang w:val="pt-PT"/>
        </w:rPr>
        <w:t xml:space="preserve">voriconazol </w:t>
      </w:r>
      <w:r w:rsidRPr="00646C77">
        <w:rPr>
          <w:rFonts w:hint="eastAsia"/>
          <w:szCs w:val="22"/>
          <w:lang w:val="pt-PT"/>
        </w:rPr>
        <w:t>é</w:t>
      </w:r>
      <w:r w:rsidRPr="00646C77">
        <w:rPr>
          <w:szCs w:val="22"/>
          <w:lang w:val="pt-PT"/>
        </w:rPr>
        <w:t xml:space="preserve"> descontinuado (ver sec</w:t>
      </w:r>
      <w:r w:rsidRPr="00646C77">
        <w:rPr>
          <w:rFonts w:hint="eastAsia"/>
          <w:szCs w:val="22"/>
          <w:lang w:val="pt-PT"/>
        </w:rPr>
        <w:t>çã</w:t>
      </w:r>
      <w:r w:rsidRPr="00646C77">
        <w:rPr>
          <w:szCs w:val="22"/>
          <w:lang w:val="pt-PT"/>
        </w:rPr>
        <w:t>o 4.5).</w:t>
      </w:r>
      <w:r w:rsidR="00007F99">
        <w:rPr>
          <w:szCs w:val="22"/>
          <w:lang w:val="pt-PT"/>
        </w:rPr>
        <w:t xml:space="preserve"> </w:t>
      </w:r>
      <w:r w:rsidR="00007F99" w:rsidRPr="00007F99">
        <w:rPr>
          <w:szCs w:val="22"/>
          <w:lang w:val="pt-PT"/>
        </w:rPr>
        <w:t>Os doentes devem ser instruídos para procurar</w:t>
      </w:r>
    </w:p>
    <w:p w14:paraId="69CF2A0E" w14:textId="77777777" w:rsidR="00007F99" w:rsidRPr="00007F99" w:rsidRDefault="00007F99" w:rsidP="00007F99">
      <w:pPr>
        <w:tabs>
          <w:tab w:val="left" w:pos="567"/>
        </w:tabs>
        <w:suppressAutoHyphens/>
        <w:rPr>
          <w:szCs w:val="22"/>
          <w:lang w:val="pt-PT"/>
        </w:rPr>
      </w:pPr>
      <w:r w:rsidRPr="00007F99">
        <w:rPr>
          <w:szCs w:val="22"/>
          <w:lang w:val="pt-PT"/>
        </w:rPr>
        <w:t>assistência médica de imediato se desenvolverem sinais e sintomas de síndrome de Cushing ou de</w:t>
      </w:r>
    </w:p>
    <w:p w14:paraId="4B8D5C0A" w14:textId="77777777" w:rsidR="00742CF6" w:rsidRPr="00007F99" w:rsidRDefault="00007F99" w:rsidP="00007F99">
      <w:pPr>
        <w:tabs>
          <w:tab w:val="left" w:pos="567"/>
        </w:tabs>
        <w:suppressAutoHyphens/>
        <w:rPr>
          <w:szCs w:val="22"/>
          <w:lang w:val="pt-PT"/>
        </w:rPr>
      </w:pPr>
      <w:r w:rsidRPr="00007F99">
        <w:rPr>
          <w:szCs w:val="22"/>
          <w:lang w:val="pt-PT"/>
        </w:rPr>
        <w:t>insuficiência suprarrenal.</w:t>
      </w:r>
    </w:p>
    <w:p w14:paraId="0910B644" w14:textId="77777777" w:rsidR="00633122" w:rsidRPr="00266D2D" w:rsidRDefault="00633122" w:rsidP="00266D2D">
      <w:pPr>
        <w:tabs>
          <w:tab w:val="left" w:pos="567"/>
        </w:tabs>
        <w:suppressAutoHyphens/>
        <w:rPr>
          <w:szCs w:val="22"/>
          <w:lang w:val="pt-PT"/>
        </w:rPr>
      </w:pPr>
    </w:p>
    <w:p w14:paraId="612CFEE1" w14:textId="77777777" w:rsidR="00266D2D" w:rsidRDefault="00266D2D" w:rsidP="00266D2D">
      <w:pPr>
        <w:tabs>
          <w:tab w:val="left" w:pos="567"/>
        </w:tabs>
        <w:suppressAutoHyphens/>
        <w:rPr>
          <w:szCs w:val="22"/>
          <w:u w:val="single"/>
          <w:lang w:val="pt-PT"/>
        </w:rPr>
      </w:pPr>
      <w:r w:rsidRPr="00266D2D">
        <w:rPr>
          <w:szCs w:val="22"/>
          <w:u w:val="single"/>
          <w:lang w:val="pt-PT"/>
        </w:rPr>
        <w:t>Tratamento de longa duração</w:t>
      </w:r>
    </w:p>
    <w:p w14:paraId="163AF613" w14:textId="77777777" w:rsidR="00633122" w:rsidRPr="00266D2D" w:rsidRDefault="00633122" w:rsidP="00266D2D">
      <w:pPr>
        <w:tabs>
          <w:tab w:val="left" w:pos="567"/>
        </w:tabs>
        <w:suppressAutoHyphens/>
        <w:rPr>
          <w:szCs w:val="22"/>
          <w:u w:val="single"/>
          <w:lang w:val="pt-PT"/>
        </w:rPr>
      </w:pPr>
    </w:p>
    <w:p w14:paraId="6EFF05CD" w14:textId="77777777" w:rsidR="00266D2D" w:rsidRPr="00266D2D" w:rsidRDefault="00266D2D" w:rsidP="00266D2D">
      <w:pPr>
        <w:tabs>
          <w:tab w:val="left" w:pos="567"/>
        </w:tabs>
        <w:suppressAutoHyphens/>
        <w:rPr>
          <w:szCs w:val="22"/>
          <w:lang w:val="pt-PT"/>
        </w:rPr>
      </w:pPr>
      <w:r w:rsidRPr="00266D2D">
        <w:rPr>
          <w:szCs w:val="22"/>
          <w:lang w:val="pt-PT"/>
        </w:rPr>
        <w:t>A exposição de longa duração (tratamento ou profilaxia) com duração superior a 180 dias (6 meses) requer uma cuidadosa avaliação da relação benefício-risco, pelo que os médicos devem considerar a necessidade</w:t>
      </w:r>
      <w:r>
        <w:rPr>
          <w:szCs w:val="22"/>
          <w:lang w:val="pt-PT"/>
        </w:rPr>
        <w:t xml:space="preserve"> de limitar a exposição ao </w:t>
      </w:r>
      <w:r w:rsidRPr="00EC0BF5">
        <w:rPr>
          <w:szCs w:val="22"/>
          <w:lang w:val="pt-PT"/>
        </w:rPr>
        <w:t>Voriconazol Accord</w:t>
      </w:r>
      <w:r w:rsidRPr="00266D2D">
        <w:rPr>
          <w:szCs w:val="22"/>
          <w:lang w:val="pt-PT"/>
        </w:rPr>
        <w:t xml:space="preserve"> (ver secções</w:t>
      </w:r>
      <w:r w:rsidR="00633122">
        <w:rPr>
          <w:szCs w:val="22"/>
          <w:lang w:val="pt-PT"/>
        </w:rPr>
        <w:t> </w:t>
      </w:r>
      <w:r w:rsidRPr="00266D2D">
        <w:rPr>
          <w:szCs w:val="22"/>
          <w:lang w:val="pt-PT"/>
        </w:rPr>
        <w:t>4.2 e</w:t>
      </w:r>
      <w:r w:rsidR="00633122">
        <w:rPr>
          <w:szCs w:val="22"/>
          <w:lang w:val="pt-PT"/>
        </w:rPr>
        <w:t> </w:t>
      </w:r>
      <w:r w:rsidRPr="00266D2D">
        <w:rPr>
          <w:szCs w:val="22"/>
          <w:lang w:val="pt-PT"/>
        </w:rPr>
        <w:t xml:space="preserve">5.1). </w:t>
      </w:r>
    </w:p>
    <w:p w14:paraId="488E6D94" w14:textId="77777777" w:rsidR="00266D2D" w:rsidRPr="00266D2D" w:rsidRDefault="00266D2D" w:rsidP="00266D2D">
      <w:pPr>
        <w:tabs>
          <w:tab w:val="left" w:pos="567"/>
        </w:tabs>
        <w:suppressAutoHyphens/>
        <w:rPr>
          <w:szCs w:val="22"/>
          <w:lang w:val="pt-PT"/>
        </w:rPr>
      </w:pPr>
    </w:p>
    <w:p w14:paraId="1B0E9405" w14:textId="0D597828" w:rsidR="00266D2D" w:rsidRPr="00266D2D" w:rsidRDefault="00266D2D" w:rsidP="00266D2D">
      <w:pPr>
        <w:tabs>
          <w:tab w:val="left" w:pos="567"/>
        </w:tabs>
        <w:suppressAutoHyphens/>
        <w:rPr>
          <w:szCs w:val="22"/>
          <w:lang w:val="pt-PT"/>
        </w:rPr>
      </w:pPr>
      <w:r w:rsidRPr="00266D2D">
        <w:rPr>
          <w:szCs w:val="22"/>
          <w:lang w:val="pt-PT"/>
        </w:rPr>
        <w:t>Tem sido notificado carcinoma espinocelular</w:t>
      </w:r>
      <w:r w:rsidR="00ED57C2">
        <w:rPr>
          <w:szCs w:val="22"/>
          <w:lang w:val="pt-PT"/>
        </w:rPr>
        <w:t xml:space="preserve"> (</w:t>
      </w:r>
      <w:r w:rsidR="00ED57C2" w:rsidRPr="00ED57C2">
        <w:rPr>
          <w:szCs w:val="22"/>
          <w:lang w:val="pt-PT"/>
        </w:rPr>
        <w:t xml:space="preserve">incluindo CEC cutâneo </w:t>
      </w:r>
      <w:r w:rsidR="00ED57C2" w:rsidRPr="006D2A27">
        <w:rPr>
          <w:i/>
          <w:iCs/>
          <w:szCs w:val="22"/>
          <w:lang w:val="pt-PT"/>
        </w:rPr>
        <w:t>in situ</w:t>
      </w:r>
      <w:r w:rsidR="00ED57C2" w:rsidRPr="00ED57C2">
        <w:rPr>
          <w:szCs w:val="22"/>
          <w:lang w:val="pt-PT"/>
        </w:rPr>
        <w:t xml:space="preserve"> ou doença de Bowen)</w:t>
      </w:r>
      <w:r w:rsidRPr="00266D2D">
        <w:rPr>
          <w:szCs w:val="22"/>
          <w:lang w:val="pt-PT"/>
        </w:rPr>
        <w:t xml:space="preserve"> relacionado com o tratamento de longa</w:t>
      </w:r>
      <w:r>
        <w:rPr>
          <w:szCs w:val="22"/>
          <w:lang w:val="pt-PT"/>
        </w:rPr>
        <w:t xml:space="preserve"> duração com </w:t>
      </w:r>
      <w:r w:rsidRPr="00EC0BF5">
        <w:rPr>
          <w:szCs w:val="22"/>
          <w:lang w:val="pt-PT"/>
        </w:rPr>
        <w:t>Voriconazol Accord</w:t>
      </w:r>
      <w:r w:rsidR="00376167">
        <w:rPr>
          <w:szCs w:val="22"/>
          <w:lang w:val="pt-PT"/>
        </w:rPr>
        <w:t xml:space="preserve"> (ver secção 4.8)</w:t>
      </w:r>
      <w:r w:rsidRPr="00266D2D">
        <w:rPr>
          <w:szCs w:val="22"/>
          <w:lang w:val="pt-PT"/>
        </w:rPr>
        <w:t>.</w:t>
      </w:r>
    </w:p>
    <w:p w14:paraId="195141B6" w14:textId="77777777" w:rsidR="00266D2D" w:rsidRPr="00266D2D" w:rsidRDefault="00266D2D" w:rsidP="00266D2D">
      <w:pPr>
        <w:tabs>
          <w:tab w:val="left" w:pos="567"/>
        </w:tabs>
        <w:suppressAutoHyphens/>
        <w:rPr>
          <w:szCs w:val="22"/>
          <w:lang w:val="pt-PT"/>
        </w:rPr>
      </w:pPr>
    </w:p>
    <w:p w14:paraId="5D5297F1" w14:textId="6654AD0A" w:rsidR="00266D2D" w:rsidRPr="00266D2D" w:rsidRDefault="00266D2D" w:rsidP="00266D2D">
      <w:pPr>
        <w:tabs>
          <w:tab w:val="left" w:pos="567"/>
        </w:tabs>
        <w:suppressAutoHyphens/>
        <w:rPr>
          <w:szCs w:val="22"/>
          <w:lang w:val="pt-PT"/>
        </w:rPr>
      </w:pPr>
      <w:r w:rsidRPr="00266D2D">
        <w:rPr>
          <w:szCs w:val="22"/>
          <w:lang w:val="pt-PT"/>
        </w:rPr>
        <w:t>Tem sido notificada periostite não-infeciosa com níveis elevados de fluoreto e fosfatase alcalina em doentes transplantados. Se um doente desenvolver dor óssea e apresentar achados radiológicos compatíveis com periostite, deve consider</w:t>
      </w:r>
      <w:r>
        <w:rPr>
          <w:szCs w:val="22"/>
          <w:lang w:val="pt-PT"/>
        </w:rPr>
        <w:t xml:space="preserve">ar-se a interrupção de </w:t>
      </w:r>
      <w:r w:rsidRPr="00EC0BF5">
        <w:rPr>
          <w:szCs w:val="22"/>
          <w:lang w:val="pt-PT"/>
        </w:rPr>
        <w:t>Voriconazol Accord</w:t>
      </w:r>
      <w:r w:rsidRPr="00266D2D">
        <w:rPr>
          <w:szCs w:val="22"/>
          <w:lang w:val="pt-PT"/>
        </w:rPr>
        <w:t xml:space="preserve"> após avaliação multidisciplinar</w:t>
      </w:r>
      <w:r w:rsidR="00376167">
        <w:rPr>
          <w:szCs w:val="22"/>
          <w:lang w:val="pt-PT"/>
        </w:rPr>
        <w:t xml:space="preserve"> (ver secção 4.8)</w:t>
      </w:r>
      <w:r w:rsidRPr="00266D2D">
        <w:rPr>
          <w:szCs w:val="22"/>
          <w:lang w:val="pt-PT"/>
        </w:rPr>
        <w:t>.</w:t>
      </w:r>
    </w:p>
    <w:p w14:paraId="449BD490" w14:textId="77777777" w:rsidR="00266D2D" w:rsidRPr="002A54AF" w:rsidRDefault="00266D2D" w:rsidP="00011577">
      <w:pPr>
        <w:tabs>
          <w:tab w:val="left" w:pos="567"/>
        </w:tabs>
        <w:suppressAutoHyphens/>
        <w:rPr>
          <w:szCs w:val="22"/>
          <w:lang w:val="pt-PT"/>
        </w:rPr>
      </w:pPr>
    </w:p>
    <w:p w14:paraId="29367440" w14:textId="77777777" w:rsidR="00011577" w:rsidRDefault="00011577" w:rsidP="00011577">
      <w:pPr>
        <w:tabs>
          <w:tab w:val="left" w:pos="567"/>
        </w:tabs>
        <w:suppressAutoHyphens/>
        <w:rPr>
          <w:szCs w:val="22"/>
          <w:u w:val="single"/>
          <w:lang w:val="pt-PT"/>
        </w:rPr>
      </w:pPr>
      <w:r w:rsidRPr="002A54AF">
        <w:rPr>
          <w:szCs w:val="22"/>
          <w:u w:val="single"/>
          <w:lang w:val="pt-PT"/>
        </w:rPr>
        <w:t>Reações adversas visuais</w:t>
      </w:r>
    </w:p>
    <w:p w14:paraId="29169038" w14:textId="77777777" w:rsidR="00633122" w:rsidRPr="002A54AF" w:rsidRDefault="00633122" w:rsidP="00011577">
      <w:pPr>
        <w:tabs>
          <w:tab w:val="left" w:pos="567"/>
        </w:tabs>
        <w:suppressAutoHyphens/>
        <w:rPr>
          <w:szCs w:val="22"/>
          <w:lang w:val="pt-PT"/>
        </w:rPr>
      </w:pPr>
    </w:p>
    <w:p w14:paraId="61A78D6F" w14:textId="77777777" w:rsidR="00011577" w:rsidRPr="002A54AF" w:rsidRDefault="00011577" w:rsidP="00011577">
      <w:pPr>
        <w:tabs>
          <w:tab w:val="left" w:pos="567"/>
        </w:tabs>
        <w:suppressAutoHyphens/>
        <w:rPr>
          <w:szCs w:val="22"/>
          <w:lang w:val="pt-PT"/>
        </w:rPr>
      </w:pPr>
      <w:r w:rsidRPr="002A54AF">
        <w:rPr>
          <w:szCs w:val="22"/>
          <w:lang w:val="pt-PT"/>
        </w:rPr>
        <w:t>Tem havido notificações de reações adversas visuais prolongadas, incluindo visão turva, neurite ótica e edema da papila (ver secção 4.8).</w:t>
      </w:r>
    </w:p>
    <w:p w14:paraId="73E9B409" w14:textId="77777777" w:rsidR="00011577" w:rsidRPr="002A54AF" w:rsidRDefault="00011577" w:rsidP="00011577">
      <w:pPr>
        <w:tabs>
          <w:tab w:val="left" w:pos="567"/>
        </w:tabs>
        <w:suppressAutoHyphens/>
        <w:rPr>
          <w:szCs w:val="22"/>
          <w:lang w:val="pt-PT"/>
        </w:rPr>
      </w:pPr>
    </w:p>
    <w:p w14:paraId="67ACBFDE" w14:textId="77777777" w:rsidR="00011577" w:rsidRDefault="00011577" w:rsidP="00011577">
      <w:pPr>
        <w:tabs>
          <w:tab w:val="left" w:pos="567"/>
        </w:tabs>
        <w:suppressAutoHyphens/>
        <w:rPr>
          <w:szCs w:val="22"/>
          <w:u w:val="single"/>
          <w:lang w:val="pt-PT"/>
        </w:rPr>
      </w:pPr>
      <w:r w:rsidRPr="002A54AF">
        <w:rPr>
          <w:szCs w:val="22"/>
          <w:u w:val="single"/>
          <w:lang w:val="pt-PT"/>
        </w:rPr>
        <w:t>Reações adversas renais</w:t>
      </w:r>
    </w:p>
    <w:p w14:paraId="69499890" w14:textId="77777777" w:rsidR="00633122" w:rsidRPr="002A54AF" w:rsidRDefault="00633122" w:rsidP="00011577">
      <w:pPr>
        <w:tabs>
          <w:tab w:val="left" w:pos="567"/>
        </w:tabs>
        <w:suppressAutoHyphens/>
        <w:rPr>
          <w:b/>
          <w:szCs w:val="22"/>
          <w:lang w:val="pt-PT"/>
        </w:rPr>
      </w:pPr>
    </w:p>
    <w:p w14:paraId="476EC240" w14:textId="77777777" w:rsidR="00011577" w:rsidRPr="002A54AF" w:rsidRDefault="00011577" w:rsidP="00011577">
      <w:pPr>
        <w:tabs>
          <w:tab w:val="left" w:pos="567"/>
        </w:tabs>
        <w:suppressAutoHyphens/>
        <w:rPr>
          <w:szCs w:val="22"/>
          <w:lang w:val="pt-PT"/>
        </w:rPr>
      </w:pPr>
      <w:r w:rsidRPr="002A54AF">
        <w:rPr>
          <w:szCs w:val="22"/>
          <w:lang w:val="pt-PT"/>
        </w:rPr>
        <w:t xml:space="preserve">Foi observado compromisso renal agudo em doentes em estado grave submetidos a terapêutica com o voriconazol. É provável que os doentes a receberem tratamento com voriconazol estejam a ser tratados </w:t>
      </w:r>
      <w:r w:rsidRPr="002A54AF">
        <w:rPr>
          <w:szCs w:val="22"/>
          <w:lang w:val="pt-PT"/>
        </w:rPr>
        <w:lastRenderedPageBreak/>
        <w:t>concomitantemente com medicamentos nefrotóxicos e possuam situações concomitantes que possam conduzir a uma diminuição da função renal (ver secção 4.8).</w:t>
      </w:r>
    </w:p>
    <w:p w14:paraId="7F1EE757" w14:textId="77777777" w:rsidR="00011577" w:rsidRPr="002A54AF" w:rsidRDefault="00011577" w:rsidP="00011577">
      <w:pPr>
        <w:tabs>
          <w:tab w:val="left" w:pos="567"/>
        </w:tabs>
        <w:suppressAutoHyphens/>
        <w:rPr>
          <w:szCs w:val="22"/>
          <w:lang w:val="pt-PT"/>
        </w:rPr>
      </w:pPr>
    </w:p>
    <w:p w14:paraId="5F9DE97E" w14:textId="77777777" w:rsidR="00011577" w:rsidRDefault="00011577" w:rsidP="00011577">
      <w:pPr>
        <w:tabs>
          <w:tab w:val="left" w:pos="567"/>
        </w:tabs>
        <w:suppressAutoHyphens/>
        <w:rPr>
          <w:szCs w:val="22"/>
          <w:u w:val="single"/>
          <w:lang w:val="pt-PT"/>
        </w:rPr>
      </w:pPr>
      <w:r w:rsidRPr="002A54AF">
        <w:rPr>
          <w:szCs w:val="22"/>
          <w:u w:val="single"/>
          <w:lang w:val="pt-PT"/>
        </w:rPr>
        <w:t>Monitorização da função renal</w:t>
      </w:r>
    </w:p>
    <w:p w14:paraId="48136E66" w14:textId="77777777" w:rsidR="00633122" w:rsidRPr="002A54AF" w:rsidRDefault="00633122" w:rsidP="00011577">
      <w:pPr>
        <w:tabs>
          <w:tab w:val="left" w:pos="567"/>
        </w:tabs>
        <w:suppressAutoHyphens/>
        <w:rPr>
          <w:b/>
          <w:szCs w:val="22"/>
          <w:lang w:val="pt-PT"/>
        </w:rPr>
      </w:pPr>
    </w:p>
    <w:p w14:paraId="2C7F20EA" w14:textId="77777777" w:rsidR="00011577" w:rsidRPr="002A54AF" w:rsidRDefault="00011577" w:rsidP="00011577">
      <w:pPr>
        <w:tabs>
          <w:tab w:val="left" w:pos="567"/>
        </w:tabs>
        <w:suppressAutoHyphens/>
        <w:rPr>
          <w:szCs w:val="22"/>
          <w:lang w:val="pt-PT"/>
        </w:rPr>
      </w:pPr>
      <w:r w:rsidRPr="002A54AF">
        <w:rPr>
          <w:szCs w:val="22"/>
          <w:lang w:val="pt-PT"/>
        </w:rPr>
        <w:t>Recomenda-se que os doentes sejam monitorizados quanto ao desenvolvimento de uma função renal anómala. A monitorização deve incluir avaliação laboratorial, particularmente da creatinina sérica.</w:t>
      </w:r>
    </w:p>
    <w:p w14:paraId="241E6D07" w14:textId="77777777" w:rsidR="00011577" w:rsidRPr="002A54AF" w:rsidRDefault="00011577" w:rsidP="00011577">
      <w:pPr>
        <w:tabs>
          <w:tab w:val="left" w:pos="567"/>
        </w:tabs>
        <w:suppressAutoHyphens/>
        <w:rPr>
          <w:szCs w:val="22"/>
          <w:lang w:val="pt-PT"/>
        </w:rPr>
      </w:pPr>
    </w:p>
    <w:p w14:paraId="3E496BFA" w14:textId="77777777" w:rsidR="00011577" w:rsidRDefault="00011577" w:rsidP="00011577">
      <w:pPr>
        <w:tabs>
          <w:tab w:val="left" w:pos="567"/>
        </w:tabs>
        <w:suppressAutoHyphens/>
        <w:rPr>
          <w:szCs w:val="22"/>
          <w:u w:val="single"/>
          <w:lang w:val="pt-PT"/>
        </w:rPr>
      </w:pPr>
      <w:r w:rsidRPr="002A54AF">
        <w:rPr>
          <w:szCs w:val="22"/>
          <w:u w:val="single"/>
          <w:lang w:val="pt-PT"/>
        </w:rPr>
        <w:t>Monitorização da função pancreática</w:t>
      </w:r>
    </w:p>
    <w:p w14:paraId="21C025C5" w14:textId="77777777" w:rsidR="00633122" w:rsidRPr="002A54AF" w:rsidRDefault="00633122" w:rsidP="00011577">
      <w:pPr>
        <w:tabs>
          <w:tab w:val="left" w:pos="567"/>
        </w:tabs>
        <w:suppressAutoHyphens/>
        <w:rPr>
          <w:szCs w:val="22"/>
          <w:lang w:val="pt-PT"/>
        </w:rPr>
      </w:pPr>
    </w:p>
    <w:p w14:paraId="6375C923" w14:textId="77777777" w:rsidR="00011577" w:rsidRPr="002A54AF" w:rsidRDefault="00011577" w:rsidP="00011577">
      <w:pPr>
        <w:tabs>
          <w:tab w:val="left" w:pos="567"/>
        </w:tabs>
        <w:suppressAutoHyphens/>
        <w:rPr>
          <w:szCs w:val="22"/>
          <w:lang w:val="pt-PT"/>
        </w:rPr>
      </w:pPr>
      <w:r w:rsidRPr="002A54AF">
        <w:rPr>
          <w:szCs w:val="22"/>
          <w:lang w:val="pt-PT"/>
        </w:rPr>
        <w:t xml:space="preserve">Doentes, especialmente crianças, com fatores de risco para pancreatite aguda (ex., quimioterapia recente, transplante de células estaminais hematopoiéticas </w:t>
      </w:r>
      <w:r w:rsidR="008805C8" w:rsidRPr="002A54AF">
        <w:rPr>
          <w:szCs w:val="22"/>
          <w:lang w:val="pt-PT"/>
        </w:rPr>
        <w:t>[</w:t>
      </w:r>
      <w:r w:rsidRPr="002A54AF">
        <w:rPr>
          <w:szCs w:val="22"/>
          <w:lang w:val="pt-PT"/>
        </w:rPr>
        <w:t>HSCT</w:t>
      </w:r>
      <w:r w:rsidR="008805C8" w:rsidRPr="002A54AF">
        <w:rPr>
          <w:szCs w:val="22"/>
          <w:lang w:val="pt-PT"/>
        </w:rPr>
        <w:t>]</w:t>
      </w:r>
      <w:r w:rsidRPr="002A54AF">
        <w:rPr>
          <w:szCs w:val="22"/>
          <w:lang w:val="pt-PT"/>
        </w:rPr>
        <w:t xml:space="preserve">), devem ser cuidadosamente monitorizados durante o tratamento com Voriconazol Accord. A monitorização da amilase ou lipase séricas pode ser considerada nesta situação clínica.  </w:t>
      </w:r>
    </w:p>
    <w:p w14:paraId="38B22400" w14:textId="77777777" w:rsidR="00011577" w:rsidRPr="002A54AF" w:rsidRDefault="00011577" w:rsidP="00011577">
      <w:pPr>
        <w:tabs>
          <w:tab w:val="left" w:pos="567"/>
        </w:tabs>
        <w:suppressAutoHyphens/>
        <w:rPr>
          <w:szCs w:val="22"/>
          <w:u w:val="single"/>
          <w:lang w:val="pt-PT"/>
        </w:rPr>
      </w:pPr>
    </w:p>
    <w:p w14:paraId="251BD723" w14:textId="77777777" w:rsidR="00011577" w:rsidRDefault="00011577" w:rsidP="00011577">
      <w:pPr>
        <w:tabs>
          <w:tab w:val="left" w:pos="567"/>
        </w:tabs>
        <w:suppressAutoHyphens/>
        <w:rPr>
          <w:szCs w:val="22"/>
          <w:u w:val="single"/>
          <w:lang w:val="pt-PT"/>
        </w:rPr>
      </w:pPr>
      <w:r w:rsidRPr="002A54AF">
        <w:rPr>
          <w:szCs w:val="22"/>
          <w:u w:val="single"/>
          <w:lang w:val="pt-PT"/>
        </w:rPr>
        <w:t>População pediátrica</w:t>
      </w:r>
    </w:p>
    <w:p w14:paraId="381929F7" w14:textId="77777777" w:rsidR="00633122" w:rsidRPr="002A54AF" w:rsidRDefault="00633122" w:rsidP="00011577">
      <w:pPr>
        <w:tabs>
          <w:tab w:val="left" w:pos="567"/>
        </w:tabs>
        <w:suppressAutoHyphens/>
        <w:rPr>
          <w:b/>
          <w:szCs w:val="22"/>
          <w:lang w:val="pt-PT"/>
        </w:rPr>
      </w:pPr>
    </w:p>
    <w:p w14:paraId="386BB0D0" w14:textId="77777777" w:rsidR="00011577" w:rsidRPr="002A54AF" w:rsidRDefault="00011577" w:rsidP="00011577">
      <w:pPr>
        <w:tabs>
          <w:tab w:val="left" w:pos="567"/>
        </w:tabs>
        <w:suppressAutoHyphens/>
        <w:rPr>
          <w:szCs w:val="22"/>
          <w:lang w:val="pt-PT"/>
        </w:rPr>
      </w:pPr>
      <w:r w:rsidRPr="002A54AF">
        <w:rPr>
          <w:szCs w:val="22"/>
          <w:lang w:val="pt-PT"/>
        </w:rPr>
        <w:t>A segurança e a eficácia em doentes pediátricos com idade inferior a dois anos não foram estabelecidas (ver secções 4.8 e</w:t>
      </w:r>
      <w:r w:rsidR="00DF1FC9">
        <w:rPr>
          <w:szCs w:val="22"/>
          <w:lang w:val="pt-PT"/>
        </w:rPr>
        <w:t> </w:t>
      </w:r>
      <w:r w:rsidRPr="002A54AF">
        <w:rPr>
          <w:szCs w:val="22"/>
          <w:lang w:val="pt-PT"/>
        </w:rPr>
        <w:t xml:space="preserve">5.1). O voriconazol está indicado em doentes pediátricos com idade igual ou superior a dois anos. </w:t>
      </w:r>
      <w:r w:rsidR="00A30CBC" w:rsidRPr="002A54AF">
        <w:rPr>
          <w:szCs w:val="22"/>
          <w:lang w:val="pt-PT"/>
        </w:rPr>
        <w:t xml:space="preserve">Observou-se uma </w:t>
      </w:r>
      <w:r w:rsidR="00313D53" w:rsidRPr="002A54AF">
        <w:rPr>
          <w:szCs w:val="22"/>
          <w:lang w:val="pt-PT"/>
        </w:rPr>
        <w:t xml:space="preserve">maior </w:t>
      </w:r>
      <w:r w:rsidR="00A30CBC" w:rsidRPr="002A54AF">
        <w:rPr>
          <w:szCs w:val="22"/>
          <w:lang w:val="pt-PT"/>
        </w:rPr>
        <w:t xml:space="preserve">frequência de elevações das enzimas hepáticas na população pediátrica (ver secção 4.8). </w:t>
      </w:r>
      <w:r w:rsidRPr="002A54AF">
        <w:rPr>
          <w:szCs w:val="22"/>
          <w:lang w:val="pt-PT"/>
        </w:rPr>
        <w:t>A função hepática deve ser monitorizada nas crianças e nos adultos. A biodisponibilidade oral pode ser limitada em doentes pediátricos com idades dos 2 aos &lt;12 anos com má absorção e muito baixo peso corporal para a idade. Nesse caso, é recomendada a administração de voriconazol intravenoso.</w:t>
      </w:r>
    </w:p>
    <w:p w14:paraId="166AEB5D" w14:textId="77777777" w:rsidR="00266D2D" w:rsidRPr="00266D2D" w:rsidRDefault="00266D2D" w:rsidP="00266D2D">
      <w:pPr>
        <w:tabs>
          <w:tab w:val="left" w:pos="567"/>
        </w:tabs>
        <w:suppressAutoHyphens/>
        <w:rPr>
          <w:szCs w:val="22"/>
          <w:lang w:val="pt-PT"/>
        </w:rPr>
      </w:pPr>
    </w:p>
    <w:p w14:paraId="1ED4136C" w14:textId="77777777" w:rsidR="00266D2D" w:rsidRPr="00266D2D" w:rsidRDefault="00AE792F" w:rsidP="00633122">
      <w:pPr>
        <w:numPr>
          <w:ilvl w:val="0"/>
          <w:numId w:val="27"/>
        </w:numPr>
        <w:tabs>
          <w:tab w:val="left" w:pos="567"/>
        </w:tabs>
        <w:suppressAutoHyphens/>
        <w:ind w:left="567" w:hanging="567"/>
        <w:rPr>
          <w:szCs w:val="22"/>
          <w:u w:val="single"/>
          <w:lang w:val="pt-PT"/>
        </w:rPr>
      </w:pPr>
      <w:r>
        <w:rPr>
          <w:szCs w:val="22"/>
          <w:u w:val="single"/>
          <w:lang w:val="pt-PT"/>
        </w:rPr>
        <w:t xml:space="preserve"> </w:t>
      </w:r>
      <w:r w:rsidR="00266D2D" w:rsidRPr="00266D2D">
        <w:rPr>
          <w:szCs w:val="22"/>
          <w:u w:val="single"/>
          <w:lang w:val="pt-PT"/>
        </w:rPr>
        <w:t>Reações adversas dermatológicas graves (CEC)</w:t>
      </w:r>
    </w:p>
    <w:p w14:paraId="48F9D865" w14:textId="77777777" w:rsidR="00633122" w:rsidRDefault="00633122" w:rsidP="00071ECF">
      <w:pPr>
        <w:tabs>
          <w:tab w:val="left" w:pos="567"/>
        </w:tabs>
        <w:suppressAutoHyphens/>
        <w:rPr>
          <w:szCs w:val="22"/>
          <w:lang w:val="pt-PT"/>
        </w:rPr>
      </w:pPr>
    </w:p>
    <w:p w14:paraId="33EF8371" w14:textId="77777777" w:rsidR="00071ECF" w:rsidRPr="002A54AF" w:rsidRDefault="00071ECF" w:rsidP="00071ECF">
      <w:pPr>
        <w:tabs>
          <w:tab w:val="left" w:pos="567"/>
        </w:tabs>
        <w:suppressAutoHyphens/>
        <w:rPr>
          <w:szCs w:val="22"/>
          <w:lang w:val="pt-PT"/>
        </w:rPr>
      </w:pPr>
      <w:r w:rsidRPr="002A54AF">
        <w:rPr>
          <w:szCs w:val="22"/>
          <w:lang w:val="pt-PT"/>
        </w:rPr>
        <w:t>A frequência das reações de fototoxicidade é superior na população pediátrica. Uma vez que foi notificada uma evolução no sentido de CEC, são necessárias medidas rigorosas de fotoproteção nesta população de doentes. Em crianças que apresentem lesões de fotoenvelhecimento, como lentigos ou efélides, recomenda-se que evitem a exposição solar e que recebam acompanhamento dermatológico, mesmo após a interrupção do tratamento.</w:t>
      </w:r>
    </w:p>
    <w:p w14:paraId="06925D59" w14:textId="77777777" w:rsidR="00071ECF" w:rsidRPr="002A54AF" w:rsidRDefault="00071ECF" w:rsidP="00071ECF">
      <w:pPr>
        <w:tabs>
          <w:tab w:val="left" w:pos="567"/>
        </w:tabs>
        <w:suppressAutoHyphens/>
        <w:rPr>
          <w:szCs w:val="22"/>
          <w:lang w:val="pt-PT"/>
        </w:rPr>
      </w:pPr>
    </w:p>
    <w:p w14:paraId="3813C3E6" w14:textId="77777777" w:rsidR="00071ECF" w:rsidRDefault="00071ECF" w:rsidP="00071ECF">
      <w:pPr>
        <w:tabs>
          <w:tab w:val="left" w:pos="567"/>
        </w:tabs>
        <w:suppressAutoHyphens/>
        <w:rPr>
          <w:szCs w:val="22"/>
          <w:u w:val="single"/>
          <w:lang w:val="pt-PT"/>
        </w:rPr>
      </w:pPr>
      <w:r w:rsidRPr="00CB39F3">
        <w:rPr>
          <w:szCs w:val="22"/>
          <w:u w:val="single"/>
          <w:lang w:val="pt-PT"/>
        </w:rPr>
        <w:t>Profilaxia</w:t>
      </w:r>
    </w:p>
    <w:p w14:paraId="694F1A9B" w14:textId="77777777" w:rsidR="00400419" w:rsidRPr="00CB39F3" w:rsidRDefault="00400419" w:rsidP="00071ECF">
      <w:pPr>
        <w:tabs>
          <w:tab w:val="left" w:pos="567"/>
        </w:tabs>
        <w:suppressAutoHyphens/>
        <w:rPr>
          <w:szCs w:val="22"/>
          <w:u w:val="single"/>
          <w:lang w:val="pt-PT"/>
        </w:rPr>
      </w:pPr>
    </w:p>
    <w:p w14:paraId="1ABC9429" w14:textId="77777777" w:rsidR="00011577" w:rsidRPr="002A54AF" w:rsidRDefault="00071ECF" w:rsidP="00071ECF">
      <w:pPr>
        <w:tabs>
          <w:tab w:val="left" w:pos="567"/>
        </w:tabs>
        <w:suppressAutoHyphens/>
        <w:rPr>
          <w:szCs w:val="22"/>
          <w:lang w:val="pt-PT"/>
        </w:rPr>
      </w:pPr>
      <w:r w:rsidRPr="002A54AF">
        <w:rPr>
          <w:szCs w:val="22"/>
          <w:lang w:val="pt-PT"/>
        </w:rPr>
        <w:t>Em caso de acontecimentos adversos relacionados com o tratamento (hepatotoxicidade, reações cutâneas graves, incluindo fototoxicidade e CEC, afeções oculares graves ou prolongadas e periostite), deve considerar-se a interrupção do voriconazol e a utilização de agentes antifúngicos alternativos.</w:t>
      </w:r>
    </w:p>
    <w:p w14:paraId="4F8CB94B" w14:textId="77777777" w:rsidR="00071ECF" w:rsidRPr="002A54AF" w:rsidRDefault="00071ECF" w:rsidP="00071ECF">
      <w:pPr>
        <w:tabs>
          <w:tab w:val="left" w:pos="567"/>
        </w:tabs>
        <w:suppressAutoHyphens/>
        <w:rPr>
          <w:szCs w:val="22"/>
          <w:lang w:val="pt-PT"/>
        </w:rPr>
      </w:pPr>
    </w:p>
    <w:p w14:paraId="64AD4843" w14:textId="77777777" w:rsidR="00011577" w:rsidRDefault="00011577" w:rsidP="00011577">
      <w:pPr>
        <w:tabs>
          <w:tab w:val="left" w:pos="567"/>
        </w:tabs>
        <w:suppressAutoHyphens/>
        <w:rPr>
          <w:szCs w:val="22"/>
          <w:u w:val="single"/>
          <w:lang w:val="pt-PT"/>
        </w:rPr>
      </w:pPr>
      <w:r w:rsidRPr="002A54AF">
        <w:rPr>
          <w:szCs w:val="22"/>
          <w:u w:val="single"/>
          <w:lang w:val="pt-PT"/>
        </w:rPr>
        <w:t>Fenitoína</w:t>
      </w:r>
      <w:r w:rsidRPr="002A54AF">
        <w:rPr>
          <w:b/>
          <w:szCs w:val="22"/>
          <w:u w:val="single"/>
          <w:lang w:val="pt-PT"/>
        </w:rPr>
        <w:t xml:space="preserve"> </w:t>
      </w:r>
      <w:r w:rsidRPr="002A54AF">
        <w:rPr>
          <w:szCs w:val="22"/>
          <w:u w:val="single"/>
          <w:lang w:val="pt-PT"/>
        </w:rPr>
        <w:t>(substrato do CYP2C9 e potente indutor do CYP450)</w:t>
      </w:r>
    </w:p>
    <w:p w14:paraId="66BA2042" w14:textId="77777777" w:rsidR="00400419" w:rsidRPr="002A54AF" w:rsidRDefault="00400419" w:rsidP="00011577">
      <w:pPr>
        <w:tabs>
          <w:tab w:val="left" w:pos="567"/>
        </w:tabs>
        <w:suppressAutoHyphens/>
        <w:rPr>
          <w:szCs w:val="22"/>
          <w:lang w:val="pt-PT"/>
        </w:rPr>
      </w:pPr>
    </w:p>
    <w:p w14:paraId="0D746FBA" w14:textId="77777777" w:rsidR="00011577" w:rsidRPr="002A54AF" w:rsidRDefault="00011577" w:rsidP="00011577">
      <w:pPr>
        <w:tabs>
          <w:tab w:val="left" w:pos="567"/>
        </w:tabs>
        <w:suppressAutoHyphens/>
        <w:rPr>
          <w:szCs w:val="22"/>
          <w:lang w:val="pt-PT"/>
        </w:rPr>
      </w:pPr>
      <w:r w:rsidRPr="002A54AF">
        <w:rPr>
          <w:szCs w:val="22"/>
          <w:lang w:val="pt-PT"/>
        </w:rPr>
        <w:t>Recomenda-se a monitorização cuidadosa das concentrações de fenitoína, quando esta é coadministrada com o voriconazol. O uso concomitante de voriconazol e fenitoína deve ser evitado, a menos que o benefício compense o risco (ver secção 4.5).</w:t>
      </w:r>
    </w:p>
    <w:p w14:paraId="46EEEDB0" w14:textId="77777777" w:rsidR="00011577" w:rsidRPr="002A54AF" w:rsidRDefault="00011577" w:rsidP="00011577">
      <w:pPr>
        <w:tabs>
          <w:tab w:val="left" w:pos="567"/>
        </w:tabs>
        <w:suppressAutoHyphens/>
        <w:rPr>
          <w:szCs w:val="22"/>
          <w:lang w:val="pt-PT"/>
        </w:rPr>
      </w:pPr>
    </w:p>
    <w:p w14:paraId="57215ED7" w14:textId="77777777" w:rsidR="00011577" w:rsidRDefault="00011577" w:rsidP="00011577">
      <w:pPr>
        <w:tabs>
          <w:tab w:val="left" w:pos="567"/>
        </w:tabs>
        <w:suppressAutoHyphens/>
        <w:rPr>
          <w:szCs w:val="22"/>
          <w:u w:val="single"/>
          <w:lang w:val="pt-PT"/>
        </w:rPr>
      </w:pPr>
      <w:r w:rsidRPr="002A54AF">
        <w:rPr>
          <w:szCs w:val="22"/>
          <w:u w:val="single"/>
          <w:lang w:val="pt-PT"/>
        </w:rPr>
        <w:t>Efavirenz (indutor do CYP450; inibidor e substracto do CYP3A4)</w:t>
      </w:r>
    </w:p>
    <w:p w14:paraId="36403925" w14:textId="77777777" w:rsidR="00400419" w:rsidRPr="002A54AF" w:rsidRDefault="00400419" w:rsidP="00011577">
      <w:pPr>
        <w:tabs>
          <w:tab w:val="left" w:pos="567"/>
        </w:tabs>
        <w:suppressAutoHyphens/>
        <w:rPr>
          <w:szCs w:val="22"/>
          <w:u w:val="single"/>
          <w:lang w:val="pt-PT"/>
        </w:rPr>
      </w:pPr>
    </w:p>
    <w:p w14:paraId="58DD0E84" w14:textId="77777777" w:rsidR="00011577" w:rsidRDefault="00011577" w:rsidP="00011577">
      <w:pPr>
        <w:tabs>
          <w:tab w:val="left" w:pos="567"/>
        </w:tabs>
        <w:suppressAutoHyphens/>
        <w:rPr>
          <w:szCs w:val="22"/>
          <w:lang w:val="pt-PT"/>
        </w:rPr>
      </w:pPr>
      <w:r w:rsidRPr="002A54AF">
        <w:rPr>
          <w:szCs w:val="22"/>
          <w:lang w:val="pt-PT"/>
        </w:rPr>
        <w:t>Quando o voriconazol é coadministrado com o efavirenz, a dose de voriconazol deve ser aumentada para 400 mg, em intervalos de 12 horas, e a dose de efavirenz deverá ser diminuída para 300 mg, em intervalos de 24 horas (ver secções 4.2,</w:t>
      </w:r>
      <w:r w:rsidR="00400419">
        <w:rPr>
          <w:szCs w:val="22"/>
          <w:lang w:val="pt-PT"/>
        </w:rPr>
        <w:t> </w:t>
      </w:r>
      <w:r w:rsidRPr="002A54AF">
        <w:rPr>
          <w:szCs w:val="22"/>
          <w:lang w:val="pt-PT"/>
        </w:rPr>
        <w:t>4.3 e</w:t>
      </w:r>
      <w:r w:rsidR="00400419">
        <w:rPr>
          <w:szCs w:val="22"/>
          <w:lang w:val="pt-PT"/>
        </w:rPr>
        <w:t> </w:t>
      </w:r>
      <w:r w:rsidRPr="002A54AF">
        <w:rPr>
          <w:szCs w:val="22"/>
          <w:lang w:val="pt-PT"/>
        </w:rPr>
        <w:t xml:space="preserve">4.5). </w:t>
      </w:r>
    </w:p>
    <w:p w14:paraId="3382C222" w14:textId="77777777" w:rsidR="00D74B79" w:rsidRDefault="00D74B79" w:rsidP="00011577">
      <w:pPr>
        <w:tabs>
          <w:tab w:val="left" w:pos="567"/>
        </w:tabs>
        <w:suppressAutoHyphens/>
        <w:rPr>
          <w:szCs w:val="22"/>
          <w:lang w:val="pt-PT"/>
        </w:rPr>
      </w:pPr>
    </w:p>
    <w:p w14:paraId="3A5E6692" w14:textId="77777777" w:rsidR="00D74B79" w:rsidRPr="00EF6A1B" w:rsidRDefault="00D74B79" w:rsidP="00D74B79">
      <w:pPr>
        <w:tabs>
          <w:tab w:val="left" w:pos="567"/>
        </w:tabs>
        <w:suppressAutoHyphens/>
        <w:rPr>
          <w:szCs w:val="22"/>
          <w:u w:val="single"/>
          <w:lang w:val="pt-PT"/>
        </w:rPr>
      </w:pPr>
      <w:r w:rsidRPr="00EF6A1B">
        <w:rPr>
          <w:szCs w:val="22"/>
          <w:u w:val="single"/>
          <w:lang w:val="pt-PT"/>
        </w:rPr>
        <w:t>Glasdegib (substrato do CYP3A4)</w:t>
      </w:r>
    </w:p>
    <w:p w14:paraId="5291CF2C" w14:textId="77777777" w:rsidR="00D74B79" w:rsidRPr="00D74B79" w:rsidRDefault="00D74B79" w:rsidP="00D74B79">
      <w:pPr>
        <w:tabs>
          <w:tab w:val="left" w:pos="567"/>
        </w:tabs>
        <w:suppressAutoHyphens/>
        <w:rPr>
          <w:szCs w:val="22"/>
          <w:lang w:val="pt-PT"/>
        </w:rPr>
      </w:pPr>
      <w:r w:rsidRPr="00D74B79">
        <w:rPr>
          <w:szCs w:val="22"/>
          <w:lang w:val="pt-PT"/>
        </w:rPr>
        <w:t>É de esperar que a coadministração de voriconazol aumente as concentrações plasmáticas de glasdegib</w:t>
      </w:r>
    </w:p>
    <w:p w14:paraId="3EC5A68C" w14:textId="77777777" w:rsidR="00D74B79" w:rsidRPr="00D74B79" w:rsidRDefault="00D74B79" w:rsidP="00D74B79">
      <w:pPr>
        <w:tabs>
          <w:tab w:val="left" w:pos="567"/>
        </w:tabs>
        <w:suppressAutoHyphens/>
        <w:rPr>
          <w:szCs w:val="22"/>
          <w:lang w:val="pt-PT"/>
        </w:rPr>
      </w:pPr>
      <w:r w:rsidRPr="00D74B79">
        <w:rPr>
          <w:szCs w:val="22"/>
          <w:lang w:val="pt-PT"/>
        </w:rPr>
        <w:t>e que aumente o risco de prolongamento do intervalo QTc (ver secção 4.5). Se o uso concomitante não</w:t>
      </w:r>
    </w:p>
    <w:p w14:paraId="3F93215A" w14:textId="77777777" w:rsidR="00D74B79" w:rsidRPr="00D74B79" w:rsidRDefault="00D74B79" w:rsidP="00D74B79">
      <w:pPr>
        <w:tabs>
          <w:tab w:val="left" w:pos="567"/>
        </w:tabs>
        <w:suppressAutoHyphens/>
        <w:rPr>
          <w:szCs w:val="22"/>
          <w:lang w:val="pt-PT"/>
        </w:rPr>
      </w:pPr>
      <w:r w:rsidRPr="00D74B79">
        <w:rPr>
          <w:szCs w:val="22"/>
          <w:lang w:val="pt-PT"/>
        </w:rPr>
        <w:t>puder ser evitado, recomenda-se a monitorização frequente do ECG.</w:t>
      </w:r>
    </w:p>
    <w:p w14:paraId="0A734108" w14:textId="77777777" w:rsidR="00D74B79" w:rsidRPr="00D74B79" w:rsidRDefault="00D74B79" w:rsidP="00D74B79">
      <w:pPr>
        <w:tabs>
          <w:tab w:val="left" w:pos="567"/>
        </w:tabs>
        <w:suppressAutoHyphens/>
        <w:rPr>
          <w:szCs w:val="22"/>
          <w:lang w:val="pt-PT"/>
        </w:rPr>
      </w:pPr>
    </w:p>
    <w:p w14:paraId="02928064" w14:textId="77777777" w:rsidR="00D74B79" w:rsidRPr="00EF6A1B" w:rsidRDefault="00D74B79" w:rsidP="00D74B79">
      <w:pPr>
        <w:tabs>
          <w:tab w:val="left" w:pos="567"/>
        </w:tabs>
        <w:suppressAutoHyphens/>
        <w:rPr>
          <w:szCs w:val="22"/>
          <w:u w:val="single"/>
          <w:lang w:val="pt-PT"/>
        </w:rPr>
      </w:pPr>
      <w:r w:rsidRPr="00EF6A1B">
        <w:rPr>
          <w:szCs w:val="22"/>
          <w:u w:val="single"/>
          <w:lang w:val="pt-PT"/>
        </w:rPr>
        <w:t>Inibidores da tirosinacinase (substrato do CYP3A4)</w:t>
      </w:r>
    </w:p>
    <w:p w14:paraId="49541D72" w14:textId="77777777" w:rsidR="00D74B79" w:rsidRPr="00D74B79" w:rsidRDefault="00D74B79" w:rsidP="00D74B79">
      <w:pPr>
        <w:tabs>
          <w:tab w:val="left" w:pos="567"/>
        </w:tabs>
        <w:suppressAutoHyphens/>
        <w:rPr>
          <w:szCs w:val="22"/>
          <w:lang w:val="pt-PT"/>
        </w:rPr>
      </w:pPr>
      <w:r w:rsidRPr="00D74B79">
        <w:rPr>
          <w:szCs w:val="22"/>
          <w:lang w:val="pt-PT"/>
        </w:rPr>
        <w:lastRenderedPageBreak/>
        <w:t>É de esperar que a coadministração de voriconazol com inibidores da tirosinacinase metabolizados</w:t>
      </w:r>
    </w:p>
    <w:p w14:paraId="3AFA8332" w14:textId="77777777" w:rsidR="00D74B79" w:rsidRPr="00D74B79" w:rsidRDefault="00D74B79" w:rsidP="00D74B79">
      <w:pPr>
        <w:tabs>
          <w:tab w:val="left" w:pos="567"/>
        </w:tabs>
        <w:suppressAutoHyphens/>
        <w:rPr>
          <w:szCs w:val="22"/>
          <w:lang w:val="pt-PT"/>
        </w:rPr>
      </w:pPr>
      <w:r w:rsidRPr="00D74B79">
        <w:rPr>
          <w:szCs w:val="22"/>
          <w:lang w:val="pt-PT"/>
        </w:rPr>
        <w:t>pelo CYP3A4 aumente as concentrações plasmáticas do inibidor da tirosinacinase e o risco de reações</w:t>
      </w:r>
    </w:p>
    <w:p w14:paraId="3787EB68" w14:textId="77777777" w:rsidR="00D74B79" w:rsidRPr="00D74B79" w:rsidRDefault="00D74B79" w:rsidP="00D74B79">
      <w:pPr>
        <w:tabs>
          <w:tab w:val="left" w:pos="567"/>
        </w:tabs>
        <w:suppressAutoHyphens/>
        <w:rPr>
          <w:szCs w:val="22"/>
          <w:lang w:val="pt-PT"/>
        </w:rPr>
      </w:pPr>
      <w:r w:rsidRPr="00D74B79">
        <w:rPr>
          <w:szCs w:val="22"/>
          <w:lang w:val="pt-PT"/>
        </w:rPr>
        <w:t>adversas. Se o uso concomitante não puder ser evitado, recomenda-se a redução da dose do inibidor da</w:t>
      </w:r>
    </w:p>
    <w:p w14:paraId="745ED13D" w14:textId="77777777" w:rsidR="00D74B79" w:rsidRPr="00D74B79" w:rsidRDefault="00D74B79" w:rsidP="00D74B79">
      <w:pPr>
        <w:tabs>
          <w:tab w:val="left" w:pos="567"/>
        </w:tabs>
        <w:suppressAutoHyphens/>
        <w:rPr>
          <w:szCs w:val="22"/>
          <w:lang w:val="pt-PT"/>
        </w:rPr>
      </w:pPr>
      <w:r w:rsidRPr="00D74B79">
        <w:rPr>
          <w:szCs w:val="22"/>
          <w:lang w:val="pt-PT"/>
        </w:rPr>
        <w:t>tirosinacinase e uma monitorização clínica rigorosa (ver secção 4.5).</w:t>
      </w:r>
    </w:p>
    <w:p w14:paraId="748E16E7" w14:textId="77777777" w:rsidR="00011577" w:rsidRPr="002A54AF" w:rsidRDefault="00011577" w:rsidP="00011577">
      <w:pPr>
        <w:tabs>
          <w:tab w:val="left" w:pos="567"/>
        </w:tabs>
        <w:suppressAutoHyphens/>
        <w:rPr>
          <w:szCs w:val="22"/>
          <w:lang w:val="pt-PT"/>
        </w:rPr>
      </w:pPr>
    </w:p>
    <w:p w14:paraId="0A11A4F7" w14:textId="77777777" w:rsidR="00011577" w:rsidRDefault="00011577" w:rsidP="00011577">
      <w:pPr>
        <w:tabs>
          <w:tab w:val="left" w:pos="567"/>
        </w:tabs>
        <w:suppressAutoHyphens/>
        <w:rPr>
          <w:szCs w:val="22"/>
          <w:u w:val="single"/>
          <w:lang w:val="pt-PT"/>
        </w:rPr>
      </w:pPr>
      <w:r w:rsidRPr="002A54AF">
        <w:rPr>
          <w:szCs w:val="22"/>
          <w:u w:val="single"/>
          <w:lang w:val="pt-PT"/>
        </w:rPr>
        <w:t>Rifabutina</w:t>
      </w:r>
      <w:r w:rsidRPr="002A54AF">
        <w:rPr>
          <w:b/>
          <w:szCs w:val="22"/>
          <w:u w:val="single"/>
          <w:lang w:val="pt-PT"/>
        </w:rPr>
        <w:t xml:space="preserve"> </w:t>
      </w:r>
      <w:r w:rsidRPr="002A54AF">
        <w:rPr>
          <w:szCs w:val="22"/>
          <w:u w:val="single"/>
          <w:lang w:val="pt-PT"/>
        </w:rPr>
        <w:t>(potente indutor do CYP450)</w:t>
      </w:r>
    </w:p>
    <w:p w14:paraId="61F253BF" w14:textId="77777777" w:rsidR="00400419" w:rsidRPr="002A54AF" w:rsidRDefault="00400419" w:rsidP="00011577">
      <w:pPr>
        <w:tabs>
          <w:tab w:val="left" w:pos="567"/>
        </w:tabs>
        <w:suppressAutoHyphens/>
        <w:rPr>
          <w:szCs w:val="22"/>
          <w:lang w:val="pt-PT"/>
        </w:rPr>
      </w:pPr>
    </w:p>
    <w:p w14:paraId="2883B32F" w14:textId="77777777" w:rsidR="00011577" w:rsidRPr="002A54AF" w:rsidRDefault="00011577" w:rsidP="00011577">
      <w:pPr>
        <w:tabs>
          <w:tab w:val="left" w:pos="567"/>
        </w:tabs>
        <w:suppressAutoHyphens/>
        <w:rPr>
          <w:szCs w:val="22"/>
          <w:lang w:val="pt-PT"/>
        </w:rPr>
      </w:pPr>
      <w:r w:rsidRPr="002A54AF">
        <w:rPr>
          <w:szCs w:val="22"/>
          <w:lang w:val="pt-PT"/>
        </w:rPr>
        <w:t>Recomenda-se a monitorização cuidadosa da contagem dos elementos figurados no sangue total e das reações adversas da rifabutina (por exemplo uveíte), quando esta é coadministrada com voriconazol. O uso concomitante de voriconazol e rifabutina deve ser evitado, a menos que o benefício compense o risco (ver secção 4.5).</w:t>
      </w:r>
    </w:p>
    <w:p w14:paraId="5F7DE205" w14:textId="77777777" w:rsidR="00011577" w:rsidRPr="002A54AF" w:rsidRDefault="00011577" w:rsidP="00011577">
      <w:pPr>
        <w:tabs>
          <w:tab w:val="left" w:pos="567"/>
        </w:tabs>
        <w:suppressAutoHyphens/>
        <w:rPr>
          <w:szCs w:val="22"/>
          <w:lang w:val="pt-PT"/>
        </w:rPr>
      </w:pPr>
    </w:p>
    <w:p w14:paraId="7B54D2BF" w14:textId="77777777" w:rsidR="00011577" w:rsidRDefault="00011577" w:rsidP="00011577">
      <w:pPr>
        <w:tabs>
          <w:tab w:val="left" w:pos="567"/>
        </w:tabs>
        <w:suppressAutoHyphens/>
        <w:rPr>
          <w:szCs w:val="22"/>
          <w:u w:val="single"/>
          <w:lang w:val="pt-PT"/>
        </w:rPr>
      </w:pPr>
      <w:r w:rsidRPr="002A54AF">
        <w:rPr>
          <w:szCs w:val="22"/>
          <w:u w:val="single"/>
          <w:lang w:val="pt-PT"/>
        </w:rPr>
        <w:t>Ritonavir (indutor potente do CYP450; inibidor e substrato do CYP3A4)</w:t>
      </w:r>
    </w:p>
    <w:p w14:paraId="0025F009" w14:textId="77777777" w:rsidR="00400419" w:rsidRPr="002A54AF" w:rsidRDefault="00400419" w:rsidP="00011577">
      <w:pPr>
        <w:tabs>
          <w:tab w:val="left" w:pos="567"/>
        </w:tabs>
        <w:suppressAutoHyphens/>
        <w:rPr>
          <w:szCs w:val="22"/>
          <w:lang w:val="pt-PT"/>
        </w:rPr>
      </w:pPr>
    </w:p>
    <w:p w14:paraId="4A764C7B" w14:textId="77777777" w:rsidR="00011577" w:rsidRPr="002A54AF" w:rsidRDefault="00011577" w:rsidP="00400419">
      <w:pPr>
        <w:tabs>
          <w:tab w:val="left" w:pos="567"/>
          <w:tab w:val="left" w:pos="3828"/>
        </w:tabs>
        <w:suppressAutoHyphens/>
        <w:rPr>
          <w:szCs w:val="22"/>
          <w:lang w:val="pt-PT"/>
        </w:rPr>
      </w:pPr>
      <w:r w:rsidRPr="002A54AF">
        <w:rPr>
          <w:szCs w:val="22"/>
          <w:lang w:val="pt-PT"/>
        </w:rPr>
        <w:t>Deve ser evitada a coadministração de voriconazol e doses baixas de ritonavir (100</w:t>
      </w:r>
      <w:r w:rsidR="00400419">
        <w:rPr>
          <w:szCs w:val="22"/>
          <w:lang w:val="pt-PT"/>
        </w:rPr>
        <w:t> </w:t>
      </w:r>
      <w:r w:rsidRPr="002A54AF">
        <w:rPr>
          <w:szCs w:val="22"/>
          <w:lang w:val="pt-PT"/>
        </w:rPr>
        <w:t xml:space="preserve">mg duas vezes por dia) a não ser que a avaliação benefício/risco </w:t>
      </w:r>
      <w:r w:rsidR="00071ECF" w:rsidRPr="002A54AF">
        <w:rPr>
          <w:szCs w:val="22"/>
          <w:lang w:val="pt-PT"/>
        </w:rPr>
        <w:t xml:space="preserve">para o doente </w:t>
      </w:r>
      <w:r w:rsidRPr="002A54AF">
        <w:rPr>
          <w:szCs w:val="22"/>
          <w:lang w:val="pt-PT"/>
        </w:rPr>
        <w:t>justifique a utilização de voriconazol (ver secções 4.</w:t>
      </w:r>
      <w:r w:rsidR="00071ECF" w:rsidRPr="002A54AF">
        <w:rPr>
          <w:szCs w:val="22"/>
          <w:lang w:val="pt-PT"/>
        </w:rPr>
        <w:t>3</w:t>
      </w:r>
      <w:r w:rsidRPr="002A54AF">
        <w:rPr>
          <w:szCs w:val="22"/>
          <w:lang w:val="pt-PT"/>
        </w:rPr>
        <w:t xml:space="preserve"> e</w:t>
      </w:r>
      <w:r w:rsidR="00400419">
        <w:rPr>
          <w:szCs w:val="22"/>
          <w:lang w:val="pt-PT"/>
        </w:rPr>
        <w:t> </w:t>
      </w:r>
      <w:r w:rsidRPr="002A54AF">
        <w:rPr>
          <w:szCs w:val="22"/>
          <w:lang w:val="pt-PT"/>
        </w:rPr>
        <w:t>4.</w:t>
      </w:r>
      <w:r w:rsidR="00071ECF" w:rsidRPr="002A54AF">
        <w:rPr>
          <w:szCs w:val="22"/>
          <w:lang w:val="pt-PT"/>
        </w:rPr>
        <w:t>5</w:t>
      </w:r>
      <w:r w:rsidRPr="002A54AF">
        <w:rPr>
          <w:szCs w:val="22"/>
          <w:lang w:val="pt-PT"/>
        </w:rPr>
        <w:t>).</w:t>
      </w:r>
    </w:p>
    <w:p w14:paraId="3760E1E7" w14:textId="77777777" w:rsidR="005110B9" w:rsidRPr="002A54AF" w:rsidRDefault="005110B9" w:rsidP="00011577">
      <w:pPr>
        <w:tabs>
          <w:tab w:val="left" w:pos="567"/>
        </w:tabs>
        <w:suppressAutoHyphens/>
        <w:rPr>
          <w:szCs w:val="22"/>
          <w:lang w:val="pt-PT"/>
        </w:rPr>
      </w:pPr>
    </w:p>
    <w:p w14:paraId="1AC72D44" w14:textId="77777777" w:rsidR="00011577" w:rsidRDefault="00011577" w:rsidP="00011577">
      <w:pPr>
        <w:tabs>
          <w:tab w:val="left" w:pos="567"/>
        </w:tabs>
        <w:suppressAutoHyphens/>
        <w:rPr>
          <w:szCs w:val="22"/>
          <w:u w:val="single"/>
          <w:lang w:val="pt-PT"/>
        </w:rPr>
      </w:pPr>
      <w:r w:rsidRPr="002A54AF">
        <w:rPr>
          <w:szCs w:val="22"/>
          <w:u w:val="single"/>
          <w:lang w:val="pt-PT"/>
        </w:rPr>
        <w:t>Everolímus (substrato do CYP3A4, substrato P-gp)</w:t>
      </w:r>
    </w:p>
    <w:p w14:paraId="66205514" w14:textId="77777777" w:rsidR="00400419" w:rsidRPr="002A54AF" w:rsidRDefault="00400419" w:rsidP="00011577">
      <w:pPr>
        <w:tabs>
          <w:tab w:val="left" w:pos="567"/>
        </w:tabs>
        <w:suppressAutoHyphens/>
        <w:rPr>
          <w:szCs w:val="22"/>
          <w:u w:val="single"/>
          <w:lang w:val="pt-PT"/>
        </w:rPr>
      </w:pPr>
    </w:p>
    <w:p w14:paraId="016CD622" w14:textId="77777777" w:rsidR="00742CF6" w:rsidRDefault="00011577" w:rsidP="00011577">
      <w:pPr>
        <w:tabs>
          <w:tab w:val="left" w:pos="567"/>
        </w:tabs>
        <w:suppressAutoHyphens/>
        <w:rPr>
          <w:szCs w:val="22"/>
          <w:lang w:val="pt-PT"/>
        </w:rPr>
      </w:pPr>
      <w:r w:rsidRPr="002A54AF">
        <w:rPr>
          <w:szCs w:val="22"/>
          <w:lang w:val="pt-PT"/>
        </w:rPr>
        <w:t>Não se recomenda a coadministração de voriconazol com everolímus uma vez que é expectável que o voriconazol aumente significativamente as concentrações de everolímus. Atualmente não existem dados suficientes para permitir recomendações de dose nesta situação (ver secção 4.5).</w:t>
      </w:r>
    </w:p>
    <w:p w14:paraId="475F7F1D" w14:textId="77777777" w:rsidR="00011577" w:rsidRPr="002A54AF" w:rsidRDefault="00011577" w:rsidP="00011577">
      <w:pPr>
        <w:tabs>
          <w:tab w:val="left" w:pos="567"/>
        </w:tabs>
        <w:suppressAutoHyphens/>
        <w:rPr>
          <w:szCs w:val="22"/>
          <w:lang w:val="pt-PT"/>
        </w:rPr>
      </w:pPr>
    </w:p>
    <w:p w14:paraId="359C4E2F" w14:textId="77777777" w:rsidR="00011577" w:rsidRDefault="00011577" w:rsidP="00011577">
      <w:pPr>
        <w:tabs>
          <w:tab w:val="left" w:pos="567"/>
        </w:tabs>
        <w:suppressAutoHyphens/>
        <w:jc w:val="both"/>
        <w:rPr>
          <w:szCs w:val="22"/>
          <w:u w:val="single"/>
          <w:lang w:val="pt-PT"/>
        </w:rPr>
      </w:pPr>
      <w:r w:rsidRPr="002A54AF">
        <w:rPr>
          <w:szCs w:val="22"/>
          <w:u w:val="single"/>
          <w:lang w:val="pt-PT"/>
        </w:rPr>
        <w:t>Metadona (substrato do CYP3A4)</w:t>
      </w:r>
    </w:p>
    <w:p w14:paraId="48702D6D" w14:textId="77777777" w:rsidR="00400419" w:rsidRPr="002A54AF" w:rsidRDefault="00400419" w:rsidP="00011577">
      <w:pPr>
        <w:tabs>
          <w:tab w:val="left" w:pos="567"/>
        </w:tabs>
        <w:suppressAutoHyphens/>
        <w:jc w:val="both"/>
        <w:rPr>
          <w:szCs w:val="22"/>
          <w:lang w:val="pt-PT"/>
        </w:rPr>
      </w:pPr>
    </w:p>
    <w:p w14:paraId="128B8BF6" w14:textId="77777777" w:rsidR="00011577" w:rsidRPr="002A54AF" w:rsidRDefault="00011577" w:rsidP="00011577">
      <w:pPr>
        <w:tabs>
          <w:tab w:val="left" w:pos="567"/>
        </w:tabs>
        <w:suppressAutoHyphens/>
        <w:jc w:val="both"/>
        <w:rPr>
          <w:szCs w:val="22"/>
          <w:lang w:val="pt-PT"/>
        </w:rPr>
      </w:pPr>
      <w:r w:rsidRPr="002A54AF">
        <w:rPr>
          <w:szCs w:val="22"/>
          <w:lang w:val="pt-PT"/>
        </w:rPr>
        <w:t>Recomenda-se monitorização frequente das reações adversas e toxicidade relacionadas com a metadona, incluindo o prolongamento do intervalo QTc, quando esta é coadministrada com voriconazol, uma vez que se verifica um aumento dos níveis de metadona após coadministração com voriconazol. Poderá ser necessário reduzir a dose de metadona (ver secção 4.5).</w:t>
      </w:r>
    </w:p>
    <w:p w14:paraId="0E851C49" w14:textId="77777777" w:rsidR="00011577" w:rsidRPr="002A54AF" w:rsidRDefault="00011577" w:rsidP="00011577">
      <w:pPr>
        <w:tabs>
          <w:tab w:val="left" w:pos="567"/>
        </w:tabs>
        <w:suppressAutoHyphens/>
        <w:rPr>
          <w:szCs w:val="22"/>
          <w:lang w:val="pt-PT"/>
        </w:rPr>
      </w:pPr>
    </w:p>
    <w:p w14:paraId="239ACDAD" w14:textId="77777777" w:rsidR="00011577" w:rsidRDefault="00011577" w:rsidP="00011577">
      <w:pPr>
        <w:tabs>
          <w:tab w:val="left" w:pos="567"/>
        </w:tabs>
        <w:suppressAutoHyphens/>
        <w:rPr>
          <w:szCs w:val="22"/>
          <w:u w:val="single"/>
          <w:lang w:val="pt-PT"/>
        </w:rPr>
      </w:pPr>
      <w:r w:rsidRPr="002A54AF">
        <w:rPr>
          <w:szCs w:val="22"/>
          <w:u w:val="single"/>
          <w:lang w:val="pt-PT"/>
        </w:rPr>
        <w:t>Opiáceos de curta ação (substratos do CYP3A4)</w:t>
      </w:r>
    </w:p>
    <w:p w14:paraId="04D11F52" w14:textId="77777777" w:rsidR="00400419" w:rsidRPr="002A54AF" w:rsidRDefault="00400419" w:rsidP="00011577">
      <w:pPr>
        <w:tabs>
          <w:tab w:val="left" w:pos="567"/>
        </w:tabs>
        <w:suppressAutoHyphens/>
        <w:rPr>
          <w:szCs w:val="22"/>
          <w:lang w:val="pt-PT"/>
        </w:rPr>
      </w:pPr>
    </w:p>
    <w:p w14:paraId="65AB4C7A" w14:textId="77777777" w:rsidR="00011577" w:rsidRPr="002A54AF" w:rsidRDefault="00011577" w:rsidP="00011577">
      <w:pPr>
        <w:tabs>
          <w:tab w:val="left" w:pos="567"/>
        </w:tabs>
        <w:suppressAutoHyphens/>
        <w:rPr>
          <w:szCs w:val="22"/>
          <w:lang w:val="pt-PT"/>
        </w:rPr>
      </w:pPr>
      <w:r w:rsidRPr="002A54AF">
        <w:rPr>
          <w:szCs w:val="22"/>
          <w:lang w:val="pt-PT"/>
        </w:rPr>
        <w:t xml:space="preserve">Deve ser considerada a redução na dose do alfentanilo, fentanilo e outros opiáceos de curta ação com estrutura semelhante à do alfentanilo e metabolisados pelo CYP3A4 (por exemplo, sufentanilo), quando administrados concomitantemente com voriconazol (ver secção 4.5). Uma vez que a semivida do alfentanilo é prolongada em cerca de </w:t>
      </w:r>
      <w:r w:rsidR="00FB0B74" w:rsidRPr="002A54AF">
        <w:rPr>
          <w:szCs w:val="22"/>
          <w:lang w:val="pt-PT"/>
        </w:rPr>
        <w:t>4 </w:t>
      </w:r>
      <w:r w:rsidRPr="002A54AF">
        <w:rPr>
          <w:szCs w:val="22"/>
          <w:lang w:val="pt-PT"/>
        </w:rPr>
        <w:t>vezes, quando coadministrado com voriconazol e num estudo independente publicado o uso concomitante de voriconazol com fentanilo resultou num aumento da AUC</w:t>
      </w:r>
      <w:r w:rsidRPr="002A54AF">
        <w:rPr>
          <w:szCs w:val="22"/>
          <w:vertAlign w:val="subscript"/>
          <w:lang w:val="pt-PT"/>
        </w:rPr>
        <w:t>0-∞</w:t>
      </w:r>
      <w:r w:rsidRPr="002A54AF">
        <w:rPr>
          <w:szCs w:val="22"/>
          <w:lang w:val="pt-PT"/>
        </w:rPr>
        <w:t xml:space="preserve"> média do fentanilo, pode ser necessário uma monitorização frequente das reações adversas relacionadas com os opiáceos (incluindo prolongar o período de monitorização respiratória). </w:t>
      </w:r>
    </w:p>
    <w:p w14:paraId="77A1CD4B" w14:textId="77777777" w:rsidR="00011577" w:rsidRPr="002A54AF" w:rsidRDefault="00011577" w:rsidP="00011577">
      <w:pPr>
        <w:tabs>
          <w:tab w:val="left" w:pos="567"/>
        </w:tabs>
        <w:suppressAutoHyphens/>
        <w:rPr>
          <w:szCs w:val="22"/>
          <w:lang w:val="pt-PT"/>
        </w:rPr>
      </w:pPr>
    </w:p>
    <w:p w14:paraId="154DA272" w14:textId="77777777" w:rsidR="00011577" w:rsidRDefault="00011577" w:rsidP="00011577">
      <w:pPr>
        <w:tabs>
          <w:tab w:val="left" w:pos="567"/>
        </w:tabs>
        <w:suppressAutoHyphens/>
        <w:rPr>
          <w:rStyle w:val="longtext"/>
          <w:szCs w:val="22"/>
          <w:u w:val="single"/>
          <w:shd w:val="clear" w:color="auto" w:fill="FFFFFF"/>
          <w:lang w:val="pt-PT"/>
        </w:rPr>
      </w:pPr>
      <w:r w:rsidRPr="002A54AF">
        <w:rPr>
          <w:rStyle w:val="longtext"/>
          <w:szCs w:val="22"/>
          <w:u w:val="single"/>
          <w:shd w:val="clear" w:color="auto" w:fill="FFFFFF"/>
          <w:lang w:val="pt-PT"/>
        </w:rPr>
        <w:t>Opiáceos de ação prolongada (substratos do CYP3A4)</w:t>
      </w:r>
    </w:p>
    <w:p w14:paraId="5E5DADFA" w14:textId="77777777" w:rsidR="00400419" w:rsidRPr="002A54AF" w:rsidRDefault="00400419" w:rsidP="00011577">
      <w:pPr>
        <w:tabs>
          <w:tab w:val="left" w:pos="567"/>
        </w:tabs>
        <w:suppressAutoHyphens/>
        <w:rPr>
          <w:rStyle w:val="longtext"/>
          <w:szCs w:val="22"/>
          <w:shd w:val="clear" w:color="auto" w:fill="FFFFFF"/>
          <w:lang w:val="pt-PT"/>
        </w:rPr>
      </w:pPr>
    </w:p>
    <w:p w14:paraId="4AE8435C" w14:textId="77777777" w:rsidR="00011577" w:rsidRPr="002A54AF" w:rsidRDefault="00011577" w:rsidP="00011577">
      <w:pPr>
        <w:tabs>
          <w:tab w:val="left" w:pos="567"/>
        </w:tabs>
        <w:suppressAutoHyphens/>
        <w:rPr>
          <w:rStyle w:val="longtext"/>
          <w:szCs w:val="22"/>
          <w:shd w:val="clear" w:color="auto" w:fill="FFFFFF"/>
          <w:lang w:val="pt-PT"/>
        </w:rPr>
      </w:pPr>
      <w:r w:rsidRPr="002A54AF">
        <w:rPr>
          <w:rStyle w:val="longtext"/>
          <w:szCs w:val="22"/>
          <w:shd w:val="clear" w:color="auto" w:fill="FFFFFF"/>
          <w:lang w:val="pt-PT"/>
        </w:rPr>
        <w:t xml:space="preserve">Deve ser considerada a redução da dose da oxicodona e outros opiáceos de ação prolongada metabolizados pelo CYP3A4 (por exemplo, hidrocodona) quando coadministrados com voriconazol. Pode ser necessária a monitorização frequente </w:t>
      </w:r>
      <w:r w:rsidRPr="002A54AF">
        <w:rPr>
          <w:szCs w:val="22"/>
          <w:lang w:val="pt-PT"/>
        </w:rPr>
        <w:t>das reações adversas relacionadas com os opiáceos</w:t>
      </w:r>
      <w:r w:rsidRPr="002A54AF">
        <w:rPr>
          <w:rStyle w:val="longtext"/>
          <w:szCs w:val="22"/>
          <w:shd w:val="clear" w:color="auto" w:fill="FFFFFF"/>
          <w:lang w:val="pt-PT"/>
        </w:rPr>
        <w:t xml:space="preserve"> (ver secção 4.5). </w:t>
      </w:r>
    </w:p>
    <w:p w14:paraId="4B6CFDB5" w14:textId="77777777" w:rsidR="00011577" w:rsidRPr="002A54AF" w:rsidRDefault="00011577" w:rsidP="00011577">
      <w:pPr>
        <w:tabs>
          <w:tab w:val="left" w:pos="567"/>
        </w:tabs>
        <w:suppressAutoHyphens/>
        <w:rPr>
          <w:rStyle w:val="longtext"/>
          <w:szCs w:val="22"/>
          <w:shd w:val="clear" w:color="auto" w:fill="FFFFFF"/>
          <w:lang w:val="pt-PT"/>
        </w:rPr>
      </w:pPr>
    </w:p>
    <w:p w14:paraId="2F4DE810" w14:textId="77777777" w:rsidR="00011577" w:rsidRDefault="00011577" w:rsidP="00011577">
      <w:pPr>
        <w:tabs>
          <w:tab w:val="left" w:pos="567"/>
        </w:tabs>
        <w:suppressAutoHyphens/>
        <w:rPr>
          <w:rStyle w:val="longtext"/>
          <w:szCs w:val="22"/>
          <w:u w:val="single"/>
          <w:shd w:val="clear" w:color="auto" w:fill="FFFFFF"/>
          <w:lang w:val="pt-PT"/>
        </w:rPr>
      </w:pPr>
      <w:r w:rsidRPr="002A54AF">
        <w:rPr>
          <w:rStyle w:val="longtext"/>
          <w:szCs w:val="22"/>
          <w:u w:val="single"/>
          <w:shd w:val="clear" w:color="auto" w:fill="FFFFFF"/>
          <w:lang w:val="pt-PT"/>
        </w:rPr>
        <w:t>Fluconazol (inibidor do CYP2C9, CYP2C19 e CYP3A4)</w:t>
      </w:r>
    </w:p>
    <w:p w14:paraId="5ACC8973" w14:textId="77777777" w:rsidR="00400419" w:rsidRPr="002A54AF" w:rsidRDefault="00400419" w:rsidP="00011577">
      <w:pPr>
        <w:tabs>
          <w:tab w:val="left" w:pos="567"/>
        </w:tabs>
        <w:suppressAutoHyphens/>
        <w:rPr>
          <w:rStyle w:val="longtext"/>
          <w:szCs w:val="22"/>
          <w:shd w:val="clear" w:color="auto" w:fill="FFFFFF"/>
          <w:lang w:val="pt-PT"/>
        </w:rPr>
      </w:pPr>
    </w:p>
    <w:p w14:paraId="73C1E03C" w14:textId="77777777" w:rsidR="00011577" w:rsidRPr="002A54AF" w:rsidRDefault="00011577" w:rsidP="00011577">
      <w:pPr>
        <w:tabs>
          <w:tab w:val="left" w:pos="567"/>
        </w:tabs>
        <w:suppressAutoHyphens/>
        <w:rPr>
          <w:rStyle w:val="longtext"/>
          <w:szCs w:val="22"/>
          <w:shd w:val="clear" w:color="auto" w:fill="FFFFFF"/>
          <w:lang w:val="pt-PT"/>
        </w:rPr>
      </w:pPr>
      <w:r w:rsidRPr="002A54AF">
        <w:rPr>
          <w:rStyle w:val="longtext"/>
          <w:szCs w:val="22"/>
          <w:shd w:val="clear" w:color="auto" w:fill="FFFFFF"/>
          <w:lang w:val="pt-PT"/>
        </w:rPr>
        <w:t>A coadministração oral de voriconazol e fluconazol resultou num aumento significativo na C</w:t>
      </w:r>
      <w:r w:rsidRPr="002A54AF">
        <w:rPr>
          <w:rStyle w:val="longtext"/>
          <w:szCs w:val="22"/>
          <w:shd w:val="clear" w:color="auto" w:fill="FFFFFF"/>
          <w:vertAlign w:val="subscript"/>
          <w:lang w:val="pt-PT"/>
        </w:rPr>
        <w:t>máx</w:t>
      </w:r>
      <w:r w:rsidRPr="002A54AF">
        <w:rPr>
          <w:rStyle w:val="longtext"/>
          <w:szCs w:val="22"/>
          <w:shd w:val="clear" w:color="auto" w:fill="FFFFFF"/>
          <w:lang w:val="pt-PT"/>
        </w:rPr>
        <w:t xml:space="preserve"> e AUC</w:t>
      </w:r>
      <w:r w:rsidRPr="002A54AF">
        <w:rPr>
          <w:rStyle w:val="longtext"/>
          <w:szCs w:val="22"/>
          <w:shd w:val="clear" w:color="auto" w:fill="FFFFFF"/>
          <w:vertAlign w:val="subscript"/>
        </w:rPr>
        <w:t>τ</w:t>
      </w:r>
      <w:r w:rsidRPr="002A54AF">
        <w:rPr>
          <w:rStyle w:val="longtext"/>
          <w:szCs w:val="22"/>
          <w:shd w:val="clear" w:color="auto" w:fill="FFFFFF"/>
          <w:lang w:val="pt-PT"/>
        </w:rPr>
        <w:t xml:space="preserve"> de voriconazol em indivíduos saudáveis. Não foi estabelecida a redução e/ou a frequência da dose de voriconazol e fluconazol que poderia eliminar este efeito. Recomenda-se a monitorização das reacções adversas associadas ao voriconazol, se o mesmo é usado sequencialmente após o fluconazol (ver secção 4.5).</w:t>
      </w:r>
    </w:p>
    <w:p w14:paraId="6FC4475E" w14:textId="77777777" w:rsidR="00011577" w:rsidRDefault="00011577" w:rsidP="00011577">
      <w:pPr>
        <w:tabs>
          <w:tab w:val="left" w:pos="567"/>
        </w:tabs>
        <w:suppressAutoHyphens/>
        <w:rPr>
          <w:szCs w:val="22"/>
          <w:lang w:val="pt-PT"/>
        </w:rPr>
      </w:pPr>
    </w:p>
    <w:p w14:paraId="57F2DECD" w14:textId="77777777" w:rsidR="00742CF6" w:rsidRPr="00ED57C2" w:rsidRDefault="00742CF6" w:rsidP="00742CF6">
      <w:pPr>
        <w:tabs>
          <w:tab w:val="left" w:pos="567"/>
        </w:tabs>
        <w:suppressAutoHyphens/>
        <w:rPr>
          <w:rStyle w:val="longtext"/>
          <w:u w:val="single"/>
          <w:shd w:val="clear" w:color="auto" w:fill="FFFFFF"/>
          <w:lang w:val="pt-PT"/>
        </w:rPr>
      </w:pPr>
      <w:r w:rsidRPr="00ED57C2">
        <w:rPr>
          <w:rStyle w:val="longtext"/>
          <w:u w:val="single"/>
          <w:shd w:val="clear" w:color="auto" w:fill="FFFFFF"/>
          <w:lang w:val="pt-PT"/>
        </w:rPr>
        <w:t>Excipientes</w:t>
      </w:r>
    </w:p>
    <w:p w14:paraId="1B5A4FD7" w14:textId="77777777" w:rsidR="00742CF6" w:rsidRPr="00ED57C2" w:rsidRDefault="00742CF6" w:rsidP="00646C77">
      <w:pPr>
        <w:tabs>
          <w:tab w:val="left" w:pos="567"/>
        </w:tabs>
        <w:suppressAutoHyphens/>
        <w:rPr>
          <w:rStyle w:val="longtext"/>
          <w:shd w:val="clear" w:color="auto" w:fill="FFFFFF"/>
          <w:lang w:val="pt-PT"/>
        </w:rPr>
      </w:pPr>
    </w:p>
    <w:p w14:paraId="72B5BE20" w14:textId="77777777" w:rsidR="00742CF6" w:rsidRPr="00ED57C2" w:rsidRDefault="00742CF6" w:rsidP="00646C77">
      <w:pPr>
        <w:tabs>
          <w:tab w:val="left" w:pos="567"/>
        </w:tabs>
        <w:suppressAutoHyphens/>
        <w:rPr>
          <w:rStyle w:val="longtext"/>
          <w:u w:val="single"/>
          <w:shd w:val="clear" w:color="auto" w:fill="FFFFFF"/>
          <w:lang w:val="pt-PT"/>
        </w:rPr>
      </w:pPr>
      <w:r w:rsidRPr="00ED57C2">
        <w:rPr>
          <w:rStyle w:val="longtext"/>
          <w:u w:val="single"/>
          <w:shd w:val="clear" w:color="auto" w:fill="FFFFFF"/>
          <w:lang w:val="pt-PT"/>
        </w:rPr>
        <w:t>Lactose</w:t>
      </w:r>
    </w:p>
    <w:p w14:paraId="414BB55B" w14:textId="77777777" w:rsidR="00011577" w:rsidRDefault="00742CF6" w:rsidP="00D37BF6">
      <w:pPr>
        <w:tabs>
          <w:tab w:val="left" w:pos="567"/>
        </w:tabs>
        <w:suppressAutoHyphens/>
        <w:rPr>
          <w:szCs w:val="22"/>
          <w:lang w:val="pt-PT"/>
        </w:rPr>
      </w:pPr>
      <w:r w:rsidRPr="00646C77">
        <w:rPr>
          <w:rStyle w:val="longtext"/>
          <w:shd w:val="clear" w:color="auto" w:fill="FFFFFF"/>
          <w:lang w:val="pt-PT"/>
        </w:rPr>
        <w:t>Este medicamento cont</w:t>
      </w:r>
      <w:r w:rsidRPr="00646C77">
        <w:rPr>
          <w:rStyle w:val="longtext"/>
          <w:rFonts w:hint="eastAsia"/>
          <w:shd w:val="clear" w:color="auto" w:fill="FFFFFF"/>
          <w:lang w:val="pt-PT"/>
        </w:rPr>
        <w:t>é</w:t>
      </w:r>
      <w:r w:rsidRPr="00646C77">
        <w:rPr>
          <w:rStyle w:val="longtext"/>
          <w:shd w:val="clear" w:color="auto" w:fill="FFFFFF"/>
          <w:lang w:val="pt-PT"/>
        </w:rPr>
        <w:t>m lactose e n</w:t>
      </w:r>
      <w:r w:rsidRPr="00646C77">
        <w:rPr>
          <w:rStyle w:val="longtext"/>
          <w:rFonts w:hint="eastAsia"/>
          <w:shd w:val="clear" w:color="auto" w:fill="FFFFFF"/>
          <w:lang w:val="pt-PT"/>
        </w:rPr>
        <w:t>ã</w:t>
      </w:r>
      <w:r w:rsidRPr="00646C77">
        <w:rPr>
          <w:rStyle w:val="longtext"/>
          <w:shd w:val="clear" w:color="auto" w:fill="FFFFFF"/>
          <w:lang w:val="pt-PT"/>
        </w:rPr>
        <w:t xml:space="preserve">o deve </w:t>
      </w:r>
      <w:r w:rsidR="00011577" w:rsidRPr="002A54AF">
        <w:rPr>
          <w:szCs w:val="22"/>
          <w:lang w:val="pt-PT"/>
        </w:rPr>
        <w:t xml:space="preserve">ser administrado a doentes com problemas hereditários raros de intolerância à galactose, deficiência </w:t>
      </w:r>
      <w:r w:rsidR="00D37BF6">
        <w:rPr>
          <w:szCs w:val="22"/>
          <w:lang w:val="pt-PT"/>
        </w:rPr>
        <w:t xml:space="preserve">total </w:t>
      </w:r>
      <w:r w:rsidR="00011577" w:rsidRPr="002A54AF">
        <w:rPr>
          <w:szCs w:val="22"/>
          <w:lang w:val="pt-PT"/>
        </w:rPr>
        <w:t xml:space="preserve">em lactase ou </w:t>
      </w:r>
      <w:r w:rsidR="00D37BF6">
        <w:rPr>
          <w:szCs w:val="22"/>
          <w:lang w:val="pt-PT"/>
        </w:rPr>
        <w:t>mal</w:t>
      </w:r>
      <w:r w:rsidR="00011577" w:rsidRPr="002A54AF">
        <w:rPr>
          <w:szCs w:val="22"/>
          <w:lang w:val="pt-PT"/>
        </w:rPr>
        <w:t>absorção de glucose-galactose.</w:t>
      </w:r>
    </w:p>
    <w:p w14:paraId="107934E9" w14:textId="77777777" w:rsidR="00D37BF6" w:rsidRPr="002A54AF" w:rsidRDefault="00D37BF6" w:rsidP="00011577">
      <w:pPr>
        <w:tabs>
          <w:tab w:val="left" w:pos="567"/>
        </w:tabs>
        <w:suppressAutoHyphens/>
        <w:rPr>
          <w:szCs w:val="22"/>
          <w:lang w:val="pt-PT"/>
        </w:rPr>
      </w:pPr>
    </w:p>
    <w:p w14:paraId="14EF81C0" w14:textId="77777777" w:rsidR="00D37BF6" w:rsidRPr="00ED57C2" w:rsidRDefault="00D37BF6" w:rsidP="00D37BF6">
      <w:pPr>
        <w:tabs>
          <w:tab w:val="left" w:pos="567"/>
        </w:tabs>
        <w:suppressAutoHyphens/>
        <w:rPr>
          <w:rStyle w:val="longtext"/>
          <w:shd w:val="clear" w:color="auto" w:fill="FFFFFF"/>
          <w:lang w:val="pt-PT"/>
        </w:rPr>
      </w:pPr>
      <w:r w:rsidRPr="00ED57C2">
        <w:rPr>
          <w:rStyle w:val="longtext"/>
          <w:u w:val="single"/>
          <w:shd w:val="clear" w:color="auto" w:fill="FFFFFF"/>
          <w:lang w:val="pt-PT"/>
        </w:rPr>
        <w:t>S</w:t>
      </w:r>
      <w:r w:rsidRPr="00ED57C2">
        <w:rPr>
          <w:rStyle w:val="longtext"/>
          <w:rFonts w:hint="eastAsia"/>
          <w:u w:val="single"/>
          <w:shd w:val="clear" w:color="auto" w:fill="FFFFFF"/>
          <w:lang w:val="pt-PT"/>
        </w:rPr>
        <w:t>ó</w:t>
      </w:r>
      <w:r w:rsidRPr="00ED57C2">
        <w:rPr>
          <w:rStyle w:val="longtext"/>
          <w:u w:val="single"/>
          <w:shd w:val="clear" w:color="auto" w:fill="FFFFFF"/>
          <w:lang w:val="pt-PT"/>
        </w:rPr>
        <w:t>dio</w:t>
      </w:r>
    </w:p>
    <w:p w14:paraId="43515195" w14:textId="77777777" w:rsidR="00D37BF6" w:rsidRPr="00646C77" w:rsidRDefault="00D37BF6" w:rsidP="00D37BF6">
      <w:pPr>
        <w:tabs>
          <w:tab w:val="left" w:pos="567"/>
        </w:tabs>
        <w:suppressAutoHyphens/>
        <w:rPr>
          <w:rStyle w:val="longtext"/>
          <w:shd w:val="clear" w:color="auto" w:fill="FFFFFF"/>
          <w:lang w:val="pt-PT"/>
        </w:rPr>
      </w:pPr>
      <w:r w:rsidRPr="00ED57C2">
        <w:rPr>
          <w:rStyle w:val="longtext"/>
          <w:shd w:val="clear" w:color="auto" w:fill="FFFFFF"/>
          <w:lang w:val="pt-PT"/>
        </w:rPr>
        <w:t>Este medicamento cont</w:t>
      </w:r>
      <w:r w:rsidRPr="00ED57C2">
        <w:rPr>
          <w:rStyle w:val="longtext"/>
          <w:rFonts w:hint="eastAsia"/>
          <w:shd w:val="clear" w:color="auto" w:fill="FFFFFF"/>
          <w:lang w:val="pt-PT"/>
        </w:rPr>
        <w:t>é</w:t>
      </w:r>
      <w:r w:rsidRPr="00ED57C2">
        <w:rPr>
          <w:rStyle w:val="longtext"/>
          <w:shd w:val="clear" w:color="auto" w:fill="FFFFFF"/>
          <w:lang w:val="pt-PT"/>
        </w:rPr>
        <w:t>m menos do que 1 mmol (23 mg) de s</w:t>
      </w:r>
      <w:r w:rsidRPr="00ED57C2">
        <w:rPr>
          <w:rStyle w:val="longtext"/>
          <w:rFonts w:hint="eastAsia"/>
          <w:shd w:val="clear" w:color="auto" w:fill="FFFFFF"/>
          <w:lang w:val="pt-PT"/>
        </w:rPr>
        <w:t>ó</w:t>
      </w:r>
      <w:r w:rsidRPr="00ED57C2">
        <w:rPr>
          <w:rStyle w:val="longtext"/>
          <w:shd w:val="clear" w:color="auto" w:fill="FFFFFF"/>
          <w:lang w:val="pt-PT"/>
        </w:rPr>
        <w:t xml:space="preserve">dio por comprimido. </w:t>
      </w:r>
      <w:r w:rsidRPr="00646C77">
        <w:rPr>
          <w:rStyle w:val="longtext"/>
          <w:shd w:val="clear" w:color="auto" w:fill="FFFFFF"/>
          <w:lang w:val="pt-PT"/>
        </w:rPr>
        <w:t>Os doentes a fazer uma dieta com baixo teor em s</w:t>
      </w:r>
      <w:r w:rsidRPr="00646C77">
        <w:rPr>
          <w:rStyle w:val="longtext"/>
          <w:rFonts w:hint="eastAsia"/>
          <w:shd w:val="clear" w:color="auto" w:fill="FFFFFF"/>
          <w:lang w:val="pt-PT"/>
        </w:rPr>
        <w:t>ó</w:t>
      </w:r>
      <w:r w:rsidRPr="00646C77">
        <w:rPr>
          <w:rStyle w:val="longtext"/>
          <w:shd w:val="clear" w:color="auto" w:fill="FFFFFF"/>
          <w:lang w:val="pt-PT"/>
        </w:rPr>
        <w:t xml:space="preserve">dio devem ser informados de que este medicamento </w:t>
      </w:r>
      <w:r w:rsidRPr="00646C77">
        <w:rPr>
          <w:rStyle w:val="longtext"/>
          <w:rFonts w:hint="eastAsia"/>
          <w:shd w:val="clear" w:color="auto" w:fill="FFFFFF"/>
          <w:lang w:val="pt-PT"/>
        </w:rPr>
        <w:t>é</w:t>
      </w:r>
      <w:r>
        <w:rPr>
          <w:rStyle w:val="longtext"/>
          <w:shd w:val="clear" w:color="auto" w:fill="FFFFFF"/>
          <w:lang w:val="pt-PT"/>
        </w:rPr>
        <w:t xml:space="preserve"> </w:t>
      </w:r>
      <w:r w:rsidRPr="00646C77">
        <w:rPr>
          <w:rStyle w:val="longtext"/>
          <w:shd w:val="clear" w:color="auto" w:fill="FFFFFF"/>
          <w:lang w:val="pt-PT"/>
        </w:rPr>
        <w:t xml:space="preserve">praticamente </w:t>
      </w:r>
      <w:r w:rsidRPr="00646C77">
        <w:rPr>
          <w:rStyle w:val="longtext"/>
          <w:rFonts w:hint="eastAsia"/>
          <w:shd w:val="clear" w:color="auto" w:fill="FFFFFF"/>
          <w:lang w:val="pt-PT"/>
        </w:rPr>
        <w:t>“</w:t>
      </w:r>
      <w:r w:rsidRPr="00646C77">
        <w:rPr>
          <w:rStyle w:val="longtext"/>
          <w:shd w:val="clear" w:color="auto" w:fill="FFFFFF"/>
          <w:lang w:val="pt-PT"/>
        </w:rPr>
        <w:t>isento de s</w:t>
      </w:r>
      <w:r w:rsidRPr="00646C77">
        <w:rPr>
          <w:rStyle w:val="longtext"/>
          <w:rFonts w:hint="eastAsia"/>
          <w:shd w:val="clear" w:color="auto" w:fill="FFFFFF"/>
          <w:lang w:val="pt-PT"/>
        </w:rPr>
        <w:t>ó</w:t>
      </w:r>
      <w:r w:rsidRPr="00646C77">
        <w:rPr>
          <w:rStyle w:val="longtext"/>
          <w:shd w:val="clear" w:color="auto" w:fill="FFFFFF"/>
          <w:lang w:val="pt-PT"/>
        </w:rPr>
        <w:t>dio</w:t>
      </w:r>
      <w:r w:rsidRPr="00646C77">
        <w:rPr>
          <w:rStyle w:val="longtext"/>
          <w:rFonts w:hint="eastAsia"/>
          <w:shd w:val="clear" w:color="auto" w:fill="FFFFFF"/>
          <w:lang w:val="pt-PT"/>
        </w:rPr>
        <w:t>”</w:t>
      </w:r>
      <w:r w:rsidRPr="00646C77">
        <w:rPr>
          <w:rStyle w:val="longtext"/>
          <w:shd w:val="clear" w:color="auto" w:fill="FFFFFF"/>
          <w:lang w:val="pt-PT"/>
        </w:rPr>
        <w:t>.</w:t>
      </w:r>
    </w:p>
    <w:p w14:paraId="21B388C3" w14:textId="77777777" w:rsidR="00011577" w:rsidRPr="002A54AF" w:rsidRDefault="00011577" w:rsidP="00011577">
      <w:pPr>
        <w:tabs>
          <w:tab w:val="left" w:pos="567"/>
        </w:tabs>
        <w:suppressAutoHyphens/>
        <w:rPr>
          <w:szCs w:val="22"/>
          <w:lang w:val="pt-PT"/>
        </w:rPr>
      </w:pPr>
    </w:p>
    <w:p w14:paraId="7F926D30" w14:textId="77777777" w:rsidR="00011577" w:rsidRPr="002A54AF" w:rsidRDefault="00011577" w:rsidP="00011577">
      <w:pPr>
        <w:tabs>
          <w:tab w:val="left" w:pos="567"/>
        </w:tabs>
        <w:suppressAutoHyphens/>
        <w:rPr>
          <w:szCs w:val="22"/>
          <w:lang w:val="pt-PT"/>
        </w:rPr>
      </w:pPr>
      <w:r w:rsidRPr="002A54AF">
        <w:rPr>
          <w:b/>
          <w:szCs w:val="22"/>
          <w:lang w:val="pt-PT"/>
        </w:rPr>
        <w:t>4.5</w:t>
      </w:r>
      <w:r w:rsidRPr="002A54AF">
        <w:rPr>
          <w:b/>
          <w:szCs w:val="22"/>
          <w:lang w:val="pt-PT"/>
        </w:rPr>
        <w:tab/>
        <w:t>Interações medicamentosas e outras formas de interação</w:t>
      </w:r>
    </w:p>
    <w:p w14:paraId="2F73CE2A" w14:textId="77777777" w:rsidR="00011577" w:rsidRPr="002A54AF" w:rsidRDefault="00011577" w:rsidP="00011577">
      <w:pPr>
        <w:tabs>
          <w:tab w:val="left" w:pos="567"/>
        </w:tabs>
        <w:suppressAutoHyphens/>
        <w:rPr>
          <w:szCs w:val="22"/>
          <w:lang w:val="pt-PT"/>
        </w:rPr>
      </w:pPr>
    </w:p>
    <w:p w14:paraId="08B8E153" w14:textId="77777777" w:rsidR="00011577" w:rsidRDefault="00011577" w:rsidP="00646C77">
      <w:pPr>
        <w:autoSpaceDE w:val="0"/>
        <w:autoSpaceDN w:val="0"/>
        <w:adjustRightInd w:val="0"/>
        <w:rPr>
          <w:szCs w:val="22"/>
          <w:lang w:val="pt-PT"/>
        </w:rPr>
      </w:pPr>
      <w:r w:rsidRPr="002A54AF">
        <w:rPr>
          <w:szCs w:val="22"/>
          <w:lang w:val="pt-PT"/>
        </w:rPr>
        <w:t>O voriconazol é metabolizado por, e inibe a atividade das isoenzimas CYP2C19, CYP2C9 e CYP3A4 do citocromo P450. Os inibidores ou indutores destas isoenzimas podem aumentar ou diminuir, respetivamente, as concentações plasmáticas de voriconazol, e existe o potencial para o voriconazol aumentar as concentrações plasmáticas das substâncias metabolizadas por estas isoenzimas do CYP450</w:t>
      </w:r>
      <w:r w:rsidR="00D37BF6">
        <w:rPr>
          <w:szCs w:val="22"/>
          <w:lang w:val="pt-PT"/>
        </w:rPr>
        <w:t xml:space="preserve">, </w:t>
      </w:r>
      <w:r w:rsidR="00D37BF6" w:rsidRPr="00646C77">
        <w:rPr>
          <w:szCs w:val="22"/>
          <w:lang w:val="pt-PT"/>
        </w:rPr>
        <w:t>em particular para subst</w:t>
      </w:r>
      <w:r w:rsidR="00D37BF6" w:rsidRPr="00646C77">
        <w:rPr>
          <w:rFonts w:hint="eastAsia"/>
          <w:szCs w:val="22"/>
          <w:lang w:val="pt-PT"/>
        </w:rPr>
        <w:t>â</w:t>
      </w:r>
      <w:r w:rsidR="00D37BF6" w:rsidRPr="00646C77">
        <w:rPr>
          <w:szCs w:val="22"/>
          <w:lang w:val="pt-PT"/>
        </w:rPr>
        <w:t>ncias metabolizadas pelo CYP3A4, uma vez que</w:t>
      </w:r>
      <w:r w:rsidR="00D37BF6">
        <w:rPr>
          <w:szCs w:val="22"/>
          <w:lang w:val="pt-PT"/>
        </w:rPr>
        <w:t xml:space="preserve"> </w:t>
      </w:r>
      <w:r w:rsidR="00D37BF6" w:rsidRPr="00646C77">
        <w:rPr>
          <w:szCs w:val="22"/>
          <w:lang w:val="pt-PT"/>
        </w:rPr>
        <w:t xml:space="preserve">o voriconazol </w:t>
      </w:r>
      <w:r w:rsidR="00D37BF6" w:rsidRPr="00646C77">
        <w:rPr>
          <w:rFonts w:hint="eastAsia"/>
          <w:szCs w:val="22"/>
          <w:lang w:val="pt-PT"/>
        </w:rPr>
        <w:t>é</w:t>
      </w:r>
      <w:r w:rsidR="00D37BF6" w:rsidRPr="00646C77">
        <w:rPr>
          <w:szCs w:val="22"/>
          <w:lang w:val="pt-PT"/>
        </w:rPr>
        <w:t xml:space="preserve"> um inibidor forte do CYP3A4, embora o aumento da AUC seja dependente do</w:t>
      </w:r>
      <w:r w:rsidR="00D37BF6">
        <w:rPr>
          <w:szCs w:val="22"/>
          <w:lang w:val="pt-PT"/>
        </w:rPr>
        <w:t xml:space="preserve"> </w:t>
      </w:r>
      <w:r w:rsidR="00D37BF6" w:rsidRPr="00646C77">
        <w:rPr>
          <w:szCs w:val="22"/>
          <w:lang w:val="pt-PT"/>
        </w:rPr>
        <w:t>substrato (ver Tabela abaixo)</w:t>
      </w:r>
      <w:r w:rsidRPr="002A54AF">
        <w:rPr>
          <w:szCs w:val="22"/>
          <w:lang w:val="pt-PT"/>
        </w:rPr>
        <w:t>.</w:t>
      </w:r>
    </w:p>
    <w:p w14:paraId="37A8EC3E" w14:textId="77777777" w:rsidR="00400419" w:rsidRPr="00CB39F3" w:rsidRDefault="00400419" w:rsidP="00CB39F3">
      <w:pPr>
        <w:pStyle w:val="Default"/>
        <w:rPr>
          <w:lang w:val="pt-PT" w:eastAsia="en-GB"/>
        </w:rPr>
      </w:pPr>
    </w:p>
    <w:p w14:paraId="667BDE1D" w14:textId="77777777" w:rsidR="00011577" w:rsidRPr="002A54AF" w:rsidRDefault="00011577" w:rsidP="00011577">
      <w:pPr>
        <w:tabs>
          <w:tab w:val="left" w:pos="567"/>
        </w:tabs>
        <w:suppressAutoHyphens/>
        <w:rPr>
          <w:szCs w:val="22"/>
          <w:lang w:val="pt-PT"/>
        </w:rPr>
      </w:pPr>
      <w:r w:rsidRPr="002A54AF">
        <w:rPr>
          <w:szCs w:val="22"/>
          <w:lang w:val="pt-PT"/>
        </w:rPr>
        <w:t>Salvo informação em contrário, os estudos de interação medicamentosa foram realizados em indivíduos adultos do sexo masculino, saudáveis com doses múltiplas de voriconazol, 200</w:t>
      </w:r>
      <w:r w:rsidR="0020636B" w:rsidRPr="002A54AF">
        <w:rPr>
          <w:szCs w:val="22"/>
          <w:lang w:val="pt-PT"/>
        </w:rPr>
        <w:t> </w:t>
      </w:r>
      <w:r w:rsidRPr="002A54AF">
        <w:rPr>
          <w:szCs w:val="22"/>
          <w:lang w:val="pt-PT"/>
        </w:rPr>
        <w:t>mg duas vezes por dia (BID), por via oral, até ser atingido o estado estacionário. Estes resultados são relevantes para outras populações e outras vias de administração.</w:t>
      </w:r>
    </w:p>
    <w:p w14:paraId="3904E556" w14:textId="77777777" w:rsidR="00011577" w:rsidRPr="002A54AF" w:rsidRDefault="00011577" w:rsidP="00011577">
      <w:pPr>
        <w:tabs>
          <w:tab w:val="left" w:pos="567"/>
        </w:tabs>
        <w:suppressAutoHyphens/>
        <w:rPr>
          <w:szCs w:val="22"/>
          <w:lang w:val="pt-PT"/>
        </w:rPr>
      </w:pPr>
    </w:p>
    <w:p w14:paraId="0BDEF62D" w14:textId="77777777" w:rsidR="00011577" w:rsidRPr="002A54AF" w:rsidRDefault="00011577" w:rsidP="00011577">
      <w:pPr>
        <w:tabs>
          <w:tab w:val="left" w:pos="567"/>
        </w:tabs>
        <w:suppressAutoHyphens/>
        <w:rPr>
          <w:szCs w:val="22"/>
          <w:lang w:val="pt-PT"/>
        </w:rPr>
      </w:pPr>
      <w:r w:rsidRPr="002A54AF">
        <w:rPr>
          <w:rStyle w:val="hps"/>
          <w:szCs w:val="22"/>
          <w:lang w:val="pt-PT"/>
        </w:rPr>
        <w:t>O voriconazol</w:t>
      </w:r>
      <w:r w:rsidRPr="002A54AF">
        <w:rPr>
          <w:szCs w:val="22"/>
          <w:lang w:val="pt-PT"/>
        </w:rPr>
        <w:t xml:space="preserve"> </w:t>
      </w:r>
      <w:r w:rsidRPr="002A54AF">
        <w:rPr>
          <w:rStyle w:val="hps"/>
          <w:szCs w:val="22"/>
          <w:lang w:val="pt-PT"/>
        </w:rPr>
        <w:t>deve ser administrado com</w:t>
      </w:r>
      <w:r w:rsidRPr="002A54AF">
        <w:rPr>
          <w:szCs w:val="22"/>
          <w:lang w:val="pt-PT"/>
        </w:rPr>
        <w:t xml:space="preserve"> </w:t>
      </w:r>
      <w:r w:rsidRPr="002A54AF">
        <w:rPr>
          <w:rStyle w:val="hps"/>
          <w:szCs w:val="22"/>
          <w:lang w:val="pt-PT"/>
        </w:rPr>
        <w:t>precaução em doentes com</w:t>
      </w:r>
      <w:r w:rsidRPr="002A54AF">
        <w:rPr>
          <w:szCs w:val="22"/>
          <w:lang w:val="pt-PT"/>
        </w:rPr>
        <w:t xml:space="preserve"> </w:t>
      </w:r>
      <w:r w:rsidRPr="002A54AF">
        <w:rPr>
          <w:rStyle w:val="hps"/>
          <w:szCs w:val="22"/>
          <w:lang w:val="pt-PT"/>
        </w:rPr>
        <w:t>medicação concomitante</w:t>
      </w:r>
      <w:r w:rsidRPr="002A54AF">
        <w:rPr>
          <w:szCs w:val="22"/>
          <w:lang w:val="pt-PT"/>
        </w:rPr>
        <w:t xml:space="preserve"> </w:t>
      </w:r>
      <w:r w:rsidRPr="002A54AF">
        <w:rPr>
          <w:rStyle w:val="hps"/>
          <w:szCs w:val="22"/>
          <w:lang w:val="pt-PT"/>
        </w:rPr>
        <w:t>que se sabe que</w:t>
      </w:r>
      <w:r w:rsidRPr="002A54AF">
        <w:rPr>
          <w:szCs w:val="22"/>
          <w:lang w:val="pt-PT"/>
        </w:rPr>
        <w:t xml:space="preserve"> </w:t>
      </w:r>
      <w:r w:rsidRPr="002A54AF">
        <w:rPr>
          <w:rStyle w:val="hps"/>
          <w:szCs w:val="22"/>
          <w:lang w:val="pt-PT"/>
        </w:rPr>
        <w:t>prolonga o intervalo</w:t>
      </w:r>
      <w:r w:rsidRPr="002A54AF">
        <w:rPr>
          <w:szCs w:val="22"/>
          <w:lang w:val="pt-PT"/>
        </w:rPr>
        <w:t xml:space="preserve"> </w:t>
      </w:r>
      <w:r w:rsidRPr="002A54AF">
        <w:rPr>
          <w:rStyle w:val="hps"/>
          <w:szCs w:val="22"/>
          <w:lang w:val="pt-PT"/>
        </w:rPr>
        <w:t>QT</w:t>
      </w:r>
      <w:r w:rsidR="00071ECF" w:rsidRPr="002A54AF">
        <w:rPr>
          <w:rStyle w:val="hps"/>
          <w:szCs w:val="22"/>
          <w:lang w:val="pt-PT"/>
        </w:rPr>
        <w:t>c</w:t>
      </w:r>
      <w:r w:rsidRPr="002A54AF">
        <w:rPr>
          <w:rStyle w:val="hps"/>
          <w:szCs w:val="22"/>
          <w:lang w:val="pt-PT"/>
        </w:rPr>
        <w:t>.</w:t>
      </w:r>
      <w:r w:rsidRPr="002A54AF">
        <w:rPr>
          <w:szCs w:val="22"/>
          <w:lang w:val="pt-PT"/>
        </w:rPr>
        <w:t xml:space="preserve"> A </w:t>
      </w:r>
      <w:r w:rsidRPr="002A54AF">
        <w:rPr>
          <w:rStyle w:val="hps"/>
          <w:szCs w:val="22"/>
          <w:lang w:val="pt-PT"/>
        </w:rPr>
        <w:t>co</w:t>
      </w:r>
      <w:r w:rsidRPr="002A54AF">
        <w:rPr>
          <w:szCs w:val="22"/>
          <w:lang w:val="pt-PT"/>
        </w:rPr>
        <w:t xml:space="preserve">administração é </w:t>
      </w:r>
      <w:r w:rsidRPr="002A54AF">
        <w:rPr>
          <w:rStyle w:val="hps"/>
          <w:szCs w:val="22"/>
          <w:lang w:val="pt-PT"/>
        </w:rPr>
        <w:t>contraindicada quando existe</w:t>
      </w:r>
      <w:r w:rsidRPr="002A54AF">
        <w:rPr>
          <w:szCs w:val="22"/>
          <w:lang w:val="pt-PT"/>
        </w:rPr>
        <w:t xml:space="preserve"> </w:t>
      </w:r>
      <w:r w:rsidRPr="002A54AF">
        <w:rPr>
          <w:rStyle w:val="hps"/>
          <w:szCs w:val="22"/>
          <w:lang w:val="pt-PT"/>
        </w:rPr>
        <w:t>também um potencial para o</w:t>
      </w:r>
      <w:r w:rsidRPr="002A54AF">
        <w:rPr>
          <w:szCs w:val="22"/>
          <w:lang w:val="pt-PT"/>
        </w:rPr>
        <w:t xml:space="preserve"> </w:t>
      </w:r>
      <w:r w:rsidRPr="002A54AF">
        <w:rPr>
          <w:rStyle w:val="hps"/>
          <w:szCs w:val="22"/>
          <w:lang w:val="pt-PT"/>
        </w:rPr>
        <w:t>voriconazol</w:t>
      </w:r>
      <w:r w:rsidRPr="002A54AF">
        <w:rPr>
          <w:szCs w:val="22"/>
          <w:lang w:val="pt-PT"/>
        </w:rPr>
        <w:t xml:space="preserve"> </w:t>
      </w:r>
      <w:r w:rsidRPr="002A54AF">
        <w:rPr>
          <w:rStyle w:val="hps"/>
          <w:szCs w:val="22"/>
          <w:lang w:val="pt-PT"/>
        </w:rPr>
        <w:t>aumentar</w:t>
      </w:r>
      <w:r w:rsidRPr="002A54AF">
        <w:rPr>
          <w:szCs w:val="22"/>
          <w:lang w:val="pt-PT"/>
        </w:rPr>
        <w:t xml:space="preserve"> </w:t>
      </w:r>
      <w:r w:rsidRPr="002A54AF">
        <w:rPr>
          <w:rStyle w:val="hps"/>
          <w:szCs w:val="22"/>
          <w:lang w:val="pt-PT"/>
        </w:rPr>
        <w:t>as concentrações plasmáticas de</w:t>
      </w:r>
      <w:r w:rsidRPr="002A54AF">
        <w:rPr>
          <w:szCs w:val="22"/>
          <w:lang w:val="pt-PT"/>
        </w:rPr>
        <w:t xml:space="preserve"> </w:t>
      </w:r>
      <w:r w:rsidRPr="002A54AF">
        <w:rPr>
          <w:rStyle w:val="hps"/>
          <w:szCs w:val="22"/>
          <w:lang w:val="pt-PT"/>
        </w:rPr>
        <w:t>substâncias metabolizadas pelas isoenzimas do</w:t>
      </w:r>
      <w:r w:rsidRPr="002A54AF">
        <w:rPr>
          <w:szCs w:val="22"/>
          <w:lang w:val="pt-PT"/>
        </w:rPr>
        <w:t xml:space="preserve"> </w:t>
      </w:r>
      <w:r w:rsidRPr="002A54AF">
        <w:rPr>
          <w:rStyle w:val="hps"/>
          <w:szCs w:val="22"/>
          <w:lang w:val="pt-PT"/>
        </w:rPr>
        <w:t>CYP3A4</w:t>
      </w:r>
      <w:r w:rsidRPr="002A54AF">
        <w:rPr>
          <w:szCs w:val="22"/>
          <w:lang w:val="pt-PT"/>
        </w:rPr>
        <w:t xml:space="preserve"> </w:t>
      </w:r>
      <w:r w:rsidRPr="002A54AF">
        <w:rPr>
          <w:rStyle w:val="hps"/>
          <w:szCs w:val="22"/>
          <w:lang w:val="pt-PT"/>
        </w:rPr>
        <w:t>(</w:t>
      </w:r>
      <w:r w:rsidRPr="002A54AF">
        <w:rPr>
          <w:szCs w:val="22"/>
          <w:lang w:val="pt-PT"/>
        </w:rPr>
        <w:t>alguns anti-histamínicos, quinidina, cisaprida, pimozida</w:t>
      </w:r>
      <w:r w:rsidR="00D37BF6">
        <w:rPr>
          <w:szCs w:val="22"/>
          <w:lang w:val="pt-PT"/>
        </w:rPr>
        <w:t xml:space="preserve"> e ivabradina</w:t>
      </w:r>
      <w:r w:rsidRPr="002A54AF">
        <w:rPr>
          <w:szCs w:val="22"/>
          <w:lang w:val="pt-PT"/>
        </w:rPr>
        <w:t xml:space="preserve">) </w:t>
      </w:r>
      <w:r w:rsidRPr="002A54AF">
        <w:rPr>
          <w:rStyle w:val="hps"/>
          <w:szCs w:val="22"/>
          <w:lang w:val="pt-PT"/>
        </w:rPr>
        <w:t>(</w:t>
      </w:r>
      <w:r w:rsidRPr="002A54AF">
        <w:rPr>
          <w:szCs w:val="22"/>
          <w:lang w:val="pt-PT"/>
        </w:rPr>
        <w:t>ver abaixo e ver secção</w:t>
      </w:r>
      <w:r w:rsidR="00F66FD2" w:rsidRPr="002A54AF">
        <w:rPr>
          <w:szCs w:val="22"/>
          <w:lang w:val="pt-PT"/>
        </w:rPr>
        <w:t> </w:t>
      </w:r>
      <w:r w:rsidRPr="002A54AF">
        <w:rPr>
          <w:rStyle w:val="hps"/>
          <w:szCs w:val="22"/>
          <w:lang w:val="pt-PT"/>
        </w:rPr>
        <w:t>4.3).</w:t>
      </w:r>
      <w:r w:rsidRPr="002A54AF">
        <w:rPr>
          <w:szCs w:val="22"/>
          <w:lang w:val="pt-PT"/>
        </w:rPr>
        <w:t xml:space="preserve"> </w:t>
      </w:r>
    </w:p>
    <w:p w14:paraId="0396DF56" w14:textId="77777777" w:rsidR="005110B9" w:rsidRPr="002A54AF" w:rsidRDefault="005110B9" w:rsidP="00011577">
      <w:pPr>
        <w:tabs>
          <w:tab w:val="left" w:pos="567"/>
        </w:tabs>
        <w:suppressAutoHyphens/>
        <w:rPr>
          <w:szCs w:val="22"/>
          <w:lang w:val="pt-PT"/>
        </w:rPr>
      </w:pPr>
    </w:p>
    <w:p w14:paraId="4E02A88E" w14:textId="77777777" w:rsidR="00011577" w:rsidRPr="002A54AF" w:rsidRDefault="00011577" w:rsidP="00011577">
      <w:pPr>
        <w:pStyle w:val="CM56"/>
        <w:spacing w:after="0"/>
        <w:ind w:right="248"/>
        <w:rPr>
          <w:sz w:val="22"/>
          <w:szCs w:val="22"/>
          <w:u w:val="single"/>
          <w:lang w:val="pt-PT"/>
        </w:rPr>
      </w:pPr>
      <w:r w:rsidRPr="002A54AF">
        <w:rPr>
          <w:sz w:val="22"/>
          <w:szCs w:val="22"/>
          <w:u w:val="single"/>
          <w:lang w:val="pt-PT"/>
        </w:rPr>
        <w:t>Tabela de interações</w:t>
      </w:r>
    </w:p>
    <w:p w14:paraId="57091FE8" w14:textId="77777777" w:rsidR="00011577" w:rsidRPr="002A54AF" w:rsidRDefault="00011577" w:rsidP="00011577">
      <w:pPr>
        <w:pStyle w:val="CM56"/>
        <w:spacing w:after="0"/>
        <w:ind w:right="248"/>
        <w:rPr>
          <w:sz w:val="22"/>
          <w:szCs w:val="22"/>
          <w:lang w:val="pt-PT"/>
        </w:rPr>
      </w:pPr>
    </w:p>
    <w:p w14:paraId="1419FCB2" w14:textId="77777777" w:rsidR="00011577" w:rsidRPr="002A54AF" w:rsidRDefault="00011577" w:rsidP="00011577">
      <w:pPr>
        <w:pStyle w:val="CM56"/>
        <w:spacing w:after="0"/>
        <w:ind w:right="248"/>
        <w:rPr>
          <w:sz w:val="22"/>
          <w:szCs w:val="22"/>
          <w:lang w:val="pt-PT"/>
        </w:rPr>
      </w:pPr>
      <w:r w:rsidRPr="002A54AF">
        <w:rPr>
          <w:sz w:val="22"/>
          <w:szCs w:val="22"/>
          <w:lang w:val="pt-PT"/>
        </w:rPr>
        <w:t>As interações entre o voriconazol e outros medicamentos estão listadas na tabela abaixo (uma vez por dia como “OD”, duas vezes por dia como “BID”, três vezes por dia como “TID” e não determinado como “ND”). A direção da seta para cada parâmetro farmacocinético baseia-se no rácio médio geométrico do interval de confiança de 90%, sendo dentro (↔), abaixo (↓) ou acima (↑) do intervalo de 80-125%. O asterisco (*) indica uma interação de dois sentidos. AUC</w:t>
      </w:r>
      <w:r w:rsidRPr="002A54AF">
        <w:rPr>
          <w:sz w:val="22"/>
          <w:szCs w:val="22"/>
          <w:vertAlign w:val="subscript"/>
        </w:rPr>
        <w:t>τ</w:t>
      </w:r>
      <w:r w:rsidRPr="002A54AF">
        <w:rPr>
          <w:sz w:val="22"/>
          <w:szCs w:val="22"/>
          <w:lang w:val="pt-PT"/>
        </w:rPr>
        <w:t>, AUC</w:t>
      </w:r>
      <w:r w:rsidRPr="002A54AF">
        <w:rPr>
          <w:sz w:val="22"/>
          <w:szCs w:val="22"/>
          <w:vertAlign w:val="subscript"/>
          <w:lang w:val="pt-PT"/>
        </w:rPr>
        <w:t>t</w:t>
      </w:r>
      <w:r w:rsidRPr="002A54AF">
        <w:rPr>
          <w:sz w:val="22"/>
          <w:szCs w:val="22"/>
          <w:lang w:val="pt-PT"/>
        </w:rPr>
        <w:t xml:space="preserve"> and AUC</w:t>
      </w:r>
      <w:r w:rsidRPr="002A54AF">
        <w:rPr>
          <w:sz w:val="22"/>
          <w:szCs w:val="22"/>
          <w:vertAlign w:val="subscript"/>
          <w:lang w:val="pt-PT"/>
        </w:rPr>
        <w:t>0-</w:t>
      </w:r>
      <w:r w:rsidRPr="002A54AF">
        <w:rPr>
          <w:sz w:val="22"/>
          <w:szCs w:val="22"/>
          <w:vertAlign w:val="subscript"/>
        </w:rPr>
        <w:sym w:font="Symbol" w:char="F0A5"/>
      </w:r>
      <w:r w:rsidRPr="002A54AF">
        <w:rPr>
          <w:sz w:val="22"/>
          <w:szCs w:val="22"/>
          <w:lang w:val="pt-PT"/>
        </w:rPr>
        <w:t xml:space="preserve"> representam a área sob a curva num intervalo de dose, a área sob a curva desde o tempo zero ao tempo com medições detetáveis e a área sob a curva desde o tempo zero até ao infinito, respetivamente.</w:t>
      </w:r>
    </w:p>
    <w:p w14:paraId="44000457" w14:textId="77777777" w:rsidR="00011577" w:rsidRPr="002A54AF" w:rsidRDefault="00011577" w:rsidP="00011577">
      <w:pPr>
        <w:tabs>
          <w:tab w:val="left" w:pos="567"/>
        </w:tabs>
        <w:suppressAutoHyphens/>
        <w:rPr>
          <w:szCs w:val="22"/>
          <w:highlight w:val="yellow"/>
          <w:lang w:val="pt-PT"/>
        </w:rPr>
      </w:pPr>
    </w:p>
    <w:p w14:paraId="4FB368FA" w14:textId="77777777" w:rsidR="00011577" w:rsidRDefault="00011577" w:rsidP="00011577">
      <w:pPr>
        <w:tabs>
          <w:tab w:val="left" w:pos="567"/>
        </w:tabs>
        <w:suppressAutoHyphens/>
        <w:rPr>
          <w:szCs w:val="22"/>
          <w:lang w:val="pt-PT"/>
        </w:rPr>
      </w:pPr>
      <w:r w:rsidRPr="002A54AF">
        <w:rPr>
          <w:szCs w:val="22"/>
          <w:lang w:val="pt-PT"/>
        </w:rPr>
        <w:t>As interações na tabela são apresentadas na seguinte ordem: contraindicações, as que requerem ajustamento de dose, as que requerem monitorização clínica e/ou biológica cuidada e, por fim, as que não apresentam interações farmacocinéticas significativas mas que podem ter interesse clínico neste contexto terapêutico.</w:t>
      </w:r>
    </w:p>
    <w:p w14:paraId="30CF23D3" w14:textId="77777777" w:rsidR="00400419" w:rsidRPr="002A54AF" w:rsidRDefault="00400419" w:rsidP="00011577">
      <w:pPr>
        <w:tabs>
          <w:tab w:val="left" w:pos="567"/>
        </w:tabs>
        <w:suppressAutoHyphens/>
        <w:rPr>
          <w:szCs w:val="22"/>
          <w:lang w:val="pt-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303"/>
        <w:gridCol w:w="2764"/>
      </w:tblGrid>
      <w:tr w:rsidR="00E72BDD" w:rsidRPr="002A54AF" w14:paraId="6990C9B9" w14:textId="77777777" w:rsidTr="00DB5F00">
        <w:tc>
          <w:tcPr>
            <w:tcW w:w="2880" w:type="dxa"/>
            <w:shd w:val="clear" w:color="auto" w:fill="auto"/>
          </w:tcPr>
          <w:p w14:paraId="159E29CD" w14:textId="77777777" w:rsidR="00E72BDD" w:rsidRPr="002A54AF" w:rsidRDefault="00E72BDD" w:rsidP="00071ECF">
            <w:pPr>
              <w:pStyle w:val="TableText"/>
              <w:keepNext/>
              <w:overflowPunct w:val="0"/>
              <w:autoSpaceDE w:val="0"/>
              <w:autoSpaceDN w:val="0"/>
              <w:adjustRightInd w:val="0"/>
              <w:textAlignment w:val="baseline"/>
              <w:rPr>
                <w:rFonts w:cs="Times New Roman"/>
                <w:b/>
                <w:sz w:val="22"/>
                <w:szCs w:val="22"/>
              </w:rPr>
            </w:pPr>
            <w:r w:rsidRPr="002A54AF">
              <w:rPr>
                <w:rFonts w:cs="Times New Roman"/>
                <w:sz w:val="22"/>
                <w:szCs w:val="22"/>
                <w:lang w:val="pt-PT"/>
              </w:rPr>
              <w:br w:type="page"/>
            </w:r>
            <w:r w:rsidRPr="002A54AF">
              <w:rPr>
                <w:rFonts w:cs="Times New Roman"/>
                <w:b/>
                <w:sz w:val="22"/>
                <w:szCs w:val="22"/>
              </w:rPr>
              <w:t>Medicamento</w:t>
            </w:r>
            <w:r w:rsidRPr="002A54AF">
              <w:rPr>
                <w:rFonts w:cs="Times New Roman"/>
                <w:b/>
                <w:sz w:val="22"/>
                <w:szCs w:val="22"/>
              </w:rPr>
              <w:br/>
            </w:r>
            <w:r w:rsidRPr="002A54AF">
              <w:rPr>
                <w:rFonts w:cs="Times New Roman"/>
                <w:b/>
                <w:i/>
                <w:sz w:val="22"/>
                <w:szCs w:val="22"/>
              </w:rPr>
              <w:t xml:space="preserve">[Mecanismo de </w:t>
            </w:r>
            <w:r w:rsidR="00071ECF" w:rsidRPr="002A54AF">
              <w:rPr>
                <w:rFonts w:cs="Times New Roman"/>
                <w:b/>
                <w:i/>
                <w:sz w:val="22"/>
                <w:szCs w:val="22"/>
              </w:rPr>
              <w:t>i</w:t>
            </w:r>
            <w:r w:rsidRPr="002A54AF">
              <w:rPr>
                <w:rFonts w:cs="Times New Roman"/>
                <w:b/>
                <w:i/>
                <w:sz w:val="22"/>
                <w:szCs w:val="22"/>
              </w:rPr>
              <w:t>nteração]</w:t>
            </w:r>
          </w:p>
        </w:tc>
        <w:tc>
          <w:tcPr>
            <w:tcW w:w="3330" w:type="dxa"/>
            <w:shd w:val="clear" w:color="auto" w:fill="auto"/>
          </w:tcPr>
          <w:p w14:paraId="6FB65045" w14:textId="77777777" w:rsidR="00E72BDD" w:rsidRPr="002A54AF" w:rsidRDefault="00E72BDD" w:rsidP="00DB5F00">
            <w:pPr>
              <w:pStyle w:val="TableText"/>
              <w:keepNext/>
              <w:overflowPunct w:val="0"/>
              <w:autoSpaceDE w:val="0"/>
              <w:autoSpaceDN w:val="0"/>
              <w:adjustRightInd w:val="0"/>
              <w:textAlignment w:val="baseline"/>
              <w:rPr>
                <w:rFonts w:cs="Times New Roman"/>
                <w:b/>
                <w:sz w:val="22"/>
                <w:szCs w:val="22"/>
                <w:lang w:val="pt-PT"/>
              </w:rPr>
            </w:pPr>
            <w:r w:rsidRPr="002A54AF">
              <w:rPr>
                <w:rFonts w:cs="Times New Roman"/>
                <w:b/>
                <w:sz w:val="22"/>
                <w:szCs w:val="22"/>
                <w:lang w:val="pt-PT"/>
              </w:rPr>
              <w:t>Interação</w:t>
            </w:r>
            <w:r w:rsidRPr="002A54AF">
              <w:rPr>
                <w:rFonts w:cs="Times New Roman"/>
                <w:b/>
                <w:sz w:val="22"/>
                <w:szCs w:val="22"/>
                <w:lang w:val="pt-PT"/>
              </w:rPr>
              <w:br/>
              <w:t>Alterações geométricas médias (%)</w:t>
            </w:r>
          </w:p>
        </w:tc>
        <w:tc>
          <w:tcPr>
            <w:tcW w:w="2790" w:type="dxa"/>
            <w:shd w:val="clear" w:color="auto" w:fill="auto"/>
          </w:tcPr>
          <w:p w14:paraId="40326D1D" w14:textId="77777777" w:rsidR="00E72BDD" w:rsidRPr="002A54AF" w:rsidRDefault="00E72BDD" w:rsidP="00DB5F00">
            <w:pPr>
              <w:pStyle w:val="TableText"/>
              <w:keepNext/>
              <w:overflowPunct w:val="0"/>
              <w:autoSpaceDE w:val="0"/>
              <w:autoSpaceDN w:val="0"/>
              <w:adjustRightInd w:val="0"/>
              <w:textAlignment w:val="baseline"/>
              <w:rPr>
                <w:rFonts w:cs="Times New Roman"/>
                <w:b/>
                <w:sz w:val="22"/>
                <w:szCs w:val="22"/>
                <w:lang w:val="pt-PT"/>
              </w:rPr>
            </w:pPr>
            <w:r w:rsidRPr="002A54AF">
              <w:rPr>
                <w:rFonts w:cs="Times New Roman"/>
                <w:b/>
                <w:sz w:val="22"/>
                <w:szCs w:val="22"/>
                <w:lang w:val="pt-PT"/>
              </w:rPr>
              <w:t xml:space="preserve">Recomendações relativas à </w:t>
            </w:r>
            <w:r w:rsidRPr="002A54AF">
              <w:rPr>
                <w:rFonts w:cs="Times New Roman"/>
                <w:b/>
                <w:sz w:val="22"/>
                <w:szCs w:val="22"/>
                <w:lang w:val="pt-PT"/>
              </w:rPr>
              <w:br/>
              <w:t>coadministração</w:t>
            </w:r>
          </w:p>
        </w:tc>
      </w:tr>
      <w:tr w:rsidR="00E72BDD" w:rsidRPr="002A54AF" w14:paraId="3898B16D" w14:textId="77777777" w:rsidTr="00DB5F00">
        <w:tc>
          <w:tcPr>
            <w:tcW w:w="2880" w:type="dxa"/>
            <w:shd w:val="clear" w:color="auto" w:fill="auto"/>
          </w:tcPr>
          <w:p w14:paraId="7297B664" w14:textId="77777777" w:rsidR="00E72BDD" w:rsidRPr="002A54AF" w:rsidRDefault="00E72BDD" w:rsidP="00DB5F00">
            <w:pPr>
              <w:pStyle w:val="TableText"/>
              <w:tabs>
                <w:tab w:val="left" w:pos="360"/>
              </w:tabs>
              <w:overflowPunct w:val="0"/>
              <w:autoSpaceDE w:val="0"/>
              <w:autoSpaceDN w:val="0"/>
              <w:adjustRightInd w:val="0"/>
              <w:textAlignment w:val="baseline"/>
              <w:rPr>
                <w:rFonts w:cs="Times New Roman"/>
                <w:sz w:val="22"/>
                <w:szCs w:val="22"/>
                <w:lang w:val="it-IT"/>
              </w:rPr>
            </w:pPr>
            <w:r w:rsidRPr="002A54AF">
              <w:rPr>
                <w:rFonts w:cs="Times New Roman"/>
                <w:sz w:val="22"/>
                <w:szCs w:val="22"/>
                <w:lang w:val="it-IT"/>
              </w:rPr>
              <w:t>Astemizol, cisaprida, pimozida, quinidina</w:t>
            </w:r>
            <w:r w:rsidR="00D37BF6">
              <w:rPr>
                <w:rFonts w:cs="Times New Roman"/>
                <w:sz w:val="22"/>
                <w:szCs w:val="22"/>
                <w:lang w:val="it-IT"/>
              </w:rPr>
              <w:t>,</w:t>
            </w:r>
            <w:r w:rsidRPr="002A54AF">
              <w:rPr>
                <w:rFonts w:cs="Times New Roman"/>
                <w:sz w:val="22"/>
                <w:szCs w:val="22"/>
                <w:lang w:val="it-IT"/>
              </w:rPr>
              <w:t xml:space="preserve"> terfenadina</w:t>
            </w:r>
            <w:r w:rsidR="00D37BF6">
              <w:rPr>
                <w:rFonts w:cs="Times New Roman"/>
                <w:sz w:val="22"/>
                <w:szCs w:val="22"/>
                <w:lang w:val="it-IT"/>
              </w:rPr>
              <w:t xml:space="preserve"> e ivabradina</w:t>
            </w:r>
          </w:p>
          <w:p w14:paraId="413D01A8" w14:textId="77777777" w:rsidR="00E72BDD" w:rsidRPr="00646C77" w:rsidRDefault="00E72BDD" w:rsidP="00DB5F00">
            <w:pPr>
              <w:pStyle w:val="TableText"/>
              <w:tabs>
                <w:tab w:val="left" w:pos="360"/>
              </w:tabs>
              <w:overflowPunct w:val="0"/>
              <w:autoSpaceDE w:val="0"/>
              <w:autoSpaceDN w:val="0"/>
              <w:adjustRightInd w:val="0"/>
              <w:textAlignment w:val="baseline"/>
              <w:rPr>
                <w:rFonts w:cs="Times New Roman"/>
                <w:sz w:val="22"/>
                <w:szCs w:val="22"/>
                <w:lang w:val="pt-PT"/>
              </w:rPr>
            </w:pPr>
            <w:r w:rsidRPr="00646C77">
              <w:rPr>
                <w:rFonts w:cs="Times New Roman"/>
                <w:i/>
                <w:sz w:val="22"/>
                <w:szCs w:val="22"/>
                <w:lang w:val="pt-PT"/>
              </w:rPr>
              <w:t>[substratos do CYP3A4]</w:t>
            </w:r>
          </w:p>
        </w:tc>
        <w:tc>
          <w:tcPr>
            <w:tcW w:w="3330" w:type="dxa"/>
            <w:shd w:val="clear" w:color="auto" w:fill="auto"/>
          </w:tcPr>
          <w:p w14:paraId="5C755016"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Apesar de não ter sido estudado, os níveis plasmáticos elevados destes medicamentos podem conduzir ao prolongamento do intervalo QTc e à ocorrência rara de </w:t>
            </w:r>
            <w:r w:rsidRPr="002A54AF">
              <w:rPr>
                <w:rFonts w:cs="Times New Roman"/>
                <w:i/>
                <w:sz w:val="22"/>
                <w:szCs w:val="22"/>
                <w:lang w:val="pt-PT"/>
              </w:rPr>
              <w:t>torsades de pointes.</w:t>
            </w:r>
          </w:p>
        </w:tc>
        <w:tc>
          <w:tcPr>
            <w:tcW w:w="2790" w:type="dxa"/>
            <w:shd w:val="clear" w:color="auto" w:fill="auto"/>
          </w:tcPr>
          <w:p w14:paraId="1B8E55D4" w14:textId="77777777" w:rsidR="00E72BDD" w:rsidRPr="002A54AF" w:rsidRDefault="00E72BDD" w:rsidP="00DB5F00">
            <w:pPr>
              <w:pStyle w:val="TableText"/>
              <w:overflowPunct w:val="0"/>
              <w:autoSpaceDE w:val="0"/>
              <w:autoSpaceDN w:val="0"/>
              <w:adjustRightInd w:val="0"/>
              <w:textAlignment w:val="baseline"/>
              <w:rPr>
                <w:rFonts w:cs="Times New Roman"/>
                <w:b/>
                <w:sz w:val="22"/>
                <w:szCs w:val="22"/>
                <w:lang w:val="pt-PT"/>
              </w:rPr>
            </w:pPr>
          </w:p>
          <w:p w14:paraId="3E7F66D4"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rPr>
            </w:pPr>
            <w:r w:rsidRPr="002A54AF">
              <w:rPr>
                <w:rFonts w:cs="Times New Roman"/>
                <w:b/>
                <w:sz w:val="22"/>
                <w:szCs w:val="22"/>
              </w:rPr>
              <w:t>Contraindicado</w:t>
            </w:r>
            <w:r w:rsidRPr="002A54AF">
              <w:rPr>
                <w:rFonts w:cs="Times New Roman"/>
                <w:sz w:val="22"/>
                <w:szCs w:val="22"/>
              </w:rPr>
              <w:t xml:space="preserve"> (ver secção</w:t>
            </w:r>
            <w:r w:rsidR="0017325D" w:rsidRPr="002A54AF">
              <w:rPr>
                <w:rFonts w:cs="Times New Roman"/>
                <w:sz w:val="22"/>
                <w:szCs w:val="22"/>
              </w:rPr>
              <w:t> </w:t>
            </w:r>
            <w:r w:rsidRPr="002A54AF">
              <w:rPr>
                <w:rFonts w:cs="Times New Roman"/>
                <w:sz w:val="22"/>
                <w:szCs w:val="22"/>
              </w:rPr>
              <w:t>4.3)</w:t>
            </w:r>
          </w:p>
        </w:tc>
      </w:tr>
      <w:tr w:rsidR="00E72BDD" w:rsidRPr="002A54AF" w14:paraId="39DCD80C" w14:textId="77777777" w:rsidTr="00DB5F00">
        <w:tc>
          <w:tcPr>
            <w:tcW w:w="2880" w:type="dxa"/>
            <w:shd w:val="clear" w:color="auto" w:fill="auto"/>
          </w:tcPr>
          <w:p w14:paraId="54DB7757" w14:textId="5FF6698A" w:rsidR="00E72BDD" w:rsidRPr="002A54AF" w:rsidRDefault="00E72BDD" w:rsidP="00DB5F00">
            <w:pPr>
              <w:pStyle w:val="TableText"/>
              <w:tabs>
                <w:tab w:val="left" w:pos="360"/>
              </w:tabs>
              <w:overflowPunct w:val="0"/>
              <w:autoSpaceDE w:val="0"/>
              <w:autoSpaceDN w:val="0"/>
              <w:adjustRightInd w:val="0"/>
              <w:textAlignment w:val="baseline"/>
              <w:rPr>
                <w:rFonts w:cs="Times New Roman"/>
                <w:sz w:val="22"/>
                <w:szCs w:val="22"/>
                <w:lang w:val="it-IT"/>
              </w:rPr>
            </w:pPr>
            <w:r w:rsidRPr="002A54AF">
              <w:rPr>
                <w:rFonts w:cs="Times New Roman"/>
                <w:sz w:val="22"/>
                <w:szCs w:val="22"/>
                <w:lang w:val="pt-PT"/>
              </w:rPr>
              <w:lastRenderedPageBreak/>
              <w:t>Carbamazepina e barbitúricos de ação prolongada (</w:t>
            </w:r>
            <w:r w:rsidR="00376167" w:rsidRPr="00376167">
              <w:rPr>
                <w:rFonts w:cs="Times New Roman"/>
                <w:sz w:val="22"/>
                <w:szCs w:val="22"/>
                <w:lang w:val="pt-PT"/>
              </w:rPr>
              <w:t>incluindo, mas não limitado a</w:t>
            </w:r>
            <w:r w:rsidR="00376167">
              <w:rPr>
                <w:rFonts w:cs="Times New Roman"/>
                <w:sz w:val="22"/>
                <w:szCs w:val="22"/>
                <w:lang w:val="pt-PT"/>
              </w:rPr>
              <w:t>:</w:t>
            </w:r>
            <w:r w:rsidRPr="002A54AF">
              <w:rPr>
                <w:rFonts w:cs="Times New Roman"/>
                <w:sz w:val="22"/>
                <w:szCs w:val="22"/>
                <w:lang w:val="pt-PT"/>
              </w:rPr>
              <w:t xml:space="preserve"> fenobarbital, mefobarbital) </w:t>
            </w:r>
            <w:r w:rsidRPr="002A54AF">
              <w:rPr>
                <w:rFonts w:cs="Times New Roman"/>
                <w:sz w:val="22"/>
                <w:szCs w:val="22"/>
                <w:lang w:val="pt-PT"/>
              </w:rPr>
              <w:br/>
            </w:r>
            <w:r w:rsidRPr="002A54AF">
              <w:rPr>
                <w:rFonts w:cs="Times New Roman"/>
                <w:i/>
                <w:sz w:val="22"/>
                <w:szCs w:val="22"/>
                <w:lang w:val="pt-PT"/>
              </w:rPr>
              <w:t>[potentes indutores do CYP450]</w:t>
            </w:r>
          </w:p>
        </w:tc>
        <w:tc>
          <w:tcPr>
            <w:tcW w:w="3330" w:type="dxa"/>
            <w:shd w:val="clear" w:color="auto" w:fill="auto"/>
          </w:tcPr>
          <w:p w14:paraId="027E2F28" w14:textId="77777777" w:rsidR="00E72BDD" w:rsidRPr="002A54AF" w:rsidRDefault="00E72BDD" w:rsidP="00DB5F00">
            <w:pPr>
              <w:tabs>
                <w:tab w:val="left" w:pos="567"/>
              </w:tabs>
              <w:suppressAutoHyphens/>
              <w:rPr>
                <w:szCs w:val="22"/>
                <w:lang w:val="pt-PT"/>
              </w:rPr>
            </w:pPr>
            <w:r w:rsidRPr="002A54AF">
              <w:rPr>
                <w:szCs w:val="22"/>
                <w:lang w:val="pt-PT"/>
              </w:rPr>
              <w:t xml:space="preserve">Apesar de não ter sido estudado, é provável que a carbamazepina e os barbitúricos de ação prolongada diminuam significativamente as concentrações plasmáticas do voriconazol. </w:t>
            </w:r>
          </w:p>
        </w:tc>
        <w:tc>
          <w:tcPr>
            <w:tcW w:w="2790" w:type="dxa"/>
            <w:shd w:val="clear" w:color="auto" w:fill="auto"/>
          </w:tcPr>
          <w:p w14:paraId="3DE3D03F" w14:textId="77777777" w:rsidR="00E72BDD" w:rsidRPr="002A54AF" w:rsidRDefault="00E72BDD" w:rsidP="00DB5F00">
            <w:pPr>
              <w:pStyle w:val="TableText"/>
              <w:overflowPunct w:val="0"/>
              <w:autoSpaceDE w:val="0"/>
              <w:autoSpaceDN w:val="0"/>
              <w:adjustRightInd w:val="0"/>
              <w:textAlignment w:val="baseline"/>
              <w:rPr>
                <w:rFonts w:cs="Times New Roman"/>
                <w:b/>
                <w:sz w:val="22"/>
                <w:szCs w:val="22"/>
                <w:lang w:val="pt-PT"/>
              </w:rPr>
            </w:pPr>
          </w:p>
          <w:p w14:paraId="67B8DC00" w14:textId="77777777" w:rsidR="00E72BDD" w:rsidRPr="002A54AF" w:rsidRDefault="00E72BDD" w:rsidP="00DB5F00">
            <w:pPr>
              <w:pStyle w:val="TableText"/>
              <w:overflowPunct w:val="0"/>
              <w:autoSpaceDE w:val="0"/>
              <w:autoSpaceDN w:val="0"/>
              <w:adjustRightInd w:val="0"/>
              <w:textAlignment w:val="baseline"/>
              <w:rPr>
                <w:rFonts w:cs="Times New Roman"/>
                <w:b/>
                <w:sz w:val="22"/>
                <w:szCs w:val="22"/>
              </w:rPr>
            </w:pPr>
            <w:r w:rsidRPr="002A54AF">
              <w:rPr>
                <w:rFonts w:cs="Times New Roman"/>
                <w:b/>
                <w:sz w:val="22"/>
                <w:szCs w:val="22"/>
              </w:rPr>
              <w:t>Contraindicado</w:t>
            </w:r>
            <w:r w:rsidRPr="002A54AF">
              <w:rPr>
                <w:rFonts w:cs="Times New Roman"/>
                <w:sz w:val="22"/>
                <w:szCs w:val="22"/>
              </w:rPr>
              <w:t xml:space="preserve"> (ver secção</w:t>
            </w:r>
            <w:r w:rsidR="0017325D" w:rsidRPr="002A54AF">
              <w:rPr>
                <w:rFonts w:cs="Times New Roman"/>
                <w:sz w:val="22"/>
                <w:szCs w:val="22"/>
              </w:rPr>
              <w:t> </w:t>
            </w:r>
            <w:r w:rsidRPr="002A54AF">
              <w:rPr>
                <w:rFonts w:cs="Times New Roman"/>
                <w:sz w:val="22"/>
                <w:szCs w:val="22"/>
              </w:rPr>
              <w:t>4.3)</w:t>
            </w:r>
          </w:p>
        </w:tc>
      </w:tr>
      <w:tr w:rsidR="00E72BDD" w:rsidRPr="00376167" w14:paraId="02D84E62" w14:textId="77777777" w:rsidTr="00DB5F00">
        <w:tc>
          <w:tcPr>
            <w:tcW w:w="2880" w:type="dxa"/>
            <w:shd w:val="clear" w:color="auto" w:fill="auto"/>
          </w:tcPr>
          <w:p w14:paraId="68591B59" w14:textId="77777777" w:rsidR="00E72BDD" w:rsidRPr="002A54AF" w:rsidRDefault="00E72BDD" w:rsidP="00DB5F00">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sz w:val="22"/>
                <w:szCs w:val="22"/>
                <w:lang w:val="pt-PT"/>
              </w:rPr>
              <w:t xml:space="preserve">Efavirenz (inibidor da transcriptase reversa não-nucleósido) </w:t>
            </w:r>
            <w:r w:rsidRPr="002A54AF">
              <w:rPr>
                <w:rFonts w:cs="Times New Roman"/>
                <w:i/>
                <w:sz w:val="22"/>
                <w:szCs w:val="22"/>
                <w:lang w:val="pt-PT"/>
              </w:rPr>
              <w:t>[indutor do CYP450, inibidor e substrato do CYP3A4]</w:t>
            </w:r>
          </w:p>
          <w:p w14:paraId="3D7B211D" w14:textId="77777777" w:rsidR="00E72BDD" w:rsidRPr="002A54AF" w:rsidRDefault="00E72BDD" w:rsidP="00DB5F00">
            <w:pPr>
              <w:pStyle w:val="TableText"/>
              <w:tabs>
                <w:tab w:val="left" w:pos="360"/>
              </w:tabs>
              <w:overflowPunct w:val="0"/>
              <w:autoSpaceDE w:val="0"/>
              <w:autoSpaceDN w:val="0"/>
              <w:adjustRightInd w:val="0"/>
              <w:textAlignment w:val="baseline"/>
              <w:rPr>
                <w:rFonts w:cs="Times New Roman"/>
                <w:i/>
                <w:sz w:val="22"/>
                <w:szCs w:val="22"/>
                <w:lang w:val="pt-PT"/>
              </w:rPr>
            </w:pPr>
          </w:p>
          <w:p w14:paraId="37B23213" w14:textId="77777777" w:rsidR="00E72BDD" w:rsidRPr="002A54AF" w:rsidRDefault="00071ECF" w:rsidP="00DB5F00">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Efavirenz 400 mg OD, coadministrado com 200 mg BID de voriconazol </w:t>
            </w:r>
            <w:r w:rsidRPr="002A54AF">
              <w:rPr>
                <w:rFonts w:cs="Times New Roman"/>
                <w:sz w:val="22"/>
                <w:szCs w:val="22"/>
                <w:vertAlign w:val="superscript"/>
                <w:lang w:val="pt-PT"/>
              </w:rPr>
              <w:t>*</w:t>
            </w:r>
            <w:r w:rsidRPr="002A54AF">
              <w:rPr>
                <w:rFonts w:cs="Times New Roman"/>
                <w:sz w:val="22"/>
                <w:szCs w:val="22"/>
                <w:lang w:val="pt-PT"/>
              </w:rPr>
              <w:t xml:space="preserve"> </w:t>
            </w:r>
          </w:p>
          <w:p w14:paraId="4A37C2E4" w14:textId="77777777" w:rsidR="00E72BDD" w:rsidRPr="002A54AF" w:rsidRDefault="00E72BDD" w:rsidP="00DB5F00">
            <w:pPr>
              <w:pStyle w:val="TableText"/>
              <w:tabs>
                <w:tab w:val="left" w:pos="360"/>
              </w:tabs>
              <w:overflowPunct w:val="0"/>
              <w:autoSpaceDE w:val="0"/>
              <w:autoSpaceDN w:val="0"/>
              <w:adjustRightInd w:val="0"/>
              <w:textAlignment w:val="baseline"/>
              <w:rPr>
                <w:rFonts w:cs="Times New Roman"/>
                <w:sz w:val="22"/>
                <w:szCs w:val="22"/>
                <w:lang w:val="pt-PT"/>
              </w:rPr>
            </w:pPr>
          </w:p>
          <w:p w14:paraId="583C8350" w14:textId="77777777" w:rsidR="00E72BDD" w:rsidRPr="002A54AF" w:rsidRDefault="00E72BDD" w:rsidP="00DB5F00">
            <w:pPr>
              <w:pStyle w:val="TableText"/>
              <w:tabs>
                <w:tab w:val="left" w:pos="360"/>
              </w:tabs>
              <w:overflowPunct w:val="0"/>
              <w:autoSpaceDE w:val="0"/>
              <w:autoSpaceDN w:val="0"/>
              <w:adjustRightInd w:val="0"/>
              <w:textAlignment w:val="baseline"/>
              <w:rPr>
                <w:rFonts w:cs="Times New Roman"/>
                <w:sz w:val="22"/>
                <w:szCs w:val="22"/>
                <w:lang w:val="pt-PT"/>
              </w:rPr>
            </w:pPr>
          </w:p>
          <w:p w14:paraId="24866FC7" w14:textId="77777777" w:rsidR="00E72BDD" w:rsidRPr="002A54AF" w:rsidRDefault="00E72BDD" w:rsidP="00DB5F00">
            <w:pPr>
              <w:pStyle w:val="TableText"/>
              <w:tabs>
                <w:tab w:val="left" w:pos="360"/>
              </w:tabs>
              <w:overflowPunct w:val="0"/>
              <w:autoSpaceDE w:val="0"/>
              <w:autoSpaceDN w:val="0"/>
              <w:adjustRightInd w:val="0"/>
              <w:textAlignment w:val="baseline"/>
              <w:rPr>
                <w:rFonts w:cs="Times New Roman"/>
                <w:sz w:val="22"/>
                <w:szCs w:val="22"/>
                <w:lang w:val="pt-PT"/>
              </w:rPr>
            </w:pPr>
          </w:p>
          <w:p w14:paraId="547AE55B" w14:textId="77777777" w:rsidR="00E72BDD" w:rsidRPr="002A54AF" w:rsidRDefault="00071ECF" w:rsidP="00DB5F00">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Efavirenz 300 mg OD, coadministrada com 400 mg BID de voriconazol</w:t>
            </w:r>
            <w:r w:rsidRPr="002A54AF">
              <w:rPr>
                <w:rFonts w:cs="Times New Roman"/>
                <w:sz w:val="22"/>
                <w:szCs w:val="22"/>
                <w:vertAlign w:val="superscript"/>
                <w:lang w:val="pt-PT"/>
              </w:rPr>
              <w:t>*</w:t>
            </w:r>
          </w:p>
          <w:p w14:paraId="09BDB984" w14:textId="77777777" w:rsidR="00E72BDD" w:rsidRPr="002A54AF" w:rsidRDefault="00E72BDD" w:rsidP="00DB5F00">
            <w:pPr>
              <w:pStyle w:val="TableText"/>
              <w:tabs>
                <w:tab w:val="left" w:pos="360"/>
              </w:tabs>
              <w:overflowPunct w:val="0"/>
              <w:autoSpaceDE w:val="0"/>
              <w:autoSpaceDN w:val="0"/>
              <w:adjustRightInd w:val="0"/>
              <w:textAlignment w:val="baseline"/>
              <w:rPr>
                <w:rFonts w:cs="Times New Roman"/>
                <w:sz w:val="22"/>
                <w:szCs w:val="22"/>
                <w:lang w:val="pt-PT"/>
              </w:rPr>
            </w:pPr>
          </w:p>
        </w:tc>
        <w:tc>
          <w:tcPr>
            <w:tcW w:w="3330" w:type="dxa"/>
            <w:shd w:val="clear" w:color="auto" w:fill="auto"/>
          </w:tcPr>
          <w:p w14:paraId="4E82AE2E"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p>
          <w:p w14:paraId="06610184"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p>
          <w:p w14:paraId="5283E085"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Efavirenz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rPr>
              <w:sym w:font="Symbol" w:char="F0AD"/>
            </w:r>
            <w:r w:rsidRPr="002A54AF">
              <w:rPr>
                <w:rFonts w:cs="Times New Roman"/>
                <w:sz w:val="22"/>
                <w:szCs w:val="22"/>
                <w:lang w:val="pt-PT"/>
              </w:rPr>
              <w:t xml:space="preserve"> 38%</w:t>
            </w:r>
            <w:r w:rsidRPr="002A54AF">
              <w:rPr>
                <w:rFonts w:cs="Times New Roman"/>
                <w:sz w:val="22"/>
                <w:szCs w:val="22"/>
                <w:lang w:val="pt-PT"/>
              </w:rPr>
              <w:br/>
              <w:t>Efavirenz AUC</w:t>
            </w:r>
            <w:r w:rsidRPr="002A54AF">
              <w:rPr>
                <w:rFonts w:cs="Times New Roman"/>
                <w:sz w:val="22"/>
                <w:szCs w:val="22"/>
              </w:rPr>
              <w:t>τ</w:t>
            </w:r>
            <w:r w:rsidRPr="002A54AF">
              <w:rPr>
                <w:rFonts w:cs="Times New Roman"/>
                <w:sz w:val="22"/>
                <w:szCs w:val="22"/>
                <w:lang w:val="pt-PT"/>
              </w:rPr>
              <w:t xml:space="preserve"> </w:t>
            </w:r>
            <w:r w:rsidRPr="002A54AF">
              <w:rPr>
                <w:rFonts w:cs="Times New Roman"/>
                <w:sz w:val="22"/>
                <w:szCs w:val="22"/>
              </w:rPr>
              <w:sym w:font="Symbol" w:char="F0AD"/>
            </w:r>
            <w:r w:rsidRPr="002A54AF">
              <w:rPr>
                <w:rFonts w:cs="Times New Roman"/>
                <w:sz w:val="22"/>
                <w:szCs w:val="22"/>
                <w:lang w:val="pt-PT"/>
              </w:rPr>
              <w:t xml:space="preserve"> 44%</w:t>
            </w:r>
          </w:p>
          <w:p w14:paraId="284937AB"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Voriconazol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rPr>
              <w:sym w:font="Symbol" w:char="F0AF"/>
            </w:r>
            <w:r w:rsidRPr="002A54AF">
              <w:rPr>
                <w:rFonts w:cs="Times New Roman"/>
                <w:sz w:val="22"/>
                <w:szCs w:val="22"/>
                <w:lang w:val="pt-PT"/>
              </w:rPr>
              <w:t xml:space="preserve"> 61%</w:t>
            </w:r>
            <w:r w:rsidRPr="002A54AF">
              <w:rPr>
                <w:rFonts w:cs="Times New Roman"/>
                <w:sz w:val="22"/>
                <w:szCs w:val="22"/>
                <w:lang w:val="pt-PT"/>
              </w:rPr>
              <w:br/>
              <w:t>Voriconazol AUC</w:t>
            </w:r>
            <w:r w:rsidRPr="002A54AF">
              <w:rPr>
                <w:rFonts w:cs="Times New Roman"/>
                <w:sz w:val="22"/>
                <w:szCs w:val="22"/>
              </w:rPr>
              <w:t>τ</w:t>
            </w:r>
            <w:r w:rsidRPr="002A54AF">
              <w:rPr>
                <w:rFonts w:cs="Times New Roman"/>
                <w:sz w:val="22"/>
                <w:szCs w:val="22"/>
                <w:lang w:val="pt-PT"/>
              </w:rPr>
              <w:t xml:space="preserve"> </w:t>
            </w:r>
            <w:r w:rsidRPr="002A54AF">
              <w:rPr>
                <w:rFonts w:cs="Times New Roman"/>
                <w:sz w:val="22"/>
                <w:szCs w:val="22"/>
              </w:rPr>
              <w:sym w:font="Symbol" w:char="F0AF"/>
            </w:r>
            <w:r w:rsidRPr="002A54AF">
              <w:rPr>
                <w:rFonts w:cs="Times New Roman"/>
                <w:sz w:val="22"/>
                <w:szCs w:val="22"/>
                <w:lang w:val="pt-PT"/>
              </w:rPr>
              <w:t xml:space="preserve"> 77%</w:t>
            </w:r>
          </w:p>
          <w:p w14:paraId="1BE95D6F" w14:textId="77777777" w:rsidR="00E72BDD" w:rsidRPr="002A54AF" w:rsidRDefault="00E72BDD" w:rsidP="00DB5F00">
            <w:pPr>
              <w:pStyle w:val="TableText"/>
              <w:tabs>
                <w:tab w:val="left" w:pos="216"/>
                <w:tab w:val="left" w:pos="360"/>
              </w:tabs>
              <w:overflowPunct w:val="0"/>
              <w:autoSpaceDE w:val="0"/>
              <w:autoSpaceDN w:val="0"/>
              <w:adjustRightInd w:val="0"/>
              <w:textAlignment w:val="baseline"/>
              <w:rPr>
                <w:rFonts w:cs="Times New Roman"/>
                <w:sz w:val="22"/>
                <w:szCs w:val="22"/>
                <w:lang w:val="pt-PT"/>
              </w:rPr>
            </w:pPr>
          </w:p>
          <w:p w14:paraId="62B23BA5" w14:textId="77777777" w:rsidR="00E72BDD" w:rsidRPr="002A54AF" w:rsidRDefault="00E72BDD" w:rsidP="00DB5F00">
            <w:pPr>
              <w:pStyle w:val="TableText"/>
              <w:tabs>
                <w:tab w:val="left" w:pos="216"/>
                <w:tab w:val="left" w:pos="360"/>
              </w:tabs>
              <w:overflowPunct w:val="0"/>
              <w:autoSpaceDE w:val="0"/>
              <w:autoSpaceDN w:val="0"/>
              <w:adjustRightInd w:val="0"/>
              <w:textAlignment w:val="baseline"/>
              <w:rPr>
                <w:rFonts w:cs="Times New Roman"/>
                <w:sz w:val="22"/>
                <w:szCs w:val="22"/>
                <w:lang w:val="pt-PT"/>
              </w:rPr>
            </w:pPr>
          </w:p>
          <w:p w14:paraId="6AA71E5A" w14:textId="77777777" w:rsidR="00E72BDD" w:rsidRPr="002A54AF" w:rsidRDefault="00E72BDD" w:rsidP="00DB5F00">
            <w:pPr>
              <w:pStyle w:val="TableText"/>
              <w:tabs>
                <w:tab w:val="left" w:pos="216"/>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Comparando com 600</w:t>
            </w:r>
            <w:r w:rsidR="0020636B" w:rsidRPr="002A54AF">
              <w:rPr>
                <w:rFonts w:cs="Times New Roman"/>
                <w:sz w:val="22"/>
                <w:szCs w:val="22"/>
                <w:lang w:val="pt-PT"/>
              </w:rPr>
              <w:t> </w:t>
            </w:r>
            <w:r w:rsidRPr="002A54AF">
              <w:rPr>
                <w:rFonts w:cs="Times New Roman"/>
                <w:sz w:val="22"/>
                <w:szCs w:val="22"/>
                <w:lang w:val="pt-PT"/>
              </w:rPr>
              <w:t>mg OD de efavirenz,</w:t>
            </w:r>
          </w:p>
          <w:p w14:paraId="284454BD" w14:textId="77777777" w:rsidR="00E72BDD" w:rsidRPr="002A54AF" w:rsidRDefault="00E72BDD" w:rsidP="00DB5F00">
            <w:pPr>
              <w:pStyle w:val="TableText"/>
              <w:tabs>
                <w:tab w:val="left" w:pos="216"/>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Efavirenz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pt-PT"/>
              </w:rPr>
              <w:br/>
              <w:t>Efavirenz AUC</w:t>
            </w:r>
            <w:r w:rsidRPr="002A54AF">
              <w:rPr>
                <w:rFonts w:cs="Times New Roman"/>
                <w:sz w:val="22"/>
                <w:szCs w:val="22"/>
              </w:rPr>
              <w:t>τ</w:t>
            </w:r>
            <w:r w:rsidRPr="002A54AF">
              <w:rPr>
                <w:rFonts w:cs="Times New Roman"/>
                <w:sz w:val="22"/>
                <w:szCs w:val="22"/>
                <w:lang w:val="pt-PT"/>
              </w:rPr>
              <w:t xml:space="preserve"> </w:t>
            </w:r>
            <w:r w:rsidRPr="002A54AF">
              <w:rPr>
                <w:rFonts w:cs="Times New Roman"/>
                <w:sz w:val="22"/>
                <w:szCs w:val="22"/>
              </w:rPr>
              <w:sym w:font="Symbol" w:char="F0AD"/>
            </w:r>
            <w:r w:rsidRPr="002A54AF">
              <w:rPr>
                <w:rFonts w:cs="Times New Roman"/>
                <w:sz w:val="22"/>
                <w:szCs w:val="22"/>
                <w:lang w:val="pt-PT"/>
              </w:rPr>
              <w:t xml:space="preserve"> 17%</w:t>
            </w:r>
            <w:r w:rsidRPr="002A54AF">
              <w:rPr>
                <w:rFonts w:cs="Times New Roman"/>
                <w:sz w:val="22"/>
                <w:szCs w:val="22"/>
                <w:lang w:val="pt-PT"/>
              </w:rPr>
              <w:br/>
            </w:r>
          </w:p>
          <w:p w14:paraId="60739BAB" w14:textId="77777777" w:rsidR="00E72BDD" w:rsidRPr="002A54AF" w:rsidRDefault="00E72BDD" w:rsidP="00DB5F00">
            <w:pPr>
              <w:pStyle w:val="TableText"/>
              <w:tabs>
                <w:tab w:val="left" w:pos="216"/>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Comparando com 200</w:t>
            </w:r>
            <w:r w:rsidR="0020636B" w:rsidRPr="002A54AF">
              <w:rPr>
                <w:rFonts w:cs="Times New Roman"/>
                <w:sz w:val="22"/>
                <w:szCs w:val="22"/>
                <w:lang w:val="pt-PT"/>
              </w:rPr>
              <w:t> </w:t>
            </w:r>
            <w:r w:rsidRPr="002A54AF">
              <w:rPr>
                <w:rFonts w:cs="Times New Roman"/>
                <w:sz w:val="22"/>
                <w:szCs w:val="22"/>
                <w:lang w:val="pt-PT"/>
              </w:rPr>
              <w:t>mg BID de voriconazol,</w:t>
            </w:r>
          </w:p>
          <w:p w14:paraId="4E27D420"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it-IT"/>
              </w:rPr>
            </w:pPr>
            <w:r w:rsidRPr="002A54AF">
              <w:rPr>
                <w:rFonts w:cs="Times New Roman"/>
                <w:sz w:val="22"/>
                <w:szCs w:val="22"/>
                <w:lang w:val="it-IT"/>
              </w:rPr>
              <w:t>Voriconazol C</w:t>
            </w:r>
            <w:r w:rsidRPr="002A54AF">
              <w:rPr>
                <w:rFonts w:cs="Times New Roman"/>
                <w:sz w:val="22"/>
                <w:szCs w:val="22"/>
                <w:vertAlign w:val="subscript"/>
                <w:lang w:val="it-IT"/>
              </w:rPr>
              <w:t>max</w:t>
            </w:r>
            <w:r w:rsidRPr="002A54AF">
              <w:rPr>
                <w:rFonts w:cs="Times New Roman"/>
                <w:sz w:val="22"/>
                <w:szCs w:val="22"/>
                <w:lang w:val="it-IT"/>
              </w:rPr>
              <w:t xml:space="preserve"> </w:t>
            </w:r>
            <w:r w:rsidRPr="002A54AF">
              <w:rPr>
                <w:rFonts w:cs="Times New Roman"/>
                <w:sz w:val="22"/>
                <w:szCs w:val="22"/>
              </w:rPr>
              <w:sym w:font="Symbol" w:char="F0AD"/>
            </w:r>
            <w:r w:rsidRPr="002A54AF">
              <w:rPr>
                <w:rFonts w:cs="Times New Roman"/>
                <w:sz w:val="22"/>
                <w:szCs w:val="22"/>
                <w:lang w:val="it-IT"/>
              </w:rPr>
              <w:t xml:space="preserve"> 23%</w:t>
            </w:r>
            <w:r w:rsidRPr="002A54AF">
              <w:rPr>
                <w:rFonts w:cs="Times New Roman"/>
                <w:sz w:val="22"/>
                <w:szCs w:val="22"/>
                <w:lang w:val="it-IT"/>
              </w:rPr>
              <w:br/>
              <w:t xml:space="preserve">Voriconazol </w:t>
            </w:r>
            <w:r w:rsidRPr="002A54AF">
              <w:rPr>
                <w:rFonts w:cs="Times New Roman"/>
                <w:sz w:val="22"/>
                <w:szCs w:val="22"/>
              </w:rPr>
              <w:t>AUCτ</w:t>
            </w:r>
            <w:r w:rsidRPr="002A54AF">
              <w:rPr>
                <w:rFonts w:cs="Times New Roman"/>
                <w:sz w:val="22"/>
                <w:szCs w:val="22"/>
                <w:lang w:val="it-IT"/>
              </w:rPr>
              <w:t xml:space="preserve"> </w:t>
            </w:r>
            <w:r w:rsidRPr="002A54AF">
              <w:rPr>
                <w:rFonts w:cs="Times New Roman"/>
                <w:sz w:val="22"/>
                <w:szCs w:val="22"/>
              </w:rPr>
              <w:sym w:font="Symbol" w:char="F0AD"/>
            </w:r>
            <w:r w:rsidRPr="002A54AF">
              <w:rPr>
                <w:rFonts w:cs="Times New Roman"/>
                <w:sz w:val="22"/>
                <w:szCs w:val="22"/>
                <w:lang w:val="it-IT"/>
              </w:rPr>
              <w:t xml:space="preserve"> 7%</w:t>
            </w:r>
          </w:p>
          <w:p w14:paraId="6901A3C4" w14:textId="77777777" w:rsidR="00E72BDD" w:rsidRPr="002A54AF" w:rsidRDefault="00E72BDD" w:rsidP="00DB5F00">
            <w:pPr>
              <w:pStyle w:val="EndnoteText"/>
              <w:widowControl/>
              <w:suppressAutoHyphens/>
              <w:rPr>
                <w:szCs w:val="22"/>
              </w:rPr>
            </w:pPr>
          </w:p>
        </w:tc>
        <w:tc>
          <w:tcPr>
            <w:tcW w:w="2790" w:type="dxa"/>
            <w:shd w:val="clear" w:color="auto" w:fill="auto"/>
          </w:tcPr>
          <w:p w14:paraId="7EF495BA"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0821069F"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7607B396"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208179AE"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Doses padrão de voriconazol e doses de efavirenz (400 mg OD ou </w:t>
            </w:r>
            <w:r w:rsidR="00FB0B74" w:rsidRPr="002A54AF">
              <w:rPr>
                <w:rFonts w:cs="Times New Roman"/>
                <w:sz w:val="22"/>
                <w:szCs w:val="22"/>
                <w:lang w:val="pt-PT"/>
              </w:rPr>
              <w:t>mais elevadas</w:t>
            </w:r>
            <w:r w:rsidRPr="002A54AF">
              <w:rPr>
                <w:rFonts w:cs="Times New Roman"/>
                <w:sz w:val="22"/>
                <w:szCs w:val="22"/>
                <w:lang w:val="pt-PT"/>
              </w:rPr>
              <w:t xml:space="preserve">) é </w:t>
            </w:r>
            <w:r w:rsidRPr="002A54AF">
              <w:rPr>
                <w:rFonts w:cs="Times New Roman"/>
                <w:b/>
                <w:sz w:val="22"/>
                <w:szCs w:val="22"/>
                <w:lang w:val="pt-PT"/>
              </w:rPr>
              <w:t xml:space="preserve">contraindicado </w:t>
            </w:r>
            <w:r w:rsidRPr="002A54AF">
              <w:rPr>
                <w:rFonts w:cs="Times New Roman"/>
                <w:sz w:val="22"/>
                <w:szCs w:val="22"/>
                <w:lang w:val="pt-PT"/>
              </w:rPr>
              <w:t xml:space="preserve">(ver secção 4.3).  </w:t>
            </w:r>
          </w:p>
          <w:p w14:paraId="2225C92D"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1EA38955" w14:textId="0B3BC10E" w:rsidR="00E72BDD" w:rsidRPr="002A54AF" w:rsidRDefault="00E72BDD" w:rsidP="00DB5F00">
            <w:pPr>
              <w:pStyle w:val="TableText"/>
              <w:overflowPunct w:val="0"/>
              <w:autoSpaceDE w:val="0"/>
              <w:autoSpaceDN w:val="0"/>
              <w:adjustRightInd w:val="0"/>
              <w:textAlignment w:val="baseline"/>
              <w:rPr>
                <w:rFonts w:cs="Times New Roman"/>
                <w:b/>
                <w:sz w:val="22"/>
                <w:szCs w:val="22"/>
                <w:lang w:val="pt-PT"/>
              </w:rPr>
            </w:pPr>
            <w:r w:rsidRPr="002A54AF">
              <w:rPr>
                <w:rFonts w:cs="Times New Roman"/>
                <w:sz w:val="22"/>
                <w:szCs w:val="22"/>
                <w:lang w:val="pt-PT"/>
              </w:rPr>
              <w:t>O voriconazol pode ser coadministrado com efavirenz se a dose de manutenção do voriconazol for aumentada para 400 mg BID e a dose de efavirenz for reduzida para 300 mg OD. Quando o tratamento com o voriconazol for interrompido, deve retomar-se a dose inicial de efavirenz (ver secç</w:t>
            </w:r>
            <w:r w:rsidR="00376167">
              <w:rPr>
                <w:rFonts w:cs="Times New Roman"/>
                <w:sz w:val="22"/>
                <w:szCs w:val="22"/>
                <w:lang w:val="pt-PT"/>
              </w:rPr>
              <w:t>ões</w:t>
            </w:r>
            <w:r w:rsidRPr="002A54AF">
              <w:rPr>
                <w:rFonts w:cs="Times New Roman"/>
                <w:sz w:val="22"/>
                <w:szCs w:val="22"/>
                <w:lang w:val="pt-PT"/>
              </w:rPr>
              <w:t> 4.2</w:t>
            </w:r>
            <w:r w:rsidR="00071ECF" w:rsidRPr="002A54AF">
              <w:rPr>
                <w:rFonts w:cs="Times New Roman"/>
                <w:sz w:val="22"/>
                <w:szCs w:val="22"/>
                <w:lang w:val="pt-PT"/>
              </w:rPr>
              <w:t xml:space="preserve"> e</w:t>
            </w:r>
            <w:r w:rsidR="00400419">
              <w:rPr>
                <w:rFonts w:cs="Times New Roman"/>
                <w:sz w:val="22"/>
                <w:szCs w:val="22"/>
                <w:lang w:val="pt-PT"/>
              </w:rPr>
              <w:t> </w:t>
            </w:r>
            <w:r w:rsidR="00071ECF" w:rsidRPr="002A54AF">
              <w:rPr>
                <w:rFonts w:cs="Times New Roman"/>
                <w:sz w:val="22"/>
                <w:szCs w:val="22"/>
                <w:lang w:val="pt-PT"/>
              </w:rPr>
              <w:t>4.4</w:t>
            </w:r>
            <w:r w:rsidRPr="002A54AF">
              <w:rPr>
                <w:rFonts w:cs="Times New Roman"/>
                <w:sz w:val="22"/>
                <w:szCs w:val="22"/>
                <w:lang w:val="pt-PT"/>
              </w:rPr>
              <w:t>).</w:t>
            </w:r>
          </w:p>
        </w:tc>
      </w:tr>
      <w:tr w:rsidR="00E72BDD" w:rsidRPr="002A54AF" w14:paraId="6428100B" w14:textId="77777777" w:rsidTr="00DB5F00">
        <w:tc>
          <w:tcPr>
            <w:tcW w:w="2880" w:type="dxa"/>
            <w:shd w:val="clear" w:color="auto" w:fill="auto"/>
          </w:tcPr>
          <w:p w14:paraId="3F43CA89" w14:textId="0E69FB79" w:rsidR="00E72BDD" w:rsidRPr="002A54AF" w:rsidRDefault="00E72BDD" w:rsidP="00DB5F00">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Alcaloídes da cravagem de centeio</w:t>
            </w:r>
            <w:r w:rsidRPr="002A54AF">
              <w:rPr>
                <w:rFonts w:cs="Times New Roman"/>
                <w:b/>
                <w:sz w:val="22"/>
                <w:szCs w:val="22"/>
                <w:lang w:val="pt-PT"/>
              </w:rPr>
              <w:t xml:space="preserve"> </w:t>
            </w:r>
            <w:r w:rsidRPr="002A54AF">
              <w:rPr>
                <w:rFonts w:cs="Times New Roman"/>
                <w:sz w:val="22"/>
                <w:szCs w:val="22"/>
                <w:lang w:val="pt-PT"/>
              </w:rPr>
              <w:t>(</w:t>
            </w:r>
            <w:r w:rsidR="00376167" w:rsidRPr="00376167">
              <w:rPr>
                <w:rFonts w:cs="Times New Roman"/>
                <w:sz w:val="22"/>
                <w:szCs w:val="22"/>
                <w:lang w:val="pt-PT"/>
              </w:rPr>
              <w:t>incluindo, mas não limitado a</w:t>
            </w:r>
            <w:r w:rsidR="00376167">
              <w:rPr>
                <w:rFonts w:cs="Times New Roman"/>
                <w:sz w:val="22"/>
                <w:szCs w:val="22"/>
                <w:lang w:val="pt-PT"/>
              </w:rPr>
              <w:t xml:space="preserve">: </w:t>
            </w:r>
            <w:r w:rsidRPr="002A54AF">
              <w:rPr>
                <w:rFonts w:cs="Times New Roman"/>
                <w:sz w:val="22"/>
                <w:szCs w:val="22"/>
                <w:lang w:val="pt-PT"/>
              </w:rPr>
              <w:t>ergotamina e di-hidroergotamina)</w:t>
            </w:r>
            <w:r w:rsidRPr="002A54AF">
              <w:rPr>
                <w:rFonts w:cs="Times New Roman"/>
                <w:sz w:val="22"/>
                <w:szCs w:val="22"/>
                <w:lang w:val="pt-PT"/>
              </w:rPr>
              <w:br/>
            </w:r>
            <w:r w:rsidRPr="002A54AF">
              <w:rPr>
                <w:rFonts w:cs="Times New Roman"/>
                <w:i/>
                <w:sz w:val="22"/>
                <w:szCs w:val="22"/>
                <w:lang w:val="pt-PT"/>
              </w:rPr>
              <w:t>[substratos do CYP3A4]</w:t>
            </w:r>
          </w:p>
        </w:tc>
        <w:tc>
          <w:tcPr>
            <w:tcW w:w="3330" w:type="dxa"/>
            <w:shd w:val="clear" w:color="auto" w:fill="auto"/>
          </w:tcPr>
          <w:p w14:paraId="26BDC7CF" w14:textId="77777777" w:rsidR="00E72BDD" w:rsidRPr="002A54AF" w:rsidRDefault="00E72BDD" w:rsidP="00DB5F00">
            <w:pPr>
              <w:tabs>
                <w:tab w:val="left" w:pos="567"/>
              </w:tabs>
              <w:suppressAutoHyphens/>
              <w:rPr>
                <w:szCs w:val="22"/>
                <w:lang w:val="pt-PT"/>
              </w:rPr>
            </w:pPr>
            <w:r w:rsidRPr="002A54AF">
              <w:rPr>
                <w:szCs w:val="22"/>
                <w:lang w:val="pt-PT"/>
              </w:rPr>
              <w:t xml:space="preserve">Apesar de não ter sido estudado, o voriconazol pode aumentar as concentrações plasmáticas dos alcaloídes da cravagem do centeio e conduzir ao ergotismo. </w:t>
            </w:r>
          </w:p>
          <w:p w14:paraId="59A7191A" w14:textId="77777777" w:rsidR="00E72BDD" w:rsidRPr="002A54AF" w:rsidRDefault="00E72BDD" w:rsidP="00DB5F00">
            <w:pPr>
              <w:tabs>
                <w:tab w:val="left" w:pos="567"/>
              </w:tabs>
              <w:suppressAutoHyphens/>
              <w:rPr>
                <w:szCs w:val="22"/>
                <w:lang w:val="pt-PT"/>
              </w:rPr>
            </w:pPr>
          </w:p>
        </w:tc>
        <w:tc>
          <w:tcPr>
            <w:tcW w:w="2790" w:type="dxa"/>
            <w:shd w:val="clear" w:color="auto" w:fill="auto"/>
          </w:tcPr>
          <w:p w14:paraId="7A7AF087" w14:textId="77777777" w:rsidR="00E72BDD" w:rsidRPr="002A54AF" w:rsidRDefault="00E72BDD" w:rsidP="00DB5F00">
            <w:pPr>
              <w:pStyle w:val="TableText"/>
              <w:overflowPunct w:val="0"/>
              <w:autoSpaceDE w:val="0"/>
              <w:autoSpaceDN w:val="0"/>
              <w:adjustRightInd w:val="0"/>
              <w:textAlignment w:val="baseline"/>
              <w:rPr>
                <w:rFonts w:cs="Times New Roman"/>
                <w:b/>
                <w:sz w:val="22"/>
                <w:szCs w:val="22"/>
                <w:lang w:val="pt-PT"/>
              </w:rPr>
            </w:pPr>
          </w:p>
          <w:p w14:paraId="596A756F"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rPr>
            </w:pPr>
            <w:r w:rsidRPr="002A54AF">
              <w:rPr>
                <w:rFonts w:cs="Times New Roman"/>
                <w:b/>
                <w:sz w:val="22"/>
                <w:szCs w:val="22"/>
              </w:rPr>
              <w:t>Contraindicado</w:t>
            </w:r>
            <w:r w:rsidRPr="002A54AF">
              <w:rPr>
                <w:rFonts w:cs="Times New Roman"/>
                <w:sz w:val="22"/>
                <w:szCs w:val="22"/>
              </w:rPr>
              <w:t xml:space="preserve"> (ver secção 4.3)</w:t>
            </w:r>
          </w:p>
        </w:tc>
      </w:tr>
      <w:tr w:rsidR="00DF255B" w:rsidRPr="002A54AF" w14:paraId="63C87333" w14:textId="77777777" w:rsidTr="00DB5F00">
        <w:tc>
          <w:tcPr>
            <w:tcW w:w="2880" w:type="dxa"/>
            <w:shd w:val="clear" w:color="auto" w:fill="auto"/>
          </w:tcPr>
          <w:p w14:paraId="6FFC6556" w14:textId="77777777" w:rsidR="00DF255B" w:rsidRPr="00DF255B" w:rsidRDefault="00DF255B" w:rsidP="00DF255B">
            <w:pPr>
              <w:pStyle w:val="TableText"/>
              <w:tabs>
                <w:tab w:val="left" w:pos="360"/>
              </w:tabs>
              <w:overflowPunct w:val="0"/>
              <w:autoSpaceDE w:val="0"/>
              <w:autoSpaceDN w:val="0"/>
              <w:adjustRightInd w:val="0"/>
              <w:textAlignment w:val="baseline"/>
              <w:rPr>
                <w:rFonts w:cs="Times New Roman"/>
                <w:sz w:val="22"/>
                <w:szCs w:val="22"/>
                <w:lang w:val="pt-PT"/>
              </w:rPr>
            </w:pPr>
            <w:r w:rsidRPr="00DF255B">
              <w:rPr>
                <w:rFonts w:cs="Times New Roman"/>
                <w:sz w:val="22"/>
                <w:szCs w:val="22"/>
                <w:lang w:val="pt-PT"/>
              </w:rPr>
              <w:t>Lurasidona</w:t>
            </w:r>
          </w:p>
          <w:p w14:paraId="40C8914C" w14:textId="77777777" w:rsidR="00DF255B" w:rsidRPr="00EF6A1B" w:rsidRDefault="00DF255B" w:rsidP="00DF255B">
            <w:pPr>
              <w:pStyle w:val="TableText"/>
              <w:tabs>
                <w:tab w:val="left" w:pos="360"/>
              </w:tabs>
              <w:overflowPunct w:val="0"/>
              <w:autoSpaceDE w:val="0"/>
              <w:autoSpaceDN w:val="0"/>
              <w:adjustRightInd w:val="0"/>
              <w:textAlignment w:val="baseline"/>
              <w:rPr>
                <w:rFonts w:cs="Times New Roman"/>
                <w:i/>
                <w:iCs/>
                <w:sz w:val="22"/>
                <w:szCs w:val="22"/>
                <w:lang w:val="pt-PT"/>
              </w:rPr>
            </w:pPr>
            <w:r w:rsidRPr="00EF6A1B">
              <w:rPr>
                <w:rFonts w:cs="Times New Roman"/>
                <w:i/>
                <w:iCs/>
                <w:sz w:val="22"/>
                <w:szCs w:val="22"/>
                <w:lang w:val="pt-PT"/>
              </w:rPr>
              <w:t>[substrato do CYP3A4]</w:t>
            </w:r>
          </w:p>
        </w:tc>
        <w:tc>
          <w:tcPr>
            <w:tcW w:w="3330" w:type="dxa"/>
            <w:shd w:val="clear" w:color="auto" w:fill="auto"/>
          </w:tcPr>
          <w:p w14:paraId="697AF097" w14:textId="77777777" w:rsidR="00DF255B" w:rsidRPr="00DF255B" w:rsidRDefault="00DF255B" w:rsidP="00DF255B">
            <w:pPr>
              <w:tabs>
                <w:tab w:val="left" w:pos="567"/>
              </w:tabs>
              <w:suppressAutoHyphens/>
              <w:rPr>
                <w:szCs w:val="22"/>
                <w:lang w:val="pt-PT"/>
              </w:rPr>
            </w:pPr>
            <w:r w:rsidRPr="00DF255B">
              <w:rPr>
                <w:szCs w:val="22"/>
                <w:lang w:val="pt-PT"/>
              </w:rPr>
              <w:t>Apesar de não ter sido estudado, é</w:t>
            </w:r>
            <w:r>
              <w:rPr>
                <w:szCs w:val="22"/>
                <w:lang w:val="pt-PT"/>
              </w:rPr>
              <w:t xml:space="preserve"> </w:t>
            </w:r>
            <w:r w:rsidRPr="00DF255B">
              <w:rPr>
                <w:szCs w:val="22"/>
                <w:lang w:val="pt-PT"/>
              </w:rPr>
              <w:t>provável que o voriconazol</w:t>
            </w:r>
            <w:r>
              <w:rPr>
                <w:szCs w:val="22"/>
                <w:lang w:val="pt-PT"/>
              </w:rPr>
              <w:t xml:space="preserve"> </w:t>
            </w:r>
            <w:r w:rsidRPr="00DF255B">
              <w:rPr>
                <w:szCs w:val="22"/>
                <w:lang w:val="pt-PT"/>
              </w:rPr>
              <w:t>aumente</w:t>
            </w:r>
            <w:r>
              <w:rPr>
                <w:szCs w:val="22"/>
                <w:lang w:val="pt-PT"/>
              </w:rPr>
              <w:t xml:space="preserve"> </w:t>
            </w:r>
            <w:r w:rsidRPr="00DF255B">
              <w:rPr>
                <w:szCs w:val="22"/>
                <w:lang w:val="pt-PT"/>
              </w:rPr>
              <w:t>significativamente as concentrações</w:t>
            </w:r>
            <w:r>
              <w:rPr>
                <w:szCs w:val="22"/>
                <w:lang w:val="pt-PT"/>
              </w:rPr>
              <w:t xml:space="preserve"> </w:t>
            </w:r>
            <w:r w:rsidRPr="00DF255B">
              <w:rPr>
                <w:szCs w:val="22"/>
                <w:lang w:val="pt-PT"/>
              </w:rPr>
              <w:t>plasmáticas de lurasidona.</w:t>
            </w:r>
          </w:p>
        </w:tc>
        <w:tc>
          <w:tcPr>
            <w:tcW w:w="2790" w:type="dxa"/>
            <w:shd w:val="clear" w:color="auto" w:fill="auto"/>
          </w:tcPr>
          <w:p w14:paraId="2C6CC4D9" w14:textId="77777777" w:rsidR="00DF255B" w:rsidRPr="002A54AF" w:rsidRDefault="00DF255B" w:rsidP="00DB5F00">
            <w:pPr>
              <w:pStyle w:val="TableText"/>
              <w:overflowPunct w:val="0"/>
              <w:autoSpaceDE w:val="0"/>
              <w:autoSpaceDN w:val="0"/>
              <w:adjustRightInd w:val="0"/>
              <w:textAlignment w:val="baseline"/>
              <w:rPr>
                <w:rFonts w:cs="Times New Roman"/>
                <w:b/>
                <w:sz w:val="22"/>
                <w:szCs w:val="22"/>
                <w:lang w:val="pt-PT"/>
              </w:rPr>
            </w:pPr>
            <w:r w:rsidRPr="002A54AF">
              <w:rPr>
                <w:rFonts w:cs="Times New Roman"/>
                <w:b/>
                <w:sz w:val="22"/>
                <w:szCs w:val="22"/>
              </w:rPr>
              <w:t>Contraindicado</w:t>
            </w:r>
            <w:r w:rsidRPr="002A54AF">
              <w:rPr>
                <w:rFonts w:cs="Times New Roman"/>
                <w:sz w:val="22"/>
                <w:szCs w:val="22"/>
              </w:rPr>
              <w:t xml:space="preserve"> (ver secção 4.3)</w:t>
            </w:r>
          </w:p>
        </w:tc>
      </w:tr>
      <w:tr w:rsidR="00DF255B" w:rsidRPr="002A54AF" w14:paraId="1EE44989" w14:textId="77777777" w:rsidTr="00DB5F00">
        <w:tc>
          <w:tcPr>
            <w:tcW w:w="2880" w:type="dxa"/>
            <w:shd w:val="clear" w:color="auto" w:fill="auto"/>
          </w:tcPr>
          <w:p w14:paraId="1BF8587A" w14:textId="77777777" w:rsidR="00DF255B" w:rsidRPr="00DF255B" w:rsidRDefault="00DF255B" w:rsidP="00DF255B">
            <w:pPr>
              <w:pStyle w:val="TableText"/>
              <w:tabs>
                <w:tab w:val="left" w:pos="360"/>
              </w:tabs>
              <w:overflowPunct w:val="0"/>
              <w:autoSpaceDE w:val="0"/>
              <w:autoSpaceDN w:val="0"/>
              <w:adjustRightInd w:val="0"/>
              <w:textAlignment w:val="baseline"/>
              <w:rPr>
                <w:rFonts w:cs="Times New Roman"/>
                <w:sz w:val="22"/>
                <w:szCs w:val="22"/>
                <w:lang w:val="pt-PT"/>
              </w:rPr>
            </w:pPr>
            <w:r w:rsidRPr="00DF255B">
              <w:rPr>
                <w:rFonts w:cs="Times New Roman"/>
                <w:sz w:val="22"/>
                <w:szCs w:val="22"/>
                <w:lang w:val="pt-PT"/>
              </w:rPr>
              <w:t>Naloxegol</w:t>
            </w:r>
          </w:p>
          <w:p w14:paraId="2166F7D8" w14:textId="77777777" w:rsidR="00DF255B" w:rsidRPr="00EF6A1B" w:rsidRDefault="00DF255B" w:rsidP="00DF255B">
            <w:pPr>
              <w:pStyle w:val="TableText"/>
              <w:tabs>
                <w:tab w:val="left" w:pos="360"/>
              </w:tabs>
              <w:overflowPunct w:val="0"/>
              <w:autoSpaceDE w:val="0"/>
              <w:autoSpaceDN w:val="0"/>
              <w:adjustRightInd w:val="0"/>
              <w:textAlignment w:val="baseline"/>
              <w:rPr>
                <w:rFonts w:cs="Times New Roman"/>
                <w:i/>
                <w:iCs/>
                <w:sz w:val="22"/>
                <w:szCs w:val="22"/>
                <w:lang w:val="pt-PT"/>
              </w:rPr>
            </w:pPr>
            <w:r w:rsidRPr="00EF6A1B">
              <w:rPr>
                <w:rFonts w:cs="Times New Roman"/>
                <w:i/>
                <w:iCs/>
                <w:sz w:val="22"/>
                <w:szCs w:val="22"/>
                <w:lang w:val="pt-PT"/>
              </w:rPr>
              <w:t>[substrato do CYP3A4]</w:t>
            </w:r>
          </w:p>
        </w:tc>
        <w:tc>
          <w:tcPr>
            <w:tcW w:w="3330" w:type="dxa"/>
            <w:shd w:val="clear" w:color="auto" w:fill="auto"/>
          </w:tcPr>
          <w:p w14:paraId="063EE3CD" w14:textId="77777777" w:rsidR="00DF255B" w:rsidRPr="00DF255B" w:rsidRDefault="00DF255B" w:rsidP="00DF255B">
            <w:pPr>
              <w:tabs>
                <w:tab w:val="left" w:pos="567"/>
              </w:tabs>
              <w:suppressAutoHyphens/>
              <w:rPr>
                <w:szCs w:val="22"/>
                <w:lang w:val="pt-PT"/>
              </w:rPr>
            </w:pPr>
            <w:r w:rsidRPr="00DF255B">
              <w:rPr>
                <w:szCs w:val="22"/>
                <w:lang w:val="pt-PT"/>
              </w:rPr>
              <w:t>Apesar de não ter sido estudado, é</w:t>
            </w:r>
            <w:r>
              <w:rPr>
                <w:szCs w:val="22"/>
                <w:lang w:val="pt-PT"/>
              </w:rPr>
              <w:t xml:space="preserve"> </w:t>
            </w:r>
            <w:r w:rsidRPr="00DF255B">
              <w:rPr>
                <w:szCs w:val="22"/>
                <w:lang w:val="pt-PT"/>
              </w:rPr>
              <w:t>provável que o voriconazol</w:t>
            </w:r>
            <w:r>
              <w:rPr>
                <w:szCs w:val="22"/>
                <w:lang w:val="pt-PT"/>
              </w:rPr>
              <w:t xml:space="preserve"> </w:t>
            </w:r>
            <w:r w:rsidRPr="00DF255B">
              <w:rPr>
                <w:szCs w:val="22"/>
                <w:lang w:val="pt-PT"/>
              </w:rPr>
              <w:t>aumente</w:t>
            </w:r>
            <w:r>
              <w:rPr>
                <w:szCs w:val="22"/>
                <w:lang w:val="pt-PT"/>
              </w:rPr>
              <w:t xml:space="preserve"> </w:t>
            </w:r>
            <w:r w:rsidRPr="00DF255B">
              <w:rPr>
                <w:szCs w:val="22"/>
                <w:lang w:val="pt-PT"/>
              </w:rPr>
              <w:t>significativamente as concentrações</w:t>
            </w:r>
            <w:r>
              <w:rPr>
                <w:szCs w:val="22"/>
                <w:lang w:val="pt-PT"/>
              </w:rPr>
              <w:t xml:space="preserve"> </w:t>
            </w:r>
            <w:r w:rsidRPr="00DF255B">
              <w:rPr>
                <w:szCs w:val="22"/>
                <w:lang w:val="pt-PT"/>
              </w:rPr>
              <w:t>plasmáticas de naloxegol.</w:t>
            </w:r>
          </w:p>
        </w:tc>
        <w:tc>
          <w:tcPr>
            <w:tcW w:w="2790" w:type="dxa"/>
            <w:shd w:val="clear" w:color="auto" w:fill="auto"/>
          </w:tcPr>
          <w:p w14:paraId="35B5EA24" w14:textId="77777777" w:rsidR="00DF255B" w:rsidRPr="002A54AF" w:rsidRDefault="00DF255B" w:rsidP="00DB5F00">
            <w:pPr>
              <w:pStyle w:val="TableText"/>
              <w:overflowPunct w:val="0"/>
              <w:autoSpaceDE w:val="0"/>
              <w:autoSpaceDN w:val="0"/>
              <w:adjustRightInd w:val="0"/>
              <w:textAlignment w:val="baseline"/>
              <w:rPr>
                <w:rFonts w:cs="Times New Roman"/>
                <w:b/>
                <w:sz w:val="22"/>
                <w:szCs w:val="22"/>
                <w:lang w:val="pt-PT"/>
              </w:rPr>
            </w:pPr>
            <w:r w:rsidRPr="002A54AF">
              <w:rPr>
                <w:rFonts w:cs="Times New Roman"/>
                <w:b/>
                <w:sz w:val="22"/>
                <w:szCs w:val="22"/>
              </w:rPr>
              <w:t>Contraindicado</w:t>
            </w:r>
            <w:r w:rsidRPr="002A54AF">
              <w:rPr>
                <w:rFonts w:cs="Times New Roman"/>
                <w:sz w:val="22"/>
                <w:szCs w:val="22"/>
              </w:rPr>
              <w:t xml:space="preserve"> (ver secção 4.3)</w:t>
            </w:r>
          </w:p>
        </w:tc>
      </w:tr>
      <w:tr w:rsidR="00E72BDD" w:rsidRPr="00376167" w14:paraId="294FB75A" w14:textId="77777777" w:rsidTr="00DB5F00">
        <w:tc>
          <w:tcPr>
            <w:tcW w:w="2880" w:type="dxa"/>
            <w:shd w:val="clear" w:color="auto" w:fill="auto"/>
          </w:tcPr>
          <w:p w14:paraId="36E5DA2C" w14:textId="77777777" w:rsidR="00E72BDD" w:rsidRPr="002A54AF" w:rsidRDefault="00E72BDD" w:rsidP="00DB5F00">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Rifabutina</w:t>
            </w:r>
          </w:p>
          <w:p w14:paraId="2AEF95D0" w14:textId="77777777" w:rsidR="00E72BDD" w:rsidRPr="002A54AF" w:rsidRDefault="00E72BDD" w:rsidP="00DB5F00">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i/>
                <w:sz w:val="22"/>
                <w:szCs w:val="22"/>
                <w:lang w:val="pt-PT"/>
              </w:rPr>
              <w:t>[potente indutor do CYP450]</w:t>
            </w:r>
          </w:p>
          <w:p w14:paraId="44531F82"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43EC9AFD"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300 mg OD </w:t>
            </w:r>
          </w:p>
          <w:p w14:paraId="6702B0CD"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6D45A0F4"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233CB3D8"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vertAlign w:val="superscript"/>
                <w:lang w:val="pt-PT"/>
              </w:rPr>
            </w:pPr>
            <w:r w:rsidRPr="002A54AF">
              <w:rPr>
                <w:rFonts w:cs="Times New Roman"/>
                <w:sz w:val="22"/>
                <w:szCs w:val="22"/>
                <w:lang w:val="pt-PT"/>
              </w:rPr>
              <w:t>300 mg OD (coadministrado com 350 mg BID de voriconazol)</w:t>
            </w:r>
            <w:r w:rsidRPr="002A54AF">
              <w:rPr>
                <w:rFonts w:cs="Times New Roman"/>
                <w:sz w:val="22"/>
                <w:szCs w:val="22"/>
                <w:vertAlign w:val="superscript"/>
                <w:lang w:val="pt-PT"/>
              </w:rPr>
              <w:t>*</w:t>
            </w:r>
          </w:p>
          <w:p w14:paraId="6ACC1B0A"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333649F7"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44C061F8"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237B4DBF"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4C626C62"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it-IT"/>
              </w:rPr>
            </w:pPr>
            <w:r w:rsidRPr="002A54AF">
              <w:rPr>
                <w:rFonts w:cs="Times New Roman"/>
                <w:sz w:val="22"/>
                <w:szCs w:val="22"/>
                <w:lang w:val="pt-PT"/>
              </w:rPr>
              <w:lastRenderedPageBreak/>
              <w:t>300 mg OD (coadministrado com 400 mg BID de voriconazol)</w:t>
            </w:r>
            <w:r w:rsidRPr="002A54AF">
              <w:rPr>
                <w:rFonts w:cs="Times New Roman"/>
                <w:sz w:val="22"/>
                <w:szCs w:val="22"/>
                <w:vertAlign w:val="superscript"/>
                <w:lang w:val="pt-PT"/>
              </w:rPr>
              <w:t>*</w:t>
            </w:r>
          </w:p>
        </w:tc>
        <w:tc>
          <w:tcPr>
            <w:tcW w:w="3330" w:type="dxa"/>
            <w:shd w:val="clear" w:color="auto" w:fill="auto"/>
          </w:tcPr>
          <w:p w14:paraId="76E4B6D4"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p>
          <w:p w14:paraId="3F46CAF1"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p>
          <w:p w14:paraId="19E456FF"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p>
          <w:p w14:paraId="67EA2723"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Voriconazol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rPr>
              <w:sym w:font="Symbol" w:char="F0AF"/>
            </w:r>
            <w:r w:rsidRPr="002A54AF">
              <w:rPr>
                <w:rFonts w:cs="Times New Roman"/>
                <w:sz w:val="22"/>
                <w:szCs w:val="22"/>
                <w:lang w:val="pt-PT"/>
              </w:rPr>
              <w:t xml:space="preserve"> 69%</w:t>
            </w:r>
            <w:r w:rsidRPr="002A54AF">
              <w:rPr>
                <w:rFonts w:cs="Times New Roman"/>
                <w:sz w:val="22"/>
                <w:szCs w:val="22"/>
                <w:lang w:val="pt-PT"/>
              </w:rPr>
              <w:br/>
              <w:t>Voriconazol AUC</w:t>
            </w:r>
            <w:r w:rsidRPr="002A54AF">
              <w:rPr>
                <w:rFonts w:cs="Times New Roman"/>
                <w:sz w:val="22"/>
                <w:szCs w:val="22"/>
              </w:rPr>
              <w:sym w:font="Symbol" w:char="F074"/>
            </w:r>
            <w:r w:rsidRPr="002A54AF">
              <w:rPr>
                <w:rFonts w:cs="Times New Roman"/>
                <w:sz w:val="22"/>
                <w:szCs w:val="22"/>
                <w:lang w:val="pt-PT"/>
              </w:rPr>
              <w:t xml:space="preserve"> </w:t>
            </w:r>
            <w:r w:rsidRPr="002A54AF">
              <w:rPr>
                <w:rFonts w:cs="Times New Roman"/>
                <w:sz w:val="22"/>
                <w:szCs w:val="22"/>
              </w:rPr>
              <w:sym w:font="Symbol" w:char="F0AF"/>
            </w:r>
            <w:r w:rsidRPr="002A54AF">
              <w:rPr>
                <w:rFonts w:cs="Times New Roman"/>
                <w:sz w:val="22"/>
                <w:szCs w:val="22"/>
                <w:lang w:val="pt-PT"/>
              </w:rPr>
              <w:t xml:space="preserve"> 78%</w:t>
            </w:r>
          </w:p>
          <w:p w14:paraId="1CEC53E4"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p>
          <w:p w14:paraId="315B1411"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Comparando com 200 mg BID de voriconazol,</w:t>
            </w:r>
          </w:p>
          <w:p w14:paraId="0E1D9989"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Voriconazol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rPr>
              <w:sym w:font="Symbol" w:char="F0AF"/>
            </w:r>
            <w:r w:rsidRPr="002A54AF">
              <w:rPr>
                <w:rFonts w:cs="Times New Roman"/>
                <w:sz w:val="22"/>
                <w:szCs w:val="22"/>
                <w:lang w:val="pt-PT"/>
              </w:rPr>
              <w:t xml:space="preserve"> 4%</w:t>
            </w:r>
            <w:r w:rsidRPr="002A54AF">
              <w:rPr>
                <w:rFonts w:cs="Times New Roman"/>
                <w:sz w:val="22"/>
                <w:szCs w:val="22"/>
                <w:lang w:val="pt-PT"/>
              </w:rPr>
              <w:br/>
              <w:t>Voriconazol AUC</w:t>
            </w:r>
            <w:r w:rsidRPr="002A54AF">
              <w:rPr>
                <w:rFonts w:cs="Times New Roman"/>
                <w:sz w:val="22"/>
                <w:szCs w:val="22"/>
              </w:rPr>
              <w:sym w:font="Symbol" w:char="F074"/>
            </w:r>
            <w:r w:rsidRPr="002A54AF">
              <w:rPr>
                <w:rFonts w:cs="Times New Roman"/>
                <w:sz w:val="22"/>
                <w:szCs w:val="22"/>
                <w:lang w:val="pt-PT"/>
              </w:rPr>
              <w:t xml:space="preserve"> </w:t>
            </w:r>
            <w:r w:rsidRPr="002A54AF">
              <w:rPr>
                <w:rFonts w:cs="Times New Roman"/>
                <w:sz w:val="22"/>
                <w:szCs w:val="22"/>
              </w:rPr>
              <w:sym w:font="Symbol" w:char="F0AF"/>
            </w:r>
            <w:r w:rsidRPr="002A54AF">
              <w:rPr>
                <w:rFonts w:cs="Times New Roman"/>
                <w:sz w:val="22"/>
                <w:szCs w:val="22"/>
                <w:lang w:val="pt-PT"/>
              </w:rPr>
              <w:t xml:space="preserve"> 32% </w:t>
            </w:r>
          </w:p>
          <w:p w14:paraId="2097C994"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p>
          <w:p w14:paraId="7A1CFE11"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p>
          <w:p w14:paraId="454BC112"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p>
          <w:p w14:paraId="063AA2CA"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lastRenderedPageBreak/>
              <w:t>Rifabutina C</w:t>
            </w:r>
            <w:r w:rsidRPr="002A54AF">
              <w:rPr>
                <w:rFonts w:cs="Times New Roman"/>
                <w:sz w:val="22"/>
                <w:szCs w:val="22"/>
                <w:vertAlign w:val="subscript"/>
                <w:lang w:val="pt-PT"/>
              </w:rPr>
              <w:t>max</w:t>
            </w:r>
            <w:r w:rsidRPr="002A54AF">
              <w:rPr>
                <w:rFonts w:cs="Times New Roman"/>
                <w:sz w:val="22"/>
                <w:szCs w:val="22"/>
                <w:lang w:val="pt-PT"/>
              </w:rPr>
              <w:t xml:space="preserve"> </w:t>
            </w:r>
            <w:r w:rsidR="00071ECF" w:rsidRPr="002A54AF">
              <w:rPr>
                <w:rFonts w:cs="Times New Roman"/>
                <w:sz w:val="22"/>
                <w:szCs w:val="22"/>
                <w:lang w:val="en-GB"/>
              </w:rPr>
              <w:sym w:font="Symbol" w:char="F0AD"/>
            </w:r>
            <w:r w:rsidRPr="002A54AF">
              <w:rPr>
                <w:rFonts w:cs="Times New Roman"/>
                <w:sz w:val="22"/>
                <w:szCs w:val="22"/>
                <w:lang w:val="pt-PT"/>
              </w:rPr>
              <w:t xml:space="preserve"> 195%</w:t>
            </w:r>
            <w:r w:rsidRPr="002A54AF">
              <w:rPr>
                <w:rFonts w:cs="Times New Roman"/>
                <w:sz w:val="22"/>
                <w:szCs w:val="22"/>
                <w:lang w:val="pt-PT"/>
              </w:rPr>
              <w:br/>
              <w:t>Rifabutina AUC</w:t>
            </w:r>
            <w:r w:rsidRPr="002A54AF">
              <w:rPr>
                <w:rFonts w:cs="Times New Roman"/>
                <w:sz w:val="22"/>
                <w:szCs w:val="22"/>
              </w:rPr>
              <w:sym w:font="Symbol" w:char="F074"/>
            </w:r>
            <w:r w:rsidRPr="002A54AF">
              <w:rPr>
                <w:rFonts w:cs="Times New Roman"/>
                <w:sz w:val="22"/>
                <w:szCs w:val="22"/>
                <w:lang w:val="pt-PT"/>
              </w:rPr>
              <w:t xml:space="preserve"> </w:t>
            </w:r>
            <w:r w:rsidR="00071ECF" w:rsidRPr="002A54AF">
              <w:rPr>
                <w:rFonts w:cs="Times New Roman"/>
                <w:sz w:val="22"/>
                <w:szCs w:val="22"/>
                <w:lang w:val="en-GB"/>
              </w:rPr>
              <w:sym w:font="Symbol" w:char="F0AD"/>
            </w:r>
            <w:r w:rsidRPr="002A54AF">
              <w:rPr>
                <w:rFonts w:cs="Times New Roman"/>
                <w:sz w:val="22"/>
                <w:szCs w:val="22"/>
                <w:lang w:val="pt-PT"/>
              </w:rPr>
              <w:t xml:space="preserve"> 331%</w:t>
            </w:r>
          </w:p>
          <w:p w14:paraId="1283CB4B"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Comparando com 200 mg BID de voriconazol,</w:t>
            </w:r>
          </w:p>
          <w:p w14:paraId="651AC0A7" w14:textId="77777777" w:rsidR="00E72BDD" w:rsidRPr="002A54AF" w:rsidRDefault="00E72BDD" w:rsidP="00DB5F00">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Voriconazol C</w:t>
            </w:r>
            <w:r w:rsidRPr="002A54AF">
              <w:rPr>
                <w:rFonts w:cs="Times New Roman"/>
                <w:sz w:val="22"/>
                <w:szCs w:val="22"/>
                <w:vertAlign w:val="subscript"/>
                <w:lang w:val="pt-PT"/>
              </w:rPr>
              <w:t>max</w:t>
            </w:r>
            <w:r w:rsidRPr="002A54AF">
              <w:rPr>
                <w:rFonts w:cs="Times New Roman"/>
                <w:sz w:val="22"/>
                <w:szCs w:val="22"/>
                <w:lang w:val="pt-PT"/>
              </w:rPr>
              <w:t xml:space="preserve"> </w:t>
            </w:r>
            <w:r w:rsidR="00071ECF" w:rsidRPr="002A54AF">
              <w:rPr>
                <w:rFonts w:cs="Times New Roman"/>
                <w:sz w:val="22"/>
                <w:szCs w:val="22"/>
                <w:lang w:val="en-GB"/>
              </w:rPr>
              <w:sym w:font="Symbol" w:char="F0AD"/>
            </w:r>
            <w:r w:rsidRPr="002A54AF">
              <w:rPr>
                <w:rFonts w:cs="Times New Roman"/>
                <w:sz w:val="22"/>
                <w:szCs w:val="22"/>
                <w:lang w:val="pt-PT"/>
              </w:rPr>
              <w:t xml:space="preserve"> 104%</w:t>
            </w:r>
            <w:r w:rsidRPr="002A54AF">
              <w:rPr>
                <w:rFonts w:cs="Times New Roman"/>
                <w:sz w:val="22"/>
                <w:szCs w:val="22"/>
                <w:lang w:val="pt-PT"/>
              </w:rPr>
              <w:br/>
              <w:t>Voriconazol AUC</w:t>
            </w:r>
            <w:r w:rsidRPr="002A54AF">
              <w:rPr>
                <w:rFonts w:cs="Times New Roman"/>
                <w:sz w:val="22"/>
                <w:szCs w:val="22"/>
              </w:rPr>
              <w:sym w:font="Symbol" w:char="F074"/>
            </w:r>
            <w:r w:rsidRPr="002A54AF">
              <w:rPr>
                <w:rFonts w:cs="Times New Roman"/>
                <w:sz w:val="22"/>
                <w:szCs w:val="22"/>
                <w:lang w:val="pt-PT"/>
              </w:rPr>
              <w:t xml:space="preserve"> </w:t>
            </w:r>
            <w:r w:rsidR="00071ECF" w:rsidRPr="002A54AF">
              <w:rPr>
                <w:rFonts w:cs="Times New Roman"/>
                <w:sz w:val="22"/>
                <w:szCs w:val="22"/>
                <w:lang w:val="en-GB"/>
              </w:rPr>
              <w:sym w:font="Symbol" w:char="F0AD"/>
            </w:r>
            <w:r w:rsidRPr="002A54AF">
              <w:rPr>
                <w:rFonts w:cs="Times New Roman"/>
                <w:sz w:val="22"/>
                <w:szCs w:val="22"/>
                <w:lang w:val="pt-PT"/>
              </w:rPr>
              <w:t xml:space="preserve"> 87% </w:t>
            </w:r>
          </w:p>
          <w:p w14:paraId="4E5DC0A7" w14:textId="77777777" w:rsidR="00E72BDD" w:rsidRPr="002A54AF" w:rsidRDefault="00E72BDD" w:rsidP="00DB5F00">
            <w:pPr>
              <w:tabs>
                <w:tab w:val="left" w:pos="567"/>
              </w:tabs>
              <w:suppressAutoHyphens/>
              <w:rPr>
                <w:szCs w:val="22"/>
                <w:lang w:val="pt-PT"/>
              </w:rPr>
            </w:pPr>
          </w:p>
        </w:tc>
        <w:tc>
          <w:tcPr>
            <w:tcW w:w="2790" w:type="dxa"/>
            <w:shd w:val="clear" w:color="auto" w:fill="auto"/>
          </w:tcPr>
          <w:p w14:paraId="7DB4956A"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13D5000B" w14:textId="77777777" w:rsidR="00E72BDD" w:rsidRPr="002A54AF" w:rsidRDefault="00E72BDD" w:rsidP="00DB5F00">
            <w:pPr>
              <w:overflowPunct w:val="0"/>
              <w:autoSpaceDE w:val="0"/>
              <w:autoSpaceDN w:val="0"/>
              <w:adjustRightInd w:val="0"/>
              <w:textAlignment w:val="baseline"/>
              <w:rPr>
                <w:szCs w:val="22"/>
                <w:lang w:val="pt-PT"/>
              </w:rPr>
            </w:pPr>
          </w:p>
          <w:p w14:paraId="6D6F5546" w14:textId="77777777" w:rsidR="00E72BDD" w:rsidRPr="002A54AF" w:rsidRDefault="00E72BDD" w:rsidP="00DB5F00">
            <w:pPr>
              <w:overflowPunct w:val="0"/>
              <w:autoSpaceDE w:val="0"/>
              <w:autoSpaceDN w:val="0"/>
              <w:adjustRightInd w:val="0"/>
              <w:textAlignment w:val="baseline"/>
              <w:rPr>
                <w:szCs w:val="22"/>
                <w:lang w:val="pt-PT"/>
              </w:rPr>
            </w:pPr>
            <w:r w:rsidRPr="002A54AF">
              <w:rPr>
                <w:szCs w:val="22"/>
                <w:lang w:val="pt-PT"/>
              </w:rPr>
              <w:t>O uso concomitante de voriconazol e rifabutina deverá ser evitado, a menos que o benefício supere o risco.</w:t>
            </w:r>
          </w:p>
          <w:p w14:paraId="63274FDF" w14:textId="77777777" w:rsidR="00E72BDD" w:rsidRPr="002A54AF" w:rsidRDefault="00E72BDD" w:rsidP="00DB5F00">
            <w:pPr>
              <w:tabs>
                <w:tab w:val="left" w:pos="567"/>
              </w:tabs>
              <w:suppressAutoHyphens/>
              <w:rPr>
                <w:szCs w:val="22"/>
                <w:lang w:val="pt-PT"/>
              </w:rPr>
            </w:pPr>
            <w:r w:rsidRPr="002A54AF">
              <w:rPr>
                <w:szCs w:val="22"/>
                <w:lang w:val="pt-PT"/>
              </w:rPr>
              <w:t xml:space="preserve">A dose de manutenção do voriconazol pode ser aumentada para 5 mg/kg BID por via intravenosa ou para 200 mg a 350 mg por via oral, BID (100 mg a 200 mg por via oral BID em </w:t>
            </w:r>
            <w:r w:rsidRPr="002A54AF">
              <w:rPr>
                <w:szCs w:val="22"/>
                <w:lang w:val="pt-PT"/>
              </w:rPr>
              <w:lastRenderedPageBreak/>
              <w:t>doentes com peso inferior a 40 kg) (ver secção 4.2). Recomenda-se a monitorização cuidadosa da contagem de células sanguíneas e reações adversas à rifabutina (ex. uveíte), quando a rifabutina é coadministrada com o voriconazol.</w:t>
            </w:r>
          </w:p>
          <w:p w14:paraId="762FF826" w14:textId="77777777" w:rsidR="00E72BDD" w:rsidRPr="002A54AF" w:rsidRDefault="00E72BDD" w:rsidP="00DB5F00">
            <w:pPr>
              <w:pStyle w:val="TableText"/>
              <w:overflowPunct w:val="0"/>
              <w:autoSpaceDE w:val="0"/>
              <w:autoSpaceDN w:val="0"/>
              <w:adjustRightInd w:val="0"/>
              <w:textAlignment w:val="baseline"/>
              <w:rPr>
                <w:rFonts w:cs="Times New Roman"/>
                <w:b/>
                <w:sz w:val="22"/>
                <w:szCs w:val="22"/>
                <w:lang w:val="pt-PT"/>
              </w:rPr>
            </w:pPr>
          </w:p>
        </w:tc>
      </w:tr>
      <w:tr w:rsidR="00E72BDD" w:rsidRPr="002A54AF" w14:paraId="7A2BED98" w14:textId="77777777" w:rsidTr="00DB5F00">
        <w:tc>
          <w:tcPr>
            <w:tcW w:w="2880" w:type="dxa"/>
            <w:shd w:val="clear" w:color="auto" w:fill="auto"/>
          </w:tcPr>
          <w:p w14:paraId="7239C0BF"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lastRenderedPageBreak/>
              <w:t>Rifampicina (600 mg OD)</w:t>
            </w:r>
            <w:r w:rsidRPr="002A54AF">
              <w:rPr>
                <w:rFonts w:cs="Times New Roman"/>
                <w:sz w:val="22"/>
                <w:szCs w:val="22"/>
                <w:lang w:val="pt-PT"/>
              </w:rPr>
              <w:br/>
            </w:r>
            <w:r w:rsidRPr="002A54AF">
              <w:rPr>
                <w:rFonts w:cs="Times New Roman"/>
                <w:i/>
                <w:sz w:val="22"/>
                <w:szCs w:val="22"/>
                <w:lang w:val="pt-PT"/>
              </w:rPr>
              <w:t>[potente indutor do CYP450]</w:t>
            </w:r>
          </w:p>
        </w:tc>
        <w:tc>
          <w:tcPr>
            <w:tcW w:w="3330" w:type="dxa"/>
            <w:shd w:val="clear" w:color="auto" w:fill="auto"/>
          </w:tcPr>
          <w:p w14:paraId="2CA46369"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rPr>
            </w:pPr>
            <w:r w:rsidRPr="002A54AF">
              <w:rPr>
                <w:rFonts w:cs="Times New Roman"/>
                <w:sz w:val="22"/>
                <w:szCs w:val="22"/>
              </w:rPr>
              <w:t>Voriconazol C</w:t>
            </w:r>
            <w:r w:rsidRPr="002A54AF">
              <w:rPr>
                <w:rFonts w:cs="Times New Roman"/>
                <w:sz w:val="22"/>
                <w:szCs w:val="22"/>
                <w:vertAlign w:val="subscript"/>
              </w:rPr>
              <w:t>max</w:t>
            </w:r>
            <w:r w:rsidRPr="002A54AF">
              <w:rPr>
                <w:rFonts w:cs="Times New Roman"/>
                <w:sz w:val="22"/>
                <w:szCs w:val="22"/>
              </w:rPr>
              <w:t xml:space="preserve"> </w:t>
            </w:r>
            <w:r w:rsidR="00CA5BC4" w:rsidRPr="002A54AF">
              <w:rPr>
                <w:rFonts w:cs="Times New Roman"/>
                <w:sz w:val="22"/>
                <w:szCs w:val="22"/>
              </w:rPr>
              <w:sym w:font="Symbol" w:char="F0AF"/>
            </w:r>
            <w:r w:rsidRPr="002A54AF">
              <w:rPr>
                <w:rFonts w:cs="Times New Roman"/>
                <w:sz w:val="22"/>
                <w:szCs w:val="22"/>
              </w:rPr>
              <w:t xml:space="preserve"> 93%</w:t>
            </w:r>
            <w:r w:rsidRPr="002A54AF">
              <w:rPr>
                <w:rFonts w:cs="Times New Roman"/>
                <w:sz w:val="22"/>
                <w:szCs w:val="22"/>
              </w:rPr>
              <w:br/>
              <w:t xml:space="preserve">Voriconazol </w:t>
            </w:r>
            <w:r w:rsidRPr="002A54AF">
              <w:rPr>
                <w:rFonts w:cs="Times New Roman"/>
                <w:sz w:val="22"/>
                <w:szCs w:val="22"/>
                <w:lang w:val="pt-PT"/>
              </w:rPr>
              <w:t>AUC</w:t>
            </w:r>
            <w:r w:rsidRPr="002A54AF">
              <w:rPr>
                <w:rFonts w:cs="Times New Roman"/>
                <w:sz w:val="22"/>
                <w:szCs w:val="22"/>
              </w:rPr>
              <w:sym w:font="Symbol" w:char="F074"/>
            </w:r>
            <w:r w:rsidRPr="002A54AF">
              <w:rPr>
                <w:rFonts w:cs="Times New Roman"/>
                <w:sz w:val="22"/>
                <w:szCs w:val="22"/>
              </w:rPr>
              <w:t xml:space="preserve"> </w:t>
            </w:r>
            <w:r w:rsidR="00CA5BC4" w:rsidRPr="002A54AF">
              <w:rPr>
                <w:rFonts w:cs="Times New Roman"/>
                <w:sz w:val="22"/>
                <w:szCs w:val="22"/>
              </w:rPr>
              <w:sym w:font="Symbol" w:char="F0AF"/>
            </w:r>
            <w:r w:rsidRPr="002A54AF">
              <w:rPr>
                <w:rFonts w:cs="Times New Roman"/>
                <w:sz w:val="22"/>
                <w:szCs w:val="22"/>
              </w:rPr>
              <w:t xml:space="preserve"> 96%</w:t>
            </w:r>
          </w:p>
        </w:tc>
        <w:tc>
          <w:tcPr>
            <w:tcW w:w="2790" w:type="dxa"/>
            <w:shd w:val="clear" w:color="auto" w:fill="auto"/>
          </w:tcPr>
          <w:p w14:paraId="39868F15"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rPr>
            </w:pPr>
            <w:r w:rsidRPr="002A54AF">
              <w:rPr>
                <w:rFonts w:cs="Times New Roman"/>
                <w:b/>
                <w:sz w:val="22"/>
                <w:szCs w:val="22"/>
              </w:rPr>
              <w:t>Contraindicado</w:t>
            </w:r>
            <w:r w:rsidRPr="002A54AF">
              <w:rPr>
                <w:rFonts w:cs="Times New Roman"/>
                <w:sz w:val="22"/>
                <w:szCs w:val="22"/>
              </w:rPr>
              <w:t xml:space="preserve"> (ver secção</w:t>
            </w:r>
            <w:r w:rsidR="0017325D" w:rsidRPr="002A54AF">
              <w:rPr>
                <w:rFonts w:cs="Times New Roman"/>
                <w:sz w:val="22"/>
                <w:szCs w:val="22"/>
              </w:rPr>
              <w:t> </w:t>
            </w:r>
            <w:r w:rsidRPr="002A54AF">
              <w:rPr>
                <w:rFonts w:cs="Times New Roman"/>
                <w:sz w:val="22"/>
                <w:szCs w:val="22"/>
              </w:rPr>
              <w:t>4.3)</w:t>
            </w:r>
          </w:p>
        </w:tc>
      </w:tr>
      <w:tr w:rsidR="00E72BDD" w:rsidRPr="00376167" w14:paraId="3129097F" w14:textId="77777777" w:rsidTr="00DB5F00">
        <w:tc>
          <w:tcPr>
            <w:tcW w:w="2880" w:type="dxa"/>
            <w:shd w:val="clear" w:color="auto" w:fill="auto"/>
          </w:tcPr>
          <w:p w14:paraId="0246DFAD"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Ritonavir (inibidor da protease) </w:t>
            </w:r>
            <w:r w:rsidRPr="002A54AF">
              <w:rPr>
                <w:rFonts w:cs="Times New Roman"/>
                <w:sz w:val="22"/>
                <w:szCs w:val="22"/>
                <w:lang w:val="pt-PT"/>
              </w:rPr>
              <w:br/>
            </w:r>
            <w:r w:rsidRPr="002A54AF">
              <w:rPr>
                <w:rFonts w:cs="Times New Roman"/>
                <w:i/>
                <w:sz w:val="22"/>
                <w:szCs w:val="22"/>
                <w:lang w:val="pt-PT"/>
              </w:rPr>
              <w:t>[potente indutor do CYP450; inibidor e substrato do CYP3A4]</w:t>
            </w:r>
            <w:r w:rsidRPr="002A54AF">
              <w:rPr>
                <w:rFonts w:cs="Times New Roman"/>
                <w:sz w:val="22"/>
                <w:szCs w:val="22"/>
                <w:lang w:val="pt-PT"/>
              </w:rPr>
              <w:br/>
            </w:r>
          </w:p>
          <w:p w14:paraId="73FFA246"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Dose elevada (400 mg BID)</w:t>
            </w:r>
          </w:p>
          <w:p w14:paraId="31013AA3"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17335CA7"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2876398D"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5A8AA99E"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1499F29C"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Dose baixa (100 mg BID)</w:t>
            </w:r>
            <w:r w:rsidRPr="002A54AF">
              <w:rPr>
                <w:rFonts w:cs="Times New Roman"/>
                <w:sz w:val="22"/>
                <w:szCs w:val="22"/>
                <w:vertAlign w:val="superscript"/>
                <w:lang w:val="pt-PT"/>
              </w:rPr>
              <w:t>*</w:t>
            </w:r>
            <w:r w:rsidRPr="002A54AF">
              <w:rPr>
                <w:rFonts w:cs="Times New Roman"/>
                <w:sz w:val="22"/>
                <w:szCs w:val="22"/>
                <w:lang w:val="pt-PT"/>
              </w:rPr>
              <w:br/>
            </w:r>
          </w:p>
        </w:tc>
        <w:tc>
          <w:tcPr>
            <w:tcW w:w="3330" w:type="dxa"/>
            <w:shd w:val="clear" w:color="auto" w:fill="auto"/>
          </w:tcPr>
          <w:p w14:paraId="70FD06D6"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35FC3A7A"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285C222E"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7197F99A"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6E4F804E"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Ritonavir C</w:t>
            </w:r>
            <w:r w:rsidRPr="002A54AF">
              <w:rPr>
                <w:rFonts w:cs="Times New Roman"/>
                <w:sz w:val="22"/>
                <w:szCs w:val="22"/>
                <w:vertAlign w:val="subscript"/>
                <w:lang w:val="pt-PT"/>
              </w:rPr>
              <w:t>max</w:t>
            </w:r>
            <w:r w:rsidRPr="002A54AF">
              <w:rPr>
                <w:rFonts w:cs="Times New Roman"/>
                <w:sz w:val="22"/>
                <w:szCs w:val="22"/>
                <w:lang w:val="pt-PT"/>
              </w:rPr>
              <w:t xml:space="preserve"> e AUC</w:t>
            </w:r>
            <w:r w:rsidRPr="002A54AF">
              <w:rPr>
                <w:rFonts w:cs="Times New Roman"/>
                <w:sz w:val="22"/>
                <w:szCs w:val="22"/>
              </w:rPr>
              <w:sym w:font="Symbol" w:char="F074"/>
            </w:r>
            <w:r w:rsidRPr="002A54AF">
              <w:rPr>
                <w:rFonts w:cs="Times New Roman"/>
                <w:sz w:val="22"/>
                <w:szCs w:val="22"/>
                <w:lang w:val="pt-PT"/>
              </w:rPr>
              <w:t xml:space="preserve"> ↔</w:t>
            </w:r>
            <w:r w:rsidRPr="002A54AF">
              <w:rPr>
                <w:rFonts w:cs="Times New Roman"/>
                <w:sz w:val="22"/>
                <w:szCs w:val="22"/>
                <w:lang w:val="pt-PT"/>
              </w:rPr>
              <w:br/>
              <w:t>Voriconazol C</w:t>
            </w:r>
            <w:r w:rsidRPr="002A54AF">
              <w:rPr>
                <w:rFonts w:cs="Times New Roman"/>
                <w:sz w:val="22"/>
                <w:szCs w:val="22"/>
                <w:vertAlign w:val="subscript"/>
                <w:lang w:val="pt-PT"/>
              </w:rPr>
              <w:t>max</w:t>
            </w:r>
            <w:r w:rsidRPr="002A54AF">
              <w:rPr>
                <w:rFonts w:cs="Times New Roman"/>
                <w:sz w:val="22"/>
                <w:szCs w:val="22"/>
                <w:lang w:val="pt-PT"/>
              </w:rPr>
              <w:t xml:space="preserve"> </w:t>
            </w:r>
            <w:r w:rsidR="00CA5BC4" w:rsidRPr="002A54AF">
              <w:rPr>
                <w:rFonts w:cs="Times New Roman"/>
                <w:sz w:val="22"/>
                <w:szCs w:val="22"/>
              </w:rPr>
              <w:sym w:font="Symbol" w:char="F0AF"/>
            </w:r>
            <w:r w:rsidRPr="002A54AF">
              <w:rPr>
                <w:rFonts w:cs="Times New Roman"/>
                <w:sz w:val="22"/>
                <w:szCs w:val="22"/>
                <w:lang w:val="pt-PT"/>
              </w:rPr>
              <w:t xml:space="preserve"> 66%</w:t>
            </w:r>
            <w:r w:rsidRPr="002A54AF">
              <w:rPr>
                <w:rFonts w:cs="Times New Roman"/>
                <w:sz w:val="22"/>
                <w:szCs w:val="22"/>
                <w:lang w:val="pt-PT"/>
              </w:rPr>
              <w:br/>
              <w:t>Voriconazol AUC</w:t>
            </w:r>
            <w:r w:rsidRPr="002A54AF">
              <w:rPr>
                <w:rFonts w:cs="Times New Roman"/>
                <w:sz w:val="22"/>
                <w:szCs w:val="22"/>
              </w:rPr>
              <w:t>τ</w:t>
            </w:r>
            <w:r w:rsidRPr="002A54AF">
              <w:rPr>
                <w:rFonts w:cs="Times New Roman"/>
                <w:sz w:val="22"/>
                <w:szCs w:val="22"/>
                <w:lang w:val="pt-PT"/>
              </w:rPr>
              <w:t xml:space="preserve"> </w:t>
            </w:r>
            <w:r w:rsidR="00CA5BC4" w:rsidRPr="002A54AF">
              <w:rPr>
                <w:rFonts w:cs="Times New Roman"/>
                <w:sz w:val="22"/>
                <w:szCs w:val="22"/>
              </w:rPr>
              <w:sym w:font="Symbol" w:char="F0AF"/>
            </w:r>
            <w:r w:rsidRPr="002A54AF">
              <w:rPr>
                <w:rFonts w:cs="Times New Roman"/>
                <w:sz w:val="22"/>
                <w:szCs w:val="22"/>
                <w:lang w:val="pt-PT"/>
              </w:rPr>
              <w:t xml:space="preserve"> 82%</w:t>
            </w:r>
            <w:r w:rsidRPr="002A54AF">
              <w:rPr>
                <w:rFonts w:cs="Times New Roman"/>
                <w:sz w:val="22"/>
                <w:szCs w:val="22"/>
                <w:lang w:val="pt-PT"/>
              </w:rPr>
              <w:br/>
            </w:r>
          </w:p>
          <w:p w14:paraId="7AFA17CF" w14:textId="77777777" w:rsidR="00E72BDD" w:rsidRPr="002A54AF" w:rsidRDefault="00E72BDD" w:rsidP="00DB5F00">
            <w:pPr>
              <w:pStyle w:val="TableText"/>
              <w:tabs>
                <w:tab w:val="left" w:pos="2127"/>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ab/>
            </w:r>
          </w:p>
          <w:p w14:paraId="67705A8E"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Ritonavir C</w:t>
            </w:r>
            <w:r w:rsidRPr="002A54AF">
              <w:rPr>
                <w:rFonts w:cs="Times New Roman"/>
                <w:sz w:val="22"/>
                <w:szCs w:val="22"/>
                <w:vertAlign w:val="subscript"/>
                <w:lang w:val="pt-PT"/>
              </w:rPr>
              <w:t>max</w:t>
            </w:r>
            <w:r w:rsidRPr="002A54AF">
              <w:rPr>
                <w:rFonts w:cs="Times New Roman"/>
                <w:sz w:val="22"/>
                <w:szCs w:val="22"/>
                <w:lang w:val="pt-PT"/>
              </w:rPr>
              <w:t xml:space="preserve"> </w:t>
            </w:r>
            <w:r w:rsidR="00CA5BC4" w:rsidRPr="002A54AF">
              <w:rPr>
                <w:rFonts w:cs="Times New Roman"/>
                <w:sz w:val="22"/>
                <w:szCs w:val="22"/>
              </w:rPr>
              <w:sym w:font="Symbol" w:char="F0AF"/>
            </w:r>
            <w:r w:rsidRPr="002A54AF">
              <w:rPr>
                <w:rFonts w:cs="Times New Roman"/>
                <w:sz w:val="22"/>
                <w:szCs w:val="22"/>
                <w:lang w:val="pt-PT"/>
              </w:rPr>
              <w:t xml:space="preserve"> 25%</w:t>
            </w:r>
            <w:r w:rsidRPr="002A54AF">
              <w:rPr>
                <w:rFonts w:cs="Times New Roman"/>
                <w:sz w:val="22"/>
                <w:szCs w:val="22"/>
                <w:lang w:val="pt-PT"/>
              </w:rPr>
              <w:br/>
              <w:t>Ritonavir AUC</w:t>
            </w:r>
            <w:r w:rsidRPr="002A54AF">
              <w:rPr>
                <w:rFonts w:cs="Times New Roman"/>
                <w:sz w:val="22"/>
                <w:szCs w:val="22"/>
              </w:rPr>
              <w:t>τ</w:t>
            </w:r>
            <w:r w:rsidRPr="002A54AF">
              <w:rPr>
                <w:rFonts w:cs="Times New Roman"/>
                <w:sz w:val="22"/>
                <w:szCs w:val="22"/>
                <w:lang w:val="pt-PT"/>
              </w:rPr>
              <w:t xml:space="preserve"> </w:t>
            </w:r>
            <w:r w:rsidR="00CA5BC4" w:rsidRPr="002A54AF">
              <w:rPr>
                <w:rFonts w:cs="Times New Roman"/>
                <w:sz w:val="22"/>
                <w:szCs w:val="22"/>
              </w:rPr>
              <w:sym w:font="Symbol" w:char="F0AF"/>
            </w:r>
            <w:r w:rsidRPr="002A54AF">
              <w:rPr>
                <w:rFonts w:cs="Times New Roman"/>
                <w:sz w:val="22"/>
                <w:szCs w:val="22"/>
                <w:lang w:val="pt-PT"/>
              </w:rPr>
              <w:t>13%</w:t>
            </w:r>
            <w:r w:rsidRPr="002A54AF">
              <w:rPr>
                <w:rFonts w:cs="Times New Roman"/>
                <w:sz w:val="22"/>
                <w:szCs w:val="22"/>
                <w:lang w:val="pt-PT"/>
              </w:rPr>
              <w:br/>
              <w:t>Voriconazol C</w:t>
            </w:r>
            <w:r w:rsidRPr="002A54AF">
              <w:rPr>
                <w:rFonts w:cs="Times New Roman"/>
                <w:sz w:val="22"/>
                <w:szCs w:val="22"/>
                <w:vertAlign w:val="subscript"/>
                <w:lang w:val="pt-PT"/>
              </w:rPr>
              <w:t>max</w:t>
            </w:r>
            <w:r w:rsidRPr="002A54AF">
              <w:rPr>
                <w:rFonts w:cs="Times New Roman"/>
                <w:sz w:val="22"/>
                <w:szCs w:val="22"/>
                <w:lang w:val="pt-PT"/>
              </w:rPr>
              <w:t xml:space="preserve"> </w:t>
            </w:r>
            <w:r w:rsidR="00CA5BC4" w:rsidRPr="002A54AF">
              <w:rPr>
                <w:rFonts w:cs="Times New Roman"/>
                <w:sz w:val="22"/>
                <w:szCs w:val="22"/>
              </w:rPr>
              <w:sym w:font="Symbol" w:char="F0AF"/>
            </w:r>
            <w:r w:rsidRPr="002A54AF">
              <w:rPr>
                <w:rFonts w:cs="Times New Roman"/>
                <w:sz w:val="22"/>
                <w:szCs w:val="22"/>
                <w:lang w:val="pt-PT"/>
              </w:rPr>
              <w:t>24%</w:t>
            </w:r>
            <w:r w:rsidRPr="002A54AF">
              <w:rPr>
                <w:rFonts w:cs="Times New Roman"/>
                <w:sz w:val="22"/>
                <w:szCs w:val="22"/>
                <w:lang w:val="pt-PT"/>
              </w:rPr>
              <w:br/>
              <w:t>Voriconazol AUC</w:t>
            </w:r>
            <w:r w:rsidRPr="002A54AF">
              <w:rPr>
                <w:rFonts w:cs="Times New Roman"/>
                <w:sz w:val="22"/>
                <w:szCs w:val="22"/>
              </w:rPr>
              <w:t>τ</w:t>
            </w:r>
            <w:r w:rsidRPr="002A54AF">
              <w:rPr>
                <w:rFonts w:cs="Times New Roman"/>
                <w:sz w:val="22"/>
                <w:szCs w:val="22"/>
                <w:lang w:val="pt-PT"/>
              </w:rPr>
              <w:t xml:space="preserve"> </w:t>
            </w:r>
            <w:r w:rsidR="00CA5BC4" w:rsidRPr="002A54AF">
              <w:rPr>
                <w:rFonts w:cs="Times New Roman"/>
                <w:sz w:val="22"/>
                <w:szCs w:val="22"/>
              </w:rPr>
              <w:sym w:font="Symbol" w:char="F0AF"/>
            </w:r>
            <w:r w:rsidRPr="002A54AF">
              <w:rPr>
                <w:rFonts w:cs="Times New Roman"/>
                <w:sz w:val="22"/>
                <w:szCs w:val="22"/>
                <w:lang w:val="pt-PT"/>
              </w:rPr>
              <w:t xml:space="preserve"> 39%</w:t>
            </w:r>
          </w:p>
          <w:p w14:paraId="5C4EEB40"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5AA3E524"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5C9A8FAF"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tc>
        <w:tc>
          <w:tcPr>
            <w:tcW w:w="2790" w:type="dxa"/>
            <w:shd w:val="clear" w:color="auto" w:fill="auto"/>
          </w:tcPr>
          <w:p w14:paraId="30872536"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4BAB4D07"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05B6D92B"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52B5EF02"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A coadministração de voriconazol e doses elevadas de ritonavir (400 mg e superiores BID) é </w:t>
            </w:r>
            <w:r w:rsidRPr="002A54AF">
              <w:rPr>
                <w:rFonts w:cs="Times New Roman"/>
                <w:b/>
                <w:sz w:val="22"/>
                <w:szCs w:val="22"/>
                <w:lang w:val="pt-PT"/>
              </w:rPr>
              <w:t>contraindicada</w:t>
            </w:r>
            <w:r w:rsidRPr="002A54AF">
              <w:rPr>
                <w:rFonts w:cs="Times New Roman"/>
                <w:sz w:val="22"/>
                <w:szCs w:val="22"/>
                <w:lang w:val="pt-PT"/>
              </w:rPr>
              <w:t xml:space="preserve"> (ver secção 4.3).</w:t>
            </w:r>
          </w:p>
          <w:p w14:paraId="289EF5E5"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754C27AF"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A coadministração de voriconazol e doses baixas de ritonavir (100 mg BID) deve ser evitada, a não ser que a avaliação benefício/risco para o doente justifique a utilização de voriconazol.</w:t>
            </w:r>
          </w:p>
          <w:p w14:paraId="059B4815" w14:textId="77777777" w:rsidR="00E72BDD" w:rsidRPr="002A54AF" w:rsidRDefault="00E72BDD" w:rsidP="00DB5F00">
            <w:pPr>
              <w:pStyle w:val="TableText"/>
              <w:overflowPunct w:val="0"/>
              <w:autoSpaceDE w:val="0"/>
              <w:autoSpaceDN w:val="0"/>
              <w:adjustRightInd w:val="0"/>
              <w:textAlignment w:val="baseline"/>
              <w:rPr>
                <w:rFonts w:cs="Times New Roman"/>
                <w:b/>
                <w:sz w:val="22"/>
                <w:szCs w:val="22"/>
                <w:lang w:val="pt-PT"/>
              </w:rPr>
            </w:pPr>
            <w:r w:rsidRPr="002A54AF">
              <w:rPr>
                <w:rFonts w:cs="Times New Roman"/>
                <w:sz w:val="22"/>
                <w:szCs w:val="22"/>
                <w:lang w:val="pt-PT"/>
              </w:rPr>
              <w:t xml:space="preserve"> </w:t>
            </w:r>
          </w:p>
        </w:tc>
      </w:tr>
      <w:tr w:rsidR="00E72BDD" w:rsidRPr="002A54AF" w14:paraId="3835A0F1" w14:textId="77777777" w:rsidTr="00DB5F00">
        <w:tc>
          <w:tcPr>
            <w:tcW w:w="2880" w:type="dxa"/>
            <w:shd w:val="clear" w:color="auto" w:fill="auto"/>
          </w:tcPr>
          <w:p w14:paraId="0E5E2C00"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Hipericão</w:t>
            </w:r>
          </w:p>
          <w:p w14:paraId="4DCAADD4" w14:textId="77777777" w:rsidR="00E72BDD" w:rsidRPr="002A54AF" w:rsidRDefault="00E72BDD" w:rsidP="00DB5F00">
            <w:pPr>
              <w:pStyle w:val="TableText"/>
              <w:overflowPunct w:val="0"/>
              <w:autoSpaceDE w:val="0"/>
              <w:autoSpaceDN w:val="0"/>
              <w:adjustRightInd w:val="0"/>
              <w:textAlignment w:val="baseline"/>
              <w:rPr>
                <w:rFonts w:cs="Times New Roman"/>
                <w:i/>
                <w:sz w:val="22"/>
                <w:szCs w:val="22"/>
                <w:lang w:val="pt-PT"/>
              </w:rPr>
            </w:pPr>
            <w:r w:rsidRPr="002A54AF">
              <w:rPr>
                <w:rFonts w:cs="Times New Roman"/>
                <w:i/>
                <w:sz w:val="22"/>
                <w:szCs w:val="22"/>
                <w:lang w:val="pt-PT"/>
              </w:rPr>
              <w:t>[indutor do CYP450; indutor P-gp]</w:t>
            </w:r>
          </w:p>
          <w:p w14:paraId="737B6FD6"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300 mg TID (coadministrado com uma dose única de 400</w:t>
            </w:r>
            <w:r w:rsidR="0020636B" w:rsidRPr="002A54AF">
              <w:rPr>
                <w:rFonts w:cs="Times New Roman"/>
                <w:sz w:val="22"/>
                <w:szCs w:val="22"/>
                <w:lang w:val="pt-PT"/>
              </w:rPr>
              <w:t> </w:t>
            </w:r>
            <w:r w:rsidRPr="002A54AF">
              <w:rPr>
                <w:rFonts w:cs="Times New Roman"/>
                <w:sz w:val="22"/>
                <w:szCs w:val="22"/>
                <w:lang w:val="pt-PT"/>
              </w:rPr>
              <w:t>mg de voriconazol)</w:t>
            </w:r>
          </w:p>
        </w:tc>
        <w:tc>
          <w:tcPr>
            <w:tcW w:w="3330" w:type="dxa"/>
            <w:shd w:val="clear" w:color="auto" w:fill="auto"/>
          </w:tcPr>
          <w:p w14:paraId="617E4C11"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45391499"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p>
          <w:p w14:paraId="39D8050E"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Num estudo independente publicado, voriconazol AUC</w:t>
            </w:r>
            <w:r w:rsidR="00DC7013" w:rsidRPr="00CD5831">
              <w:rPr>
                <w:sz w:val="22"/>
                <w:szCs w:val="22"/>
                <w:vertAlign w:val="subscript"/>
                <w:lang w:val="sv-SE"/>
              </w:rPr>
              <w:t>0-</w:t>
            </w:r>
            <w:r w:rsidR="00DC7013" w:rsidRPr="00CD5831">
              <w:rPr>
                <w:sz w:val="22"/>
                <w:szCs w:val="22"/>
                <w:vertAlign w:val="subscript"/>
                <w:lang w:val="sv-SE"/>
              </w:rPr>
              <w:sym w:font="Symbol" w:char="F0A5"/>
            </w:r>
            <w:r w:rsidRPr="002A54AF">
              <w:rPr>
                <w:rFonts w:cs="Times New Roman"/>
                <w:sz w:val="22"/>
                <w:szCs w:val="22"/>
                <w:lang w:val="pt-PT"/>
              </w:rPr>
              <w:t xml:space="preserve"> </w:t>
            </w:r>
            <w:r w:rsidR="00CA5BC4" w:rsidRPr="002A54AF">
              <w:rPr>
                <w:rFonts w:cs="Times New Roman"/>
                <w:sz w:val="22"/>
                <w:szCs w:val="22"/>
              </w:rPr>
              <w:sym w:font="Symbol" w:char="F0AF"/>
            </w:r>
            <w:r w:rsidRPr="002A54AF">
              <w:rPr>
                <w:rFonts w:cs="Times New Roman"/>
                <w:sz w:val="22"/>
                <w:szCs w:val="22"/>
                <w:lang w:val="pt-PT"/>
              </w:rPr>
              <w:t xml:space="preserve"> 59%</w:t>
            </w:r>
          </w:p>
          <w:p w14:paraId="2F46AAE6" w14:textId="77777777" w:rsidR="00E72BDD" w:rsidRPr="002A54AF" w:rsidRDefault="00E72BDD" w:rsidP="00DB5F00">
            <w:pPr>
              <w:tabs>
                <w:tab w:val="left" w:pos="567"/>
              </w:tabs>
              <w:suppressAutoHyphens/>
              <w:rPr>
                <w:szCs w:val="22"/>
                <w:lang w:val="pt-PT"/>
              </w:rPr>
            </w:pPr>
          </w:p>
        </w:tc>
        <w:tc>
          <w:tcPr>
            <w:tcW w:w="2790" w:type="dxa"/>
            <w:shd w:val="clear" w:color="auto" w:fill="auto"/>
          </w:tcPr>
          <w:p w14:paraId="451717F7" w14:textId="77777777" w:rsidR="00E72BDD" w:rsidRPr="002A54AF" w:rsidRDefault="00E72BDD" w:rsidP="00DB5F00">
            <w:pPr>
              <w:pStyle w:val="TableText"/>
              <w:overflowPunct w:val="0"/>
              <w:autoSpaceDE w:val="0"/>
              <w:autoSpaceDN w:val="0"/>
              <w:adjustRightInd w:val="0"/>
              <w:textAlignment w:val="baseline"/>
              <w:rPr>
                <w:rFonts w:cs="Times New Roman"/>
                <w:b/>
                <w:sz w:val="22"/>
                <w:szCs w:val="22"/>
                <w:lang w:val="pt-PT"/>
              </w:rPr>
            </w:pPr>
          </w:p>
          <w:p w14:paraId="21FF337A" w14:textId="77777777" w:rsidR="00E72BDD" w:rsidRPr="002A54AF" w:rsidRDefault="00E72BDD" w:rsidP="00DB5F00">
            <w:pPr>
              <w:pStyle w:val="TableText"/>
              <w:overflowPunct w:val="0"/>
              <w:autoSpaceDE w:val="0"/>
              <w:autoSpaceDN w:val="0"/>
              <w:adjustRightInd w:val="0"/>
              <w:textAlignment w:val="baseline"/>
              <w:rPr>
                <w:rFonts w:cs="Times New Roman"/>
                <w:b/>
                <w:sz w:val="22"/>
                <w:szCs w:val="22"/>
                <w:lang w:val="pt-PT"/>
              </w:rPr>
            </w:pPr>
          </w:p>
          <w:p w14:paraId="56669381" w14:textId="77777777" w:rsidR="00E72BDD" w:rsidRPr="002A54AF" w:rsidRDefault="00E72BDD" w:rsidP="00DB5F00">
            <w:pPr>
              <w:pStyle w:val="TableText"/>
              <w:overflowPunct w:val="0"/>
              <w:autoSpaceDE w:val="0"/>
              <w:autoSpaceDN w:val="0"/>
              <w:adjustRightInd w:val="0"/>
              <w:textAlignment w:val="baseline"/>
              <w:rPr>
                <w:rFonts w:cs="Times New Roman"/>
                <w:sz w:val="22"/>
                <w:szCs w:val="22"/>
              </w:rPr>
            </w:pPr>
            <w:r w:rsidRPr="002A54AF">
              <w:rPr>
                <w:rFonts w:cs="Times New Roman"/>
                <w:b/>
                <w:sz w:val="22"/>
                <w:szCs w:val="22"/>
              </w:rPr>
              <w:t>Contraindicado</w:t>
            </w:r>
            <w:r w:rsidRPr="002A54AF">
              <w:rPr>
                <w:rFonts w:cs="Times New Roman"/>
                <w:sz w:val="22"/>
                <w:szCs w:val="22"/>
              </w:rPr>
              <w:t xml:space="preserve"> (ver secção 4.3)</w:t>
            </w:r>
          </w:p>
        </w:tc>
      </w:tr>
      <w:tr w:rsidR="00EE3F11" w:rsidRPr="002A54AF" w14:paraId="0AA9CE33" w14:textId="77777777" w:rsidTr="00DB5F00">
        <w:tc>
          <w:tcPr>
            <w:tcW w:w="2880" w:type="dxa"/>
            <w:shd w:val="clear" w:color="auto" w:fill="auto"/>
          </w:tcPr>
          <w:p w14:paraId="7C6C18A9" w14:textId="77777777" w:rsidR="00EE3F11" w:rsidRPr="00EE3F11" w:rsidRDefault="00EE3F11" w:rsidP="00EE3F11">
            <w:pPr>
              <w:pStyle w:val="TableText"/>
              <w:overflowPunct w:val="0"/>
              <w:autoSpaceDE w:val="0"/>
              <w:autoSpaceDN w:val="0"/>
              <w:adjustRightInd w:val="0"/>
              <w:textAlignment w:val="baseline"/>
              <w:rPr>
                <w:rFonts w:cs="Times New Roman"/>
                <w:sz w:val="22"/>
                <w:szCs w:val="22"/>
                <w:lang w:val="pt-PT"/>
              </w:rPr>
            </w:pPr>
            <w:r w:rsidRPr="00EE3F11">
              <w:rPr>
                <w:rFonts w:cs="Times New Roman"/>
                <w:sz w:val="22"/>
                <w:szCs w:val="22"/>
                <w:lang w:val="pt-PT"/>
              </w:rPr>
              <w:t>Tolvaptano</w:t>
            </w:r>
          </w:p>
          <w:p w14:paraId="59FB06CD" w14:textId="77777777" w:rsidR="00EE3F11" w:rsidRPr="00EF6A1B" w:rsidRDefault="00EE3F11" w:rsidP="00EE3F11">
            <w:pPr>
              <w:pStyle w:val="TableText"/>
              <w:overflowPunct w:val="0"/>
              <w:autoSpaceDE w:val="0"/>
              <w:autoSpaceDN w:val="0"/>
              <w:adjustRightInd w:val="0"/>
              <w:textAlignment w:val="baseline"/>
              <w:rPr>
                <w:rFonts w:cs="Times New Roman"/>
                <w:i/>
                <w:iCs/>
                <w:sz w:val="22"/>
                <w:szCs w:val="22"/>
                <w:lang w:val="pt-PT"/>
              </w:rPr>
            </w:pPr>
            <w:r w:rsidRPr="00EF6A1B">
              <w:rPr>
                <w:rFonts w:cs="Times New Roman"/>
                <w:i/>
                <w:iCs/>
                <w:sz w:val="22"/>
                <w:szCs w:val="22"/>
                <w:lang w:val="pt-PT"/>
              </w:rPr>
              <w:t>[substrato do CYP3A]</w:t>
            </w:r>
          </w:p>
        </w:tc>
        <w:tc>
          <w:tcPr>
            <w:tcW w:w="3330" w:type="dxa"/>
            <w:shd w:val="clear" w:color="auto" w:fill="auto"/>
          </w:tcPr>
          <w:p w14:paraId="0E40C69C" w14:textId="77777777" w:rsidR="00EE3F11" w:rsidRPr="00EE3F11" w:rsidRDefault="00EE3F11" w:rsidP="00EE3F11">
            <w:pPr>
              <w:pStyle w:val="TableText"/>
              <w:overflowPunct w:val="0"/>
              <w:autoSpaceDE w:val="0"/>
              <w:autoSpaceDN w:val="0"/>
              <w:adjustRightInd w:val="0"/>
              <w:textAlignment w:val="baseline"/>
              <w:rPr>
                <w:rFonts w:cs="Times New Roman"/>
                <w:sz w:val="22"/>
                <w:szCs w:val="22"/>
                <w:lang w:val="pt-PT"/>
              </w:rPr>
            </w:pPr>
            <w:r w:rsidRPr="00EE3F11">
              <w:rPr>
                <w:rFonts w:cs="Times New Roman"/>
                <w:sz w:val="22"/>
                <w:szCs w:val="22"/>
                <w:lang w:val="pt-PT"/>
              </w:rPr>
              <w:t>Apesar de não ter sido estudado, é</w:t>
            </w:r>
            <w:r>
              <w:rPr>
                <w:rFonts w:cs="Times New Roman"/>
                <w:sz w:val="22"/>
                <w:szCs w:val="22"/>
                <w:lang w:val="pt-PT"/>
              </w:rPr>
              <w:t xml:space="preserve"> </w:t>
            </w:r>
            <w:r w:rsidRPr="00EE3F11">
              <w:rPr>
                <w:rFonts w:cs="Times New Roman"/>
                <w:sz w:val="22"/>
                <w:szCs w:val="22"/>
                <w:lang w:val="pt-PT"/>
              </w:rPr>
              <w:t>provável que o voriconazol</w:t>
            </w:r>
            <w:r>
              <w:rPr>
                <w:rFonts w:cs="Times New Roman"/>
                <w:sz w:val="22"/>
                <w:szCs w:val="22"/>
                <w:lang w:val="pt-PT"/>
              </w:rPr>
              <w:t xml:space="preserve"> </w:t>
            </w:r>
            <w:r w:rsidRPr="00EE3F11">
              <w:rPr>
                <w:rFonts w:cs="Times New Roman"/>
                <w:sz w:val="22"/>
                <w:szCs w:val="22"/>
                <w:lang w:val="pt-PT"/>
              </w:rPr>
              <w:t>aumente</w:t>
            </w:r>
            <w:r>
              <w:rPr>
                <w:rFonts w:cs="Times New Roman"/>
                <w:sz w:val="22"/>
                <w:szCs w:val="22"/>
                <w:lang w:val="pt-PT"/>
              </w:rPr>
              <w:t xml:space="preserve"> </w:t>
            </w:r>
            <w:r w:rsidRPr="00EE3F11">
              <w:rPr>
                <w:rFonts w:cs="Times New Roman"/>
                <w:sz w:val="22"/>
                <w:szCs w:val="22"/>
                <w:lang w:val="pt-PT"/>
              </w:rPr>
              <w:t>significativamente as concentrações</w:t>
            </w:r>
            <w:r>
              <w:rPr>
                <w:rFonts w:cs="Times New Roman"/>
                <w:sz w:val="22"/>
                <w:szCs w:val="22"/>
                <w:lang w:val="pt-PT"/>
              </w:rPr>
              <w:t xml:space="preserve"> </w:t>
            </w:r>
            <w:r w:rsidRPr="00EE3F11">
              <w:rPr>
                <w:rFonts w:cs="Times New Roman"/>
                <w:sz w:val="22"/>
                <w:szCs w:val="22"/>
                <w:lang w:val="pt-PT"/>
              </w:rPr>
              <w:t>plasmáticas de tolvaptano</w:t>
            </w:r>
            <w:r>
              <w:rPr>
                <w:rFonts w:cs="Times New Roman"/>
                <w:sz w:val="22"/>
                <w:szCs w:val="22"/>
                <w:lang w:val="pt-PT"/>
              </w:rPr>
              <w:t>.</w:t>
            </w:r>
          </w:p>
        </w:tc>
        <w:tc>
          <w:tcPr>
            <w:tcW w:w="2790" w:type="dxa"/>
            <w:shd w:val="clear" w:color="auto" w:fill="auto"/>
          </w:tcPr>
          <w:p w14:paraId="661003DE" w14:textId="77777777" w:rsidR="00EE3F11" w:rsidRPr="00EF6A1B" w:rsidRDefault="00EE3F11" w:rsidP="00EE3F11">
            <w:pPr>
              <w:pStyle w:val="TableText"/>
              <w:overflowPunct w:val="0"/>
              <w:autoSpaceDE w:val="0"/>
              <w:autoSpaceDN w:val="0"/>
              <w:adjustRightInd w:val="0"/>
              <w:textAlignment w:val="baseline"/>
              <w:rPr>
                <w:rFonts w:cs="Times New Roman"/>
                <w:bCs/>
                <w:sz w:val="22"/>
                <w:szCs w:val="22"/>
                <w:lang w:val="pt-PT"/>
              </w:rPr>
            </w:pPr>
            <w:r w:rsidRPr="00EE3F11">
              <w:rPr>
                <w:rFonts w:cs="Times New Roman"/>
                <w:b/>
                <w:sz w:val="22"/>
                <w:szCs w:val="22"/>
                <w:lang w:val="pt-PT"/>
              </w:rPr>
              <w:t xml:space="preserve">Contraindicado </w:t>
            </w:r>
            <w:r w:rsidRPr="00EF6A1B">
              <w:rPr>
                <w:rFonts w:cs="Times New Roman"/>
                <w:bCs/>
                <w:sz w:val="22"/>
                <w:szCs w:val="22"/>
                <w:lang w:val="pt-PT"/>
              </w:rPr>
              <w:t>(ver</w:t>
            </w:r>
          </w:p>
          <w:p w14:paraId="0F715A81" w14:textId="77777777" w:rsidR="00EE3F11" w:rsidRPr="002A54AF" w:rsidRDefault="00EE3F11" w:rsidP="00EE3F11">
            <w:pPr>
              <w:pStyle w:val="TableText"/>
              <w:overflowPunct w:val="0"/>
              <w:autoSpaceDE w:val="0"/>
              <w:autoSpaceDN w:val="0"/>
              <w:adjustRightInd w:val="0"/>
              <w:textAlignment w:val="baseline"/>
              <w:rPr>
                <w:rFonts w:cs="Times New Roman"/>
                <w:b/>
                <w:sz w:val="22"/>
                <w:szCs w:val="22"/>
                <w:lang w:val="pt-PT"/>
              </w:rPr>
            </w:pPr>
            <w:r w:rsidRPr="00EF6A1B">
              <w:rPr>
                <w:rFonts w:cs="Times New Roman"/>
                <w:bCs/>
                <w:sz w:val="22"/>
                <w:szCs w:val="22"/>
                <w:lang w:val="pt-PT"/>
              </w:rPr>
              <w:t>secção 4.3)</w:t>
            </w:r>
          </w:p>
        </w:tc>
      </w:tr>
      <w:tr w:rsidR="00D37BF6" w:rsidRPr="00E53416" w14:paraId="11529DC2" w14:textId="77777777" w:rsidTr="00DB5F00">
        <w:tc>
          <w:tcPr>
            <w:tcW w:w="2880" w:type="dxa"/>
            <w:shd w:val="clear" w:color="auto" w:fill="auto"/>
          </w:tcPr>
          <w:p w14:paraId="2F582B02" w14:textId="77777777" w:rsidR="00D37BF6" w:rsidRPr="00D37BF6" w:rsidRDefault="00D37BF6" w:rsidP="00D37BF6">
            <w:pPr>
              <w:pStyle w:val="TableText"/>
              <w:overflowPunct w:val="0"/>
              <w:autoSpaceDE w:val="0"/>
              <w:autoSpaceDN w:val="0"/>
              <w:adjustRightInd w:val="0"/>
              <w:textAlignment w:val="baseline"/>
              <w:rPr>
                <w:rFonts w:cs="Times New Roman"/>
                <w:sz w:val="22"/>
                <w:szCs w:val="22"/>
                <w:lang w:val="pt-PT"/>
              </w:rPr>
            </w:pPr>
            <w:r w:rsidRPr="00D37BF6">
              <w:rPr>
                <w:rFonts w:cs="Times New Roman"/>
                <w:sz w:val="22"/>
                <w:szCs w:val="22"/>
                <w:lang w:val="pt-PT"/>
              </w:rPr>
              <w:t>Venetoclax</w:t>
            </w:r>
          </w:p>
          <w:p w14:paraId="6476B335" w14:textId="77777777" w:rsidR="00D37BF6" w:rsidRPr="00646C77" w:rsidRDefault="00D37BF6" w:rsidP="00D37BF6">
            <w:pPr>
              <w:pStyle w:val="TableText"/>
              <w:overflowPunct w:val="0"/>
              <w:autoSpaceDE w:val="0"/>
              <w:autoSpaceDN w:val="0"/>
              <w:adjustRightInd w:val="0"/>
              <w:textAlignment w:val="baseline"/>
              <w:rPr>
                <w:rFonts w:cs="Times New Roman"/>
                <w:i/>
                <w:iCs/>
                <w:sz w:val="22"/>
                <w:szCs w:val="22"/>
                <w:lang w:val="pt-PT"/>
              </w:rPr>
            </w:pPr>
            <w:r w:rsidRPr="00646C77">
              <w:rPr>
                <w:rFonts w:cs="Times New Roman"/>
                <w:i/>
                <w:iCs/>
                <w:sz w:val="22"/>
                <w:szCs w:val="22"/>
                <w:lang w:val="pt-PT"/>
              </w:rPr>
              <w:t>[substrato do CYP3A4]</w:t>
            </w:r>
          </w:p>
        </w:tc>
        <w:tc>
          <w:tcPr>
            <w:tcW w:w="3330" w:type="dxa"/>
            <w:shd w:val="clear" w:color="auto" w:fill="auto"/>
          </w:tcPr>
          <w:p w14:paraId="38C5DD09" w14:textId="77777777" w:rsidR="00D37BF6" w:rsidRPr="002A54AF" w:rsidRDefault="00D37BF6" w:rsidP="00D37BF6">
            <w:pPr>
              <w:pStyle w:val="TableText"/>
              <w:overflowPunct w:val="0"/>
              <w:autoSpaceDE w:val="0"/>
              <w:autoSpaceDN w:val="0"/>
              <w:adjustRightInd w:val="0"/>
              <w:textAlignment w:val="baseline"/>
              <w:rPr>
                <w:rFonts w:cs="Times New Roman"/>
                <w:sz w:val="22"/>
                <w:szCs w:val="22"/>
                <w:lang w:val="pt-PT"/>
              </w:rPr>
            </w:pPr>
            <w:r w:rsidRPr="00D37BF6">
              <w:rPr>
                <w:rFonts w:cs="Times New Roman"/>
                <w:sz w:val="22"/>
                <w:szCs w:val="22"/>
                <w:lang w:val="pt-PT"/>
              </w:rPr>
              <w:t>Apesar de não ter sido estudado, é</w:t>
            </w:r>
            <w:r>
              <w:rPr>
                <w:rFonts w:cs="Times New Roman"/>
                <w:sz w:val="22"/>
                <w:szCs w:val="22"/>
                <w:lang w:val="pt-PT"/>
              </w:rPr>
              <w:t xml:space="preserve"> </w:t>
            </w:r>
            <w:r w:rsidRPr="00D37BF6">
              <w:rPr>
                <w:rFonts w:cs="Times New Roman"/>
                <w:sz w:val="22"/>
                <w:szCs w:val="22"/>
                <w:lang w:val="pt-PT"/>
              </w:rPr>
              <w:t>provável que o voriconazol aumente</w:t>
            </w:r>
            <w:r>
              <w:rPr>
                <w:rFonts w:cs="Times New Roman"/>
                <w:sz w:val="22"/>
                <w:szCs w:val="22"/>
                <w:lang w:val="pt-PT"/>
              </w:rPr>
              <w:t xml:space="preserve"> </w:t>
            </w:r>
            <w:r w:rsidRPr="00D37BF6">
              <w:rPr>
                <w:rFonts w:cs="Times New Roman"/>
                <w:sz w:val="22"/>
                <w:szCs w:val="22"/>
                <w:lang w:val="pt-PT"/>
              </w:rPr>
              <w:t>significativamente as concentrações</w:t>
            </w:r>
            <w:r>
              <w:rPr>
                <w:rFonts w:cs="Times New Roman"/>
                <w:sz w:val="22"/>
                <w:szCs w:val="22"/>
                <w:lang w:val="pt-PT"/>
              </w:rPr>
              <w:t xml:space="preserve"> </w:t>
            </w:r>
            <w:r w:rsidRPr="00D37BF6">
              <w:rPr>
                <w:rFonts w:cs="Times New Roman"/>
                <w:sz w:val="22"/>
                <w:szCs w:val="22"/>
                <w:lang w:val="pt-PT"/>
              </w:rPr>
              <w:t>plasmáticas de venetoclax.</w:t>
            </w:r>
          </w:p>
        </w:tc>
        <w:tc>
          <w:tcPr>
            <w:tcW w:w="2790" w:type="dxa"/>
            <w:shd w:val="clear" w:color="auto" w:fill="auto"/>
          </w:tcPr>
          <w:p w14:paraId="19BD6183" w14:textId="77777777" w:rsidR="00D37BF6" w:rsidRPr="00646C77" w:rsidRDefault="00D37BF6" w:rsidP="00D37BF6">
            <w:pPr>
              <w:pStyle w:val="TableText"/>
              <w:overflowPunct w:val="0"/>
              <w:autoSpaceDE w:val="0"/>
              <w:autoSpaceDN w:val="0"/>
              <w:adjustRightInd w:val="0"/>
              <w:textAlignment w:val="baseline"/>
              <w:rPr>
                <w:rFonts w:cs="Times New Roman"/>
                <w:bCs/>
                <w:sz w:val="22"/>
                <w:szCs w:val="22"/>
                <w:lang w:val="pt-PT"/>
              </w:rPr>
            </w:pPr>
            <w:r w:rsidRPr="00646C77">
              <w:rPr>
                <w:rFonts w:cs="Times New Roman"/>
                <w:bCs/>
                <w:sz w:val="22"/>
                <w:szCs w:val="22"/>
                <w:lang w:val="pt-PT"/>
              </w:rPr>
              <w:t>A administração concomitante</w:t>
            </w:r>
            <w:r>
              <w:rPr>
                <w:rFonts w:cs="Times New Roman"/>
                <w:bCs/>
                <w:sz w:val="22"/>
                <w:szCs w:val="22"/>
                <w:lang w:val="pt-PT"/>
              </w:rPr>
              <w:t xml:space="preserve"> </w:t>
            </w:r>
            <w:r w:rsidRPr="00646C77">
              <w:rPr>
                <w:rFonts w:cs="Times New Roman"/>
                <w:bCs/>
                <w:sz w:val="22"/>
                <w:szCs w:val="22"/>
                <w:lang w:val="pt-PT"/>
              </w:rPr>
              <w:t>de voriconazol é</w:t>
            </w:r>
            <w:r>
              <w:rPr>
                <w:rFonts w:cs="Times New Roman"/>
                <w:bCs/>
                <w:sz w:val="22"/>
                <w:szCs w:val="22"/>
                <w:lang w:val="pt-PT"/>
              </w:rPr>
              <w:t xml:space="preserve"> </w:t>
            </w:r>
            <w:r w:rsidRPr="00D37BF6">
              <w:rPr>
                <w:rFonts w:cs="Times New Roman"/>
                <w:b/>
                <w:sz w:val="22"/>
                <w:szCs w:val="22"/>
                <w:lang w:val="pt-PT"/>
              </w:rPr>
              <w:t>contraindicada</w:t>
            </w:r>
            <w:r w:rsidRPr="00646C77">
              <w:rPr>
                <w:rFonts w:cs="Times New Roman"/>
                <w:bCs/>
                <w:sz w:val="22"/>
                <w:szCs w:val="22"/>
                <w:lang w:val="pt-PT"/>
              </w:rPr>
              <w:t xml:space="preserve"> no início e</w:t>
            </w:r>
            <w:r>
              <w:rPr>
                <w:rFonts w:cs="Times New Roman"/>
                <w:bCs/>
                <w:sz w:val="22"/>
                <w:szCs w:val="22"/>
                <w:lang w:val="pt-PT"/>
              </w:rPr>
              <w:t xml:space="preserve"> </w:t>
            </w:r>
            <w:r w:rsidRPr="00646C77">
              <w:rPr>
                <w:rFonts w:cs="Times New Roman"/>
                <w:bCs/>
                <w:sz w:val="22"/>
                <w:szCs w:val="22"/>
                <w:lang w:val="pt-PT"/>
              </w:rPr>
              <w:t>durante a fase de titulação da</w:t>
            </w:r>
            <w:r>
              <w:rPr>
                <w:rFonts w:cs="Times New Roman"/>
                <w:bCs/>
                <w:sz w:val="22"/>
                <w:szCs w:val="22"/>
                <w:lang w:val="pt-PT"/>
              </w:rPr>
              <w:t xml:space="preserve"> </w:t>
            </w:r>
            <w:r w:rsidRPr="00646C77">
              <w:rPr>
                <w:rFonts w:cs="Times New Roman"/>
                <w:bCs/>
                <w:sz w:val="22"/>
                <w:szCs w:val="22"/>
                <w:lang w:val="pt-PT"/>
              </w:rPr>
              <w:t>dose de venetoclax (ver secção</w:t>
            </w:r>
            <w:r>
              <w:rPr>
                <w:rFonts w:cs="Times New Roman"/>
                <w:bCs/>
                <w:sz w:val="22"/>
                <w:szCs w:val="22"/>
                <w:lang w:val="pt-PT"/>
              </w:rPr>
              <w:t xml:space="preserve"> </w:t>
            </w:r>
            <w:r w:rsidRPr="00646C77">
              <w:rPr>
                <w:rFonts w:cs="Times New Roman"/>
                <w:bCs/>
                <w:sz w:val="22"/>
                <w:szCs w:val="22"/>
                <w:lang w:val="pt-PT"/>
              </w:rPr>
              <w:t>4.3). É necessária uma redução</w:t>
            </w:r>
            <w:r>
              <w:rPr>
                <w:rFonts w:cs="Times New Roman"/>
                <w:bCs/>
                <w:sz w:val="22"/>
                <w:szCs w:val="22"/>
                <w:lang w:val="pt-PT"/>
              </w:rPr>
              <w:t xml:space="preserve"> </w:t>
            </w:r>
            <w:r w:rsidRPr="00646C77">
              <w:rPr>
                <w:rFonts w:cs="Times New Roman"/>
                <w:bCs/>
                <w:sz w:val="22"/>
                <w:szCs w:val="22"/>
                <w:lang w:val="pt-PT"/>
              </w:rPr>
              <w:t>da dose de venetoclax,</w:t>
            </w:r>
            <w:r>
              <w:rPr>
                <w:rFonts w:cs="Times New Roman"/>
                <w:bCs/>
                <w:sz w:val="22"/>
                <w:szCs w:val="22"/>
                <w:lang w:val="pt-PT"/>
              </w:rPr>
              <w:t xml:space="preserve"> </w:t>
            </w:r>
            <w:r w:rsidRPr="00646C77">
              <w:rPr>
                <w:rFonts w:cs="Times New Roman"/>
                <w:bCs/>
                <w:sz w:val="22"/>
                <w:szCs w:val="22"/>
                <w:lang w:val="pt-PT"/>
              </w:rPr>
              <w:t>segundo as instruções da</w:t>
            </w:r>
            <w:r>
              <w:rPr>
                <w:rFonts w:cs="Times New Roman"/>
                <w:bCs/>
                <w:sz w:val="22"/>
                <w:szCs w:val="22"/>
                <w:lang w:val="pt-PT"/>
              </w:rPr>
              <w:t xml:space="preserve"> </w:t>
            </w:r>
            <w:r w:rsidRPr="00646C77">
              <w:rPr>
                <w:rFonts w:cs="Times New Roman"/>
                <w:bCs/>
                <w:sz w:val="22"/>
                <w:szCs w:val="22"/>
                <w:lang w:val="pt-PT"/>
              </w:rPr>
              <w:t>informação de prescrição do</w:t>
            </w:r>
            <w:r>
              <w:rPr>
                <w:rFonts w:cs="Times New Roman"/>
                <w:bCs/>
                <w:sz w:val="22"/>
                <w:szCs w:val="22"/>
                <w:lang w:val="pt-PT"/>
              </w:rPr>
              <w:t xml:space="preserve"> </w:t>
            </w:r>
            <w:r w:rsidRPr="00646C77">
              <w:rPr>
                <w:rFonts w:cs="Times New Roman"/>
                <w:bCs/>
                <w:sz w:val="22"/>
                <w:szCs w:val="22"/>
                <w:lang w:val="pt-PT"/>
              </w:rPr>
              <w:t>venetoclax, durante a dose</w:t>
            </w:r>
            <w:r>
              <w:rPr>
                <w:rFonts w:cs="Times New Roman"/>
                <w:bCs/>
                <w:sz w:val="22"/>
                <w:szCs w:val="22"/>
                <w:lang w:val="pt-PT"/>
              </w:rPr>
              <w:t xml:space="preserve"> </w:t>
            </w:r>
            <w:r w:rsidRPr="00646C77">
              <w:rPr>
                <w:rFonts w:cs="Times New Roman"/>
                <w:bCs/>
                <w:sz w:val="22"/>
                <w:szCs w:val="22"/>
                <w:lang w:val="pt-PT"/>
              </w:rPr>
              <w:t>diária no estado estacionário;</w:t>
            </w:r>
            <w:r>
              <w:rPr>
                <w:rFonts w:cs="Times New Roman"/>
                <w:bCs/>
                <w:sz w:val="22"/>
                <w:szCs w:val="22"/>
                <w:lang w:val="pt-PT"/>
              </w:rPr>
              <w:t xml:space="preserve"> </w:t>
            </w:r>
            <w:r w:rsidRPr="00646C77">
              <w:rPr>
                <w:rFonts w:cs="Times New Roman"/>
                <w:bCs/>
                <w:sz w:val="22"/>
                <w:szCs w:val="22"/>
                <w:lang w:val="pt-PT"/>
              </w:rPr>
              <w:t>recomenda-se uma</w:t>
            </w:r>
            <w:r>
              <w:rPr>
                <w:rFonts w:cs="Times New Roman"/>
                <w:bCs/>
                <w:sz w:val="22"/>
                <w:szCs w:val="22"/>
                <w:lang w:val="pt-PT"/>
              </w:rPr>
              <w:t xml:space="preserve"> </w:t>
            </w:r>
            <w:r w:rsidRPr="00646C77">
              <w:rPr>
                <w:rFonts w:cs="Times New Roman"/>
                <w:bCs/>
                <w:sz w:val="22"/>
                <w:szCs w:val="22"/>
                <w:lang w:val="pt-PT"/>
              </w:rPr>
              <w:t>monitorização cuidadosa</w:t>
            </w:r>
            <w:r>
              <w:rPr>
                <w:rFonts w:cs="Times New Roman"/>
                <w:bCs/>
                <w:sz w:val="22"/>
                <w:szCs w:val="22"/>
                <w:lang w:val="pt-PT"/>
              </w:rPr>
              <w:t xml:space="preserve"> </w:t>
            </w:r>
            <w:r w:rsidRPr="00646C77">
              <w:rPr>
                <w:rFonts w:cs="Times New Roman"/>
                <w:bCs/>
                <w:sz w:val="22"/>
                <w:szCs w:val="22"/>
                <w:lang w:val="pt-PT"/>
              </w:rPr>
              <w:lastRenderedPageBreak/>
              <w:t>quanto a sinais de toxicidade.</w:t>
            </w:r>
          </w:p>
        </w:tc>
      </w:tr>
      <w:tr w:rsidR="00CF069D" w:rsidRPr="00376167" w14:paraId="20955925" w14:textId="77777777" w:rsidTr="00DB5F00">
        <w:tc>
          <w:tcPr>
            <w:tcW w:w="2880" w:type="dxa"/>
            <w:shd w:val="clear" w:color="auto" w:fill="auto"/>
          </w:tcPr>
          <w:p w14:paraId="297AD3AD"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sz w:val="22"/>
                <w:szCs w:val="22"/>
                <w:lang w:val="pt-PT"/>
              </w:rPr>
              <w:lastRenderedPageBreak/>
              <w:t>Fluconazol (200 mg OD)</w:t>
            </w:r>
            <w:r w:rsidRPr="002A54AF">
              <w:rPr>
                <w:rFonts w:cs="Times New Roman"/>
                <w:sz w:val="22"/>
                <w:szCs w:val="22"/>
                <w:lang w:val="pt-PT"/>
              </w:rPr>
              <w:br/>
            </w:r>
            <w:r w:rsidRPr="002A54AF">
              <w:rPr>
                <w:rFonts w:cs="Times New Roman"/>
                <w:i/>
                <w:sz w:val="22"/>
                <w:szCs w:val="22"/>
                <w:lang w:val="pt-PT"/>
              </w:rPr>
              <w:t>[inibidor do CYP2C9, CYP2C19 e CYP3A4]</w:t>
            </w:r>
          </w:p>
          <w:p w14:paraId="6817502A" w14:textId="77777777" w:rsidR="00CF069D" w:rsidRPr="002A54AF" w:rsidRDefault="00CF069D" w:rsidP="00CF069D">
            <w:pPr>
              <w:pStyle w:val="TableText"/>
              <w:tabs>
                <w:tab w:val="left" w:pos="360"/>
              </w:tabs>
              <w:overflowPunct w:val="0"/>
              <w:autoSpaceDE w:val="0"/>
              <w:autoSpaceDN w:val="0"/>
              <w:adjustRightInd w:val="0"/>
              <w:ind w:left="216" w:hanging="216"/>
              <w:textAlignment w:val="baseline"/>
              <w:rPr>
                <w:rFonts w:cs="Times New Roman"/>
                <w:sz w:val="22"/>
                <w:szCs w:val="22"/>
                <w:lang w:val="pt-PT"/>
              </w:rPr>
            </w:pPr>
          </w:p>
        </w:tc>
        <w:tc>
          <w:tcPr>
            <w:tcW w:w="3330" w:type="dxa"/>
            <w:shd w:val="clear" w:color="auto" w:fill="auto"/>
          </w:tcPr>
          <w:p w14:paraId="616B3D90"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Voriconazol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57%</w:t>
            </w:r>
            <w:r w:rsidRPr="002A54AF">
              <w:rPr>
                <w:rFonts w:cs="Times New Roman"/>
                <w:sz w:val="22"/>
                <w:szCs w:val="22"/>
                <w:lang w:val="pt-PT"/>
              </w:rPr>
              <w:br/>
              <w:t>Voriconazol AUC</w:t>
            </w:r>
            <w:r w:rsidRPr="002A54AF">
              <w:rPr>
                <w:rFonts w:cs="Times New Roman"/>
                <w:sz w:val="22"/>
                <w:szCs w:val="22"/>
              </w:rPr>
              <w:t>τ</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79%</w:t>
            </w:r>
          </w:p>
          <w:p w14:paraId="6A25A323"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Fluconazol C</w:t>
            </w:r>
            <w:r w:rsidRPr="002A54AF">
              <w:rPr>
                <w:rFonts w:cs="Times New Roman"/>
                <w:sz w:val="22"/>
                <w:szCs w:val="22"/>
                <w:vertAlign w:val="subscript"/>
                <w:lang w:val="pt-PT"/>
              </w:rPr>
              <w:t>max</w:t>
            </w:r>
            <w:r w:rsidRPr="002A54AF">
              <w:rPr>
                <w:rFonts w:cs="Times New Roman"/>
                <w:sz w:val="22"/>
                <w:szCs w:val="22"/>
                <w:lang w:val="pt-PT"/>
              </w:rPr>
              <w:t xml:space="preserve"> ND</w:t>
            </w:r>
            <w:r w:rsidRPr="002A54AF">
              <w:rPr>
                <w:rFonts w:cs="Times New Roman"/>
                <w:sz w:val="22"/>
                <w:szCs w:val="22"/>
                <w:lang w:val="pt-PT"/>
              </w:rPr>
              <w:br/>
              <w:t>Fluconazol AUC</w:t>
            </w:r>
            <w:r w:rsidRPr="002A54AF">
              <w:rPr>
                <w:rFonts w:cs="Times New Roman"/>
                <w:sz w:val="22"/>
                <w:szCs w:val="22"/>
              </w:rPr>
              <w:t>τ</w:t>
            </w:r>
            <w:r w:rsidRPr="002A54AF">
              <w:rPr>
                <w:rFonts w:cs="Times New Roman"/>
                <w:sz w:val="22"/>
                <w:szCs w:val="22"/>
                <w:lang w:val="pt-PT"/>
              </w:rPr>
              <w:t xml:space="preserve"> ND</w:t>
            </w:r>
          </w:p>
          <w:p w14:paraId="40F07026" w14:textId="77777777" w:rsidR="00CF069D" w:rsidRPr="002A54AF" w:rsidRDefault="00CF069D" w:rsidP="00CF069D">
            <w:pPr>
              <w:pStyle w:val="TableText"/>
              <w:tabs>
                <w:tab w:val="left" w:pos="216"/>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br/>
            </w:r>
          </w:p>
          <w:p w14:paraId="630B3400" w14:textId="77777777" w:rsidR="00CF069D" w:rsidRPr="002A54AF" w:rsidRDefault="00CF069D" w:rsidP="00CF069D">
            <w:pPr>
              <w:tabs>
                <w:tab w:val="left" w:pos="567"/>
              </w:tabs>
              <w:suppressAutoHyphens/>
              <w:rPr>
                <w:szCs w:val="22"/>
                <w:lang w:val="pt-PT"/>
              </w:rPr>
            </w:pPr>
          </w:p>
        </w:tc>
        <w:tc>
          <w:tcPr>
            <w:tcW w:w="2790" w:type="dxa"/>
            <w:shd w:val="clear" w:color="auto" w:fill="auto"/>
          </w:tcPr>
          <w:p w14:paraId="3FD6C7CE"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Não foi estabelecida a redução e/ou a frequência da dose de voriconazol e fluconazol que poderia eliminar este efeito. Recomenda-se a monitorização das reações adversas associadas ao voriconazol, caso o mesmo seja usado sequencialmente após o fluconazol.</w:t>
            </w:r>
          </w:p>
          <w:p w14:paraId="2DBC0194"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tc>
      </w:tr>
      <w:tr w:rsidR="00CF069D" w:rsidRPr="00376167" w14:paraId="23A2EF3F" w14:textId="77777777" w:rsidTr="00DB5F00">
        <w:tc>
          <w:tcPr>
            <w:tcW w:w="2880" w:type="dxa"/>
            <w:shd w:val="clear" w:color="auto" w:fill="auto"/>
          </w:tcPr>
          <w:p w14:paraId="1C8993C5"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sz w:val="22"/>
                <w:szCs w:val="22"/>
                <w:lang w:val="pt-PT"/>
              </w:rPr>
              <w:t xml:space="preserve">Fenitoína </w:t>
            </w:r>
            <w:r w:rsidRPr="002A54AF">
              <w:rPr>
                <w:rFonts w:cs="Times New Roman"/>
                <w:sz w:val="22"/>
                <w:szCs w:val="22"/>
                <w:lang w:val="pt-PT"/>
              </w:rPr>
              <w:br/>
            </w:r>
            <w:r w:rsidRPr="002A54AF">
              <w:rPr>
                <w:rFonts w:cs="Times New Roman"/>
                <w:i/>
                <w:sz w:val="22"/>
                <w:szCs w:val="22"/>
                <w:lang w:val="pt-PT"/>
              </w:rPr>
              <w:t>[substrato do CYP2C9 e potente indutor do CYP450]</w:t>
            </w:r>
          </w:p>
          <w:p w14:paraId="64F6B04D"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p>
          <w:p w14:paraId="66D65B9A"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300 mg OD</w:t>
            </w:r>
          </w:p>
          <w:p w14:paraId="488516C9"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34C7EFD1"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7547F3BF"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645EE9E2"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283F7AEA"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300 mg OD (coadministração de 400 mg BID com voriconazol)</w:t>
            </w:r>
            <w:r w:rsidRPr="002A54AF">
              <w:rPr>
                <w:rFonts w:cs="Times New Roman"/>
                <w:sz w:val="22"/>
                <w:szCs w:val="22"/>
                <w:vertAlign w:val="superscript"/>
                <w:lang w:val="pt-PT"/>
              </w:rPr>
              <w:t>*</w:t>
            </w:r>
          </w:p>
        </w:tc>
        <w:tc>
          <w:tcPr>
            <w:tcW w:w="3330" w:type="dxa"/>
            <w:shd w:val="clear" w:color="auto" w:fill="auto"/>
          </w:tcPr>
          <w:p w14:paraId="265B277F"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1206E75D"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2DE6A56A"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0464AA0E"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24DC86B2"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Voriconazol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rPr>
              <w:sym w:font="Symbol" w:char="F0AF"/>
            </w:r>
            <w:r w:rsidRPr="002A54AF">
              <w:rPr>
                <w:rFonts w:cs="Times New Roman"/>
                <w:sz w:val="22"/>
                <w:szCs w:val="22"/>
                <w:lang w:val="pt-PT"/>
              </w:rPr>
              <w:t xml:space="preserve"> 49%</w:t>
            </w:r>
            <w:r w:rsidRPr="002A54AF">
              <w:rPr>
                <w:rFonts w:cs="Times New Roman"/>
                <w:sz w:val="22"/>
                <w:szCs w:val="22"/>
                <w:lang w:val="pt-PT"/>
              </w:rPr>
              <w:br/>
              <w:t>Voriconazol AUC</w:t>
            </w:r>
            <w:r w:rsidRPr="002A54AF">
              <w:rPr>
                <w:rFonts w:cs="Times New Roman"/>
                <w:sz w:val="22"/>
                <w:szCs w:val="22"/>
              </w:rPr>
              <w:t>τ</w:t>
            </w:r>
            <w:r w:rsidRPr="002A54AF">
              <w:rPr>
                <w:rFonts w:cs="Times New Roman"/>
                <w:sz w:val="22"/>
                <w:szCs w:val="22"/>
                <w:lang w:val="pt-PT"/>
              </w:rPr>
              <w:t xml:space="preserve"> </w:t>
            </w:r>
            <w:r w:rsidRPr="002A54AF">
              <w:rPr>
                <w:rFonts w:cs="Times New Roman"/>
                <w:sz w:val="22"/>
                <w:szCs w:val="22"/>
              </w:rPr>
              <w:sym w:font="Symbol" w:char="F0AF"/>
            </w:r>
            <w:r w:rsidRPr="002A54AF">
              <w:rPr>
                <w:rFonts w:cs="Times New Roman"/>
                <w:sz w:val="22"/>
                <w:szCs w:val="22"/>
                <w:lang w:val="pt-PT"/>
              </w:rPr>
              <w:t>↓ 69%</w:t>
            </w:r>
          </w:p>
          <w:p w14:paraId="3B282990"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0ECF5D6C"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443F9F1F"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57C84C84"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Fenitoína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67%</w:t>
            </w:r>
            <w:r w:rsidRPr="002A54AF">
              <w:rPr>
                <w:rFonts w:cs="Times New Roman"/>
                <w:sz w:val="22"/>
                <w:szCs w:val="22"/>
                <w:lang w:val="pt-PT"/>
              </w:rPr>
              <w:br/>
              <w:t>Fenitoína AUC</w:t>
            </w:r>
            <w:r w:rsidRPr="002A54AF">
              <w:rPr>
                <w:rFonts w:cs="Times New Roman"/>
                <w:sz w:val="22"/>
                <w:szCs w:val="22"/>
              </w:rPr>
              <w:t>τ</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81%</w:t>
            </w:r>
          </w:p>
          <w:p w14:paraId="3A2C3F24" w14:textId="77777777" w:rsidR="00CF069D" w:rsidRPr="002A54AF" w:rsidRDefault="00CF069D" w:rsidP="00CF069D">
            <w:pPr>
              <w:pStyle w:val="TableText"/>
              <w:tabs>
                <w:tab w:val="left" w:pos="216"/>
                <w:tab w:val="left" w:pos="360"/>
              </w:tabs>
              <w:overflowPunct w:val="0"/>
              <w:autoSpaceDE w:val="0"/>
              <w:autoSpaceDN w:val="0"/>
              <w:adjustRightInd w:val="0"/>
              <w:textAlignment w:val="baseline"/>
              <w:rPr>
                <w:rFonts w:cs="Times New Roman"/>
                <w:sz w:val="22"/>
                <w:szCs w:val="22"/>
                <w:lang w:val="pt-PT"/>
              </w:rPr>
            </w:pPr>
          </w:p>
          <w:p w14:paraId="4E7F2417" w14:textId="77777777" w:rsidR="00CF069D" w:rsidRPr="002A54AF" w:rsidRDefault="00CF069D" w:rsidP="00CF069D">
            <w:pPr>
              <w:pStyle w:val="TableText"/>
              <w:tabs>
                <w:tab w:val="left" w:pos="216"/>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Comparando com 200 mg BID de voriconazol,</w:t>
            </w:r>
          </w:p>
          <w:p w14:paraId="7E98624A" w14:textId="77777777" w:rsidR="00CF069D" w:rsidRPr="002A54AF" w:rsidRDefault="00CF069D" w:rsidP="00CF069D">
            <w:pPr>
              <w:pStyle w:val="TableText"/>
              <w:tabs>
                <w:tab w:val="left" w:pos="216"/>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it-IT"/>
              </w:rPr>
              <w:t>Voriconazol C</w:t>
            </w:r>
            <w:r w:rsidRPr="002A54AF">
              <w:rPr>
                <w:rFonts w:cs="Times New Roman"/>
                <w:sz w:val="22"/>
                <w:szCs w:val="22"/>
                <w:vertAlign w:val="subscript"/>
                <w:lang w:val="it-IT"/>
              </w:rPr>
              <w:t>max</w:t>
            </w:r>
            <w:r w:rsidRPr="002A54AF">
              <w:rPr>
                <w:rFonts w:cs="Times New Roman"/>
                <w:sz w:val="22"/>
                <w:szCs w:val="22"/>
                <w:lang w:val="it-IT"/>
              </w:rPr>
              <w:t xml:space="preserve"> </w:t>
            </w:r>
            <w:r w:rsidRPr="002A54AF">
              <w:rPr>
                <w:rFonts w:cs="Times New Roman"/>
                <w:sz w:val="22"/>
                <w:szCs w:val="22"/>
                <w:lang w:val="en-GB"/>
              </w:rPr>
              <w:sym w:font="Symbol" w:char="F0AD"/>
            </w:r>
            <w:r w:rsidRPr="002A54AF">
              <w:rPr>
                <w:rFonts w:cs="Times New Roman"/>
                <w:sz w:val="22"/>
                <w:szCs w:val="22"/>
                <w:lang w:val="pt-PT"/>
              </w:rPr>
              <w:t xml:space="preserve"> </w:t>
            </w:r>
            <w:r w:rsidRPr="002A54AF">
              <w:rPr>
                <w:rFonts w:cs="Times New Roman"/>
                <w:sz w:val="22"/>
                <w:szCs w:val="22"/>
                <w:lang w:val="it-IT"/>
              </w:rPr>
              <w:t>34%</w:t>
            </w:r>
            <w:r w:rsidRPr="002A54AF">
              <w:rPr>
                <w:rFonts w:cs="Times New Roman"/>
                <w:sz w:val="22"/>
                <w:szCs w:val="22"/>
                <w:lang w:val="it-IT"/>
              </w:rPr>
              <w:br/>
              <w:t xml:space="preserve">Voriconazol </w:t>
            </w:r>
            <w:r w:rsidRPr="002A54AF">
              <w:rPr>
                <w:rFonts w:cs="Times New Roman"/>
                <w:sz w:val="22"/>
                <w:szCs w:val="22"/>
              </w:rPr>
              <w:t xml:space="preserve">AUCτ </w:t>
            </w:r>
            <w:r w:rsidRPr="002A54AF">
              <w:rPr>
                <w:rFonts w:cs="Times New Roman"/>
                <w:sz w:val="22"/>
                <w:szCs w:val="22"/>
                <w:lang w:val="en-GB"/>
              </w:rPr>
              <w:sym w:font="Symbol" w:char="F0AD"/>
            </w:r>
            <w:r w:rsidRPr="002A54AF">
              <w:rPr>
                <w:rFonts w:cs="Times New Roman"/>
                <w:sz w:val="22"/>
                <w:szCs w:val="22"/>
                <w:lang w:val="pt-PT"/>
              </w:rPr>
              <w:t xml:space="preserve"> 39%</w:t>
            </w:r>
          </w:p>
          <w:p w14:paraId="36FFAC37" w14:textId="77777777" w:rsidR="00CF069D" w:rsidRPr="002A54AF" w:rsidRDefault="00CF069D" w:rsidP="00CF069D">
            <w:pPr>
              <w:pStyle w:val="TableText"/>
              <w:tabs>
                <w:tab w:val="left" w:pos="216"/>
                <w:tab w:val="left" w:pos="360"/>
              </w:tabs>
              <w:overflowPunct w:val="0"/>
              <w:autoSpaceDE w:val="0"/>
              <w:autoSpaceDN w:val="0"/>
              <w:adjustRightInd w:val="0"/>
              <w:textAlignment w:val="baseline"/>
              <w:rPr>
                <w:rFonts w:cs="Times New Roman"/>
                <w:sz w:val="22"/>
                <w:szCs w:val="22"/>
                <w:lang w:val="pt-PT"/>
              </w:rPr>
            </w:pPr>
          </w:p>
          <w:p w14:paraId="097E9339" w14:textId="77777777" w:rsidR="00CF069D" w:rsidRPr="002A54AF" w:rsidRDefault="00CF069D" w:rsidP="00CF069D">
            <w:pPr>
              <w:tabs>
                <w:tab w:val="left" w:pos="567"/>
              </w:tabs>
              <w:suppressAutoHyphens/>
              <w:rPr>
                <w:szCs w:val="22"/>
                <w:lang w:val="pt-PT"/>
              </w:rPr>
            </w:pPr>
          </w:p>
        </w:tc>
        <w:tc>
          <w:tcPr>
            <w:tcW w:w="2790" w:type="dxa"/>
            <w:shd w:val="clear" w:color="auto" w:fill="auto"/>
          </w:tcPr>
          <w:p w14:paraId="57E2B1FF"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O uso concomitante de voriconazol e fenitoína deve ser evitado, a menos que o benefício supere o risco.  </w:t>
            </w:r>
          </w:p>
          <w:p w14:paraId="2ED357A2"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Recomenda-se a monitorização cuidadosa dos níveis plasmáticos da fenitoína.</w:t>
            </w:r>
          </w:p>
          <w:p w14:paraId="7CD5AD14"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2C5DC031"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A fenitoína pode ser coadministrada com voriconazol se a dose de manutenção do voriconazol for aumentada para 5 mg/kg BID por via intravenosa ou de 200 mg para 400 mg BID por via oral (100 mg para 200 mg BID por via oral em doentes com peso inferior a 40 kg) (ver secção 4.2)  </w:t>
            </w:r>
          </w:p>
        </w:tc>
      </w:tr>
      <w:tr w:rsidR="00CF069D" w:rsidRPr="00376167" w14:paraId="42E9FE52" w14:textId="77777777" w:rsidTr="00DB5F00">
        <w:tc>
          <w:tcPr>
            <w:tcW w:w="2880" w:type="dxa"/>
            <w:shd w:val="clear" w:color="auto" w:fill="auto"/>
          </w:tcPr>
          <w:p w14:paraId="3CC0F664" w14:textId="77777777" w:rsidR="00CF069D" w:rsidRPr="00CF069D"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CF069D">
              <w:rPr>
                <w:rFonts w:cs="Times New Roman"/>
                <w:sz w:val="22"/>
                <w:szCs w:val="22"/>
                <w:lang w:val="pt-PT"/>
              </w:rPr>
              <w:t>Letermovir</w:t>
            </w:r>
          </w:p>
          <w:p w14:paraId="51B91E23" w14:textId="77777777" w:rsidR="00CF069D" w:rsidRPr="00646C77" w:rsidRDefault="00CF069D" w:rsidP="00CF069D">
            <w:pPr>
              <w:pStyle w:val="TableText"/>
              <w:tabs>
                <w:tab w:val="left" w:pos="360"/>
              </w:tabs>
              <w:overflowPunct w:val="0"/>
              <w:autoSpaceDE w:val="0"/>
              <w:autoSpaceDN w:val="0"/>
              <w:adjustRightInd w:val="0"/>
              <w:textAlignment w:val="baseline"/>
              <w:rPr>
                <w:rFonts w:cs="Times New Roman"/>
                <w:i/>
                <w:iCs/>
                <w:sz w:val="22"/>
                <w:szCs w:val="22"/>
                <w:lang w:val="pt-PT"/>
              </w:rPr>
            </w:pPr>
            <w:r w:rsidRPr="00646C77">
              <w:rPr>
                <w:rFonts w:cs="Times New Roman"/>
                <w:i/>
                <w:iCs/>
                <w:sz w:val="22"/>
                <w:szCs w:val="22"/>
                <w:lang w:val="pt-PT"/>
              </w:rPr>
              <w:t>[indutor do CYP2C9 e CYP2C19]</w:t>
            </w:r>
          </w:p>
        </w:tc>
        <w:tc>
          <w:tcPr>
            <w:tcW w:w="3330" w:type="dxa"/>
            <w:shd w:val="clear" w:color="auto" w:fill="auto"/>
          </w:tcPr>
          <w:p w14:paraId="45C60D51" w14:textId="77777777" w:rsidR="00CF069D" w:rsidRPr="00646C77" w:rsidRDefault="00CF069D" w:rsidP="00646C77">
            <w:pPr>
              <w:pStyle w:val="TableText"/>
              <w:tabs>
                <w:tab w:val="left" w:pos="216"/>
                <w:tab w:val="left" w:pos="360"/>
              </w:tabs>
              <w:overflowPunct w:val="0"/>
              <w:autoSpaceDE w:val="0"/>
              <w:autoSpaceDN w:val="0"/>
              <w:adjustRightInd w:val="0"/>
              <w:textAlignment w:val="baseline"/>
              <w:rPr>
                <w:rFonts w:cs="Times New Roman"/>
                <w:sz w:val="22"/>
                <w:szCs w:val="22"/>
                <w:lang w:val="it-IT"/>
              </w:rPr>
            </w:pPr>
            <w:r w:rsidRPr="00646C77">
              <w:rPr>
                <w:rFonts w:cs="Times New Roman"/>
                <w:sz w:val="22"/>
                <w:szCs w:val="22"/>
                <w:lang w:val="it-IT"/>
              </w:rPr>
              <w:t>Voriconazol C</w:t>
            </w:r>
            <w:r w:rsidRPr="00646C77">
              <w:rPr>
                <w:rFonts w:cs="Times New Roman"/>
                <w:sz w:val="22"/>
                <w:szCs w:val="22"/>
                <w:vertAlign w:val="subscript"/>
                <w:lang w:val="it-IT"/>
              </w:rPr>
              <w:t>max</w:t>
            </w:r>
            <w:r w:rsidRPr="00646C77">
              <w:rPr>
                <w:rFonts w:cs="Times New Roman"/>
                <w:sz w:val="22"/>
                <w:szCs w:val="22"/>
                <w:lang w:val="it-IT"/>
              </w:rPr>
              <w:t xml:space="preserve"> </w:t>
            </w:r>
            <w:r w:rsidRPr="00646C77">
              <w:rPr>
                <w:rFonts w:cs="Times New Roman" w:hint="eastAsia"/>
                <w:sz w:val="22"/>
                <w:szCs w:val="22"/>
                <w:lang w:val="it-IT"/>
              </w:rPr>
              <w:t>↓</w:t>
            </w:r>
            <w:r w:rsidRPr="00646C77">
              <w:rPr>
                <w:rFonts w:cs="Times New Roman"/>
                <w:sz w:val="22"/>
                <w:szCs w:val="22"/>
                <w:lang w:val="it-IT"/>
              </w:rPr>
              <w:t xml:space="preserve"> 39%</w:t>
            </w:r>
          </w:p>
          <w:p w14:paraId="59F9A5C8" w14:textId="77777777" w:rsidR="00CF069D" w:rsidRPr="00646C77" w:rsidRDefault="00CF069D" w:rsidP="00646C77">
            <w:pPr>
              <w:pStyle w:val="TableText"/>
              <w:tabs>
                <w:tab w:val="left" w:pos="216"/>
                <w:tab w:val="left" w:pos="360"/>
              </w:tabs>
              <w:overflowPunct w:val="0"/>
              <w:autoSpaceDE w:val="0"/>
              <w:autoSpaceDN w:val="0"/>
              <w:adjustRightInd w:val="0"/>
              <w:textAlignment w:val="baseline"/>
              <w:rPr>
                <w:rFonts w:cs="Times New Roman"/>
                <w:sz w:val="22"/>
                <w:szCs w:val="22"/>
                <w:lang w:val="it-IT"/>
              </w:rPr>
            </w:pPr>
            <w:r w:rsidRPr="00646C77">
              <w:rPr>
                <w:rFonts w:cs="Times New Roman"/>
                <w:sz w:val="22"/>
                <w:szCs w:val="22"/>
                <w:lang w:val="it-IT"/>
              </w:rPr>
              <w:t>Voriconazol AUC</w:t>
            </w:r>
            <w:r w:rsidRPr="00646C77">
              <w:rPr>
                <w:rFonts w:cs="Times New Roman"/>
                <w:sz w:val="22"/>
                <w:szCs w:val="22"/>
                <w:vertAlign w:val="subscript"/>
                <w:lang w:val="it-IT"/>
              </w:rPr>
              <w:t xml:space="preserve">0-12 </w:t>
            </w:r>
            <w:r w:rsidRPr="00646C77">
              <w:rPr>
                <w:rFonts w:cs="Times New Roman" w:hint="eastAsia"/>
                <w:sz w:val="22"/>
                <w:szCs w:val="22"/>
                <w:lang w:val="it-IT"/>
              </w:rPr>
              <w:t>↓</w:t>
            </w:r>
            <w:r w:rsidRPr="00646C77">
              <w:rPr>
                <w:rFonts w:cs="Times New Roman"/>
                <w:sz w:val="22"/>
                <w:szCs w:val="22"/>
                <w:lang w:val="it-IT"/>
              </w:rPr>
              <w:t xml:space="preserve"> 44%</w:t>
            </w:r>
          </w:p>
          <w:p w14:paraId="5959BCD3" w14:textId="77777777" w:rsidR="00CF069D" w:rsidRPr="002A54AF" w:rsidRDefault="00CF069D" w:rsidP="00646C77">
            <w:pPr>
              <w:pStyle w:val="TableText"/>
              <w:tabs>
                <w:tab w:val="left" w:pos="216"/>
                <w:tab w:val="left" w:pos="360"/>
              </w:tabs>
              <w:overflowPunct w:val="0"/>
              <w:autoSpaceDE w:val="0"/>
              <w:autoSpaceDN w:val="0"/>
              <w:adjustRightInd w:val="0"/>
              <w:textAlignment w:val="baseline"/>
              <w:rPr>
                <w:rFonts w:cs="Times New Roman"/>
                <w:sz w:val="22"/>
                <w:szCs w:val="22"/>
                <w:lang w:val="pt-PT"/>
              </w:rPr>
            </w:pPr>
            <w:r w:rsidRPr="00646C77">
              <w:rPr>
                <w:rFonts w:cs="Times New Roman"/>
                <w:sz w:val="22"/>
                <w:szCs w:val="22"/>
                <w:lang w:val="it-IT"/>
              </w:rPr>
              <w:t>Voriconazol C</w:t>
            </w:r>
            <w:r w:rsidRPr="00646C77">
              <w:rPr>
                <w:rFonts w:cs="Times New Roman"/>
                <w:sz w:val="22"/>
                <w:szCs w:val="22"/>
                <w:vertAlign w:val="subscript"/>
                <w:lang w:val="it-IT"/>
              </w:rPr>
              <w:t>12</w:t>
            </w:r>
            <w:r w:rsidRPr="00646C77">
              <w:rPr>
                <w:rFonts w:cs="Times New Roman"/>
                <w:sz w:val="22"/>
                <w:szCs w:val="22"/>
                <w:lang w:val="it-IT"/>
              </w:rPr>
              <w:t xml:space="preserve"> </w:t>
            </w:r>
            <w:r w:rsidRPr="00646C77">
              <w:rPr>
                <w:rFonts w:cs="Times New Roman" w:hint="eastAsia"/>
                <w:sz w:val="22"/>
                <w:szCs w:val="22"/>
                <w:lang w:val="it-IT"/>
              </w:rPr>
              <w:t>↓</w:t>
            </w:r>
            <w:r w:rsidRPr="00646C77">
              <w:rPr>
                <w:rFonts w:cs="Times New Roman"/>
                <w:sz w:val="22"/>
                <w:szCs w:val="22"/>
                <w:lang w:val="it-IT"/>
              </w:rPr>
              <w:t xml:space="preserve"> 51%</w:t>
            </w:r>
          </w:p>
        </w:tc>
        <w:tc>
          <w:tcPr>
            <w:tcW w:w="2790" w:type="dxa"/>
            <w:shd w:val="clear" w:color="auto" w:fill="auto"/>
          </w:tcPr>
          <w:p w14:paraId="62ADDC51"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CF069D">
              <w:rPr>
                <w:rFonts w:cs="Times New Roman"/>
                <w:sz w:val="22"/>
                <w:szCs w:val="22"/>
                <w:lang w:val="pt-PT"/>
              </w:rPr>
              <w:t>Se a administração</w:t>
            </w:r>
            <w:r>
              <w:rPr>
                <w:rFonts w:cs="Times New Roman"/>
                <w:sz w:val="22"/>
                <w:szCs w:val="22"/>
                <w:lang w:val="pt-PT"/>
              </w:rPr>
              <w:t xml:space="preserve"> </w:t>
            </w:r>
            <w:r w:rsidRPr="00CF069D">
              <w:rPr>
                <w:rFonts w:cs="Times New Roman"/>
                <w:sz w:val="22"/>
                <w:szCs w:val="22"/>
                <w:lang w:val="pt-PT"/>
              </w:rPr>
              <w:t>concomitante de voriconazol</w:t>
            </w:r>
            <w:r>
              <w:rPr>
                <w:rFonts w:cs="Times New Roman"/>
                <w:sz w:val="22"/>
                <w:szCs w:val="22"/>
                <w:lang w:val="pt-PT"/>
              </w:rPr>
              <w:t xml:space="preserve"> </w:t>
            </w:r>
            <w:r w:rsidRPr="00CF069D">
              <w:rPr>
                <w:rFonts w:cs="Times New Roman"/>
                <w:sz w:val="22"/>
                <w:szCs w:val="22"/>
                <w:lang w:val="pt-PT"/>
              </w:rPr>
              <w:t>com letermovir não puder ser</w:t>
            </w:r>
            <w:r>
              <w:rPr>
                <w:rFonts w:cs="Times New Roman"/>
                <w:sz w:val="22"/>
                <w:szCs w:val="22"/>
                <w:lang w:val="pt-PT"/>
              </w:rPr>
              <w:t xml:space="preserve"> </w:t>
            </w:r>
            <w:r w:rsidRPr="00CF069D">
              <w:rPr>
                <w:rFonts w:cs="Times New Roman"/>
                <w:sz w:val="22"/>
                <w:szCs w:val="22"/>
                <w:lang w:val="pt-PT"/>
              </w:rPr>
              <w:t>evitada, monitorizar quanto à</w:t>
            </w:r>
            <w:r>
              <w:rPr>
                <w:rFonts w:cs="Times New Roman"/>
                <w:sz w:val="22"/>
                <w:szCs w:val="22"/>
                <w:lang w:val="pt-PT"/>
              </w:rPr>
              <w:t xml:space="preserve"> </w:t>
            </w:r>
            <w:r w:rsidRPr="00CF069D">
              <w:rPr>
                <w:rFonts w:cs="Times New Roman"/>
                <w:sz w:val="22"/>
                <w:szCs w:val="22"/>
                <w:lang w:val="pt-PT"/>
              </w:rPr>
              <w:t>perda de eficiência do</w:t>
            </w:r>
            <w:r>
              <w:rPr>
                <w:rFonts w:cs="Times New Roman"/>
                <w:sz w:val="22"/>
                <w:szCs w:val="22"/>
                <w:lang w:val="pt-PT"/>
              </w:rPr>
              <w:t xml:space="preserve"> </w:t>
            </w:r>
            <w:r w:rsidRPr="00CF069D">
              <w:rPr>
                <w:rFonts w:cs="Times New Roman"/>
                <w:sz w:val="22"/>
                <w:szCs w:val="22"/>
                <w:lang w:val="pt-PT"/>
              </w:rPr>
              <w:t>voriconazol.</w:t>
            </w:r>
          </w:p>
        </w:tc>
      </w:tr>
      <w:tr w:rsidR="00B80109" w:rsidRPr="00376167" w14:paraId="5FB1299D" w14:textId="77777777" w:rsidTr="00DB5F00">
        <w:tc>
          <w:tcPr>
            <w:tcW w:w="2880" w:type="dxa"/>
            <w:shd w:val="clear" w:color="auto" w:fill="auto"/>
          </w:tcPr>
          <w:p w14:paraId="25CE6309" w14:textId="77777777" w:rsidR="00B80109" w:rsidRPr="00B80109" w:rsidRDefault="00B80109" w:rsidP="00B80109">
            <w:pPr>
              <w:pStyle w:val="TableText"/>
              <w:tabs>
                <w:tab w:val="left" w:pos="360"/>
              </w:tabs>
              <w:overflowPunct w:val="0"/>
              <w:autoSpaceDE w:val="0"/>
              <w:autoSpaceDN w:val="0"/>
              <w:adjustRightInd w:val="0"/>
              <w:textAlignment w:val="baseline"/>
              <w:rPr>
                <w:rFonts w:cs="Times New Roman"/>
                <w:sz w:val="22"/>
                <w:szCs w:val="22"/>
                <w:lang w:val="pt-PT"/>
              </w:rPr>
            </w:pPr>
            <w:r w:rsidRPr="00B80109">
              <w:rPr>
                <w:rFonts w:cs="Times New Roman"/>
                <w:sz w:val="22"/>
                <w:szCs w:val="22"/>
                <w:lang w:val="pt-PT"/>
              </w:rPr>
              <w:t>Glasdegib</w:t>
            </w:r>
          </w:p>
          <w:p w14:paraId="79BA228A" w14:textId="77777777" w:rsidR="00B80109" w:rsidRPr="00EF6A1B" w:rsidRDefault="00B80109" w:rsidP="00B80109">
            <w:pPr>
              <w:pStyle w:val="TableText"/>
              <w:tabs>
                <w:tab w:val="left" w:pos="360"/>
              </w:tabs>
              <w:overflowPunct w:val="0"/>
              <w:autoSpaceDE w:val="0"/>
              <w:autoSpaceDN w:val="0"/>
              <w:adjustRightInd w:val="0"/>
              <w:textAlignment w:val="baseline"/>
              <w:rPr>
                <w:rFonts w:cs="Times New Roman"/>
                <w:i/>
                <w:iCs/>
                <w:sz w:val="22"/>
                <w:szCs w:val="22"/>
                <w:lang w:val="pt-PT"/>
              </w:rPr>
            </w:pPr>
            <w:r w:rsidRPr="00EF6A1B">
              <w:rPr>
                <w:rFonts w:cs="Times New Roman"/>
                <w:i/>
                <w:iCs/>
                <w:sz w:val="22"/>
                <w:szCs w:val="22"/>
                <w:lang w:val="pt-PT"/>
              </w:rPr>
              <w:t>[substrato do CYP3A4]</w:t>
            </w:r>
          </w:p>
        </w:tc>
        <w:tc>
          <w:tcPr>
            <w:tcW w:w="3330" w:type="dxa"/>
            <w:shd w:val="clear" w:color="auto" w:fill="auto"/>
          </w:tcPr>
          <w:p w14:paraId="74CBF2E7" w14:textId="77777777" w:rsidR="00B80109" w:rsidRPr="00EF6A1B" w:rsidRDefault="00B80109" w:rsidP="00B80109">
            <w:pPr>
              <w:pStyle w:val="TableText"/>
              <w:tabs>
                <w:tab w:val="left" w:pos="216"/>
                <w:tab w:val="left" w:pos="360"/>
              </w:tabs>
              <w:overflowPunct w:val="0"/>
              <w:autoSpaceDE w:val="0"/>
              <w:autoSpaceDN w:val="0"/>
              <w:adjustRightInd w:val="0"/>
              <w:textAlignment w:val="baseline"/>
              <w:rPr>
                <w:rFonts w:cs="Times New Roman"/>
                <w:sz w:val="22"/>
                <w:szCs w:val="22"/>
                <w:lang w:val="pt-PT"/>
              </w:rPr>
            </w:pPr>
            <w:r w:rsidRPr="00B80109">
              <w:rPr>
                <w:rFonts w:cs="Times New Roman"/>
                <w:sz w:val="22"/>
                <w:szCs w:val="22"/>
                <w:lang w:val="pt-PT"/>
              </w:rPr>
              <w:t>Embora não tenha sido estudado, é</w:t>
            </w:r>
            <w:r>
              <w:rPr>
                <w:rFonts w:cs="Times New Roman"/>
                <w:sz w:val="22"/>
                <w:szCs w:val="22"/>
                <w:lang w:val="pt-PT"/>
              </w:rPr>
              <w:t xml:space="preserve"> </w:t>
            </w:r>
            <w:r w:rsidRPr="00B80109">
              <w:rPr>
                <w:rFonts w:cs="Times New Roman"/>
                <w:sz w:val="22"/>
                <w:szCs w:val="22"/>
                <w:lang w:val="pt-PT"/>
              </w:rPr>
              <w:t>provável que o voriconazol</w:t>
            </w:r>
            <w:r>
              <w:rPr>
                <w:rFonts w:cs="Times New Roman"/>
                <w:sz w:val="22"/>
                <w:szCs w:val="22"/>
                <w:lang w:val="pt-PT"/>
              </w:rPr>
              <w:t xml:space="preserve"> </w:t>
            </w:r>
            <w:r w:rsidRPr="00B80109">
              <w:rPr>
                <w:rFonts w:cs="Times New Roman"/>
                <w:sz w:val="22"/>
                <w:szCs w:val="22"/>
                <w:lang w:val="pt-PT"/>
              </w:rPr>
              <w:t>aumente</w:t>
            </w:r>
            <w:r>
              <w:rPr>
                <w:rFonts w:cs="Times New Roman"/>
                <w:sz w:val="22"/>
                <w:szCs w:val="22"/>
                <w:lang w:val="pt-PT"/>
              </w:rPr>
              <w:t xml:space="preserve"> </w:t>
            </w:r>
            <w:r w:rsidRPr="00B80109">
              <w:rPr>
                <w:rFonts w:cs="Times New Roman"/>
                <w:sz w:val="22"/>
                <w:szCs w:val="22"/>
                <w:lang w:val="pt-PT"/>
              </w:rPr>
              <w:t>as concentrações plasmáticas de</w:t>
            </w:r>
            <w:r>
              <w:rPr>
                <w:rFonts w:cs="Times New Roman"/>
                <w:sz w:val="22"/>
                <w:szCs w:val="22"/>
                <w:lang w:val="pt-PT"/>
              </w:rPr>
              <w:t xml:space="preserve"> </w:t>
            </w:r>
            <w:r w:rsidRPr="00B80109">
              <w:rPr>
                <w:rFonts w:cs="Times New Roman"/>
                <w:sz w:val="22"/>
                <w:szCs w:val="22"/>
                <w:lang w:val="pt-PT"/>
              </w:rPr>
              <w:t>glasdegib e que aumente o risco de</w:t>
            </w:r>
            <w:r>
              <w:rPr>
                <w:rFonts w:cs="Times New Roman"/>
                <w:sz w:val="22"/>
                <w:szCs w:val="22"/>
                <w:lang w:val="pt-PT"/>
              </w:rPr>
              <w:t xml:space="preserve"> </w:t>
            </w:r>
            <w:r w:rsidRPr="00B80109">
              <w:rPr>
                <w:rFonts w:cs="Times New Roman"/>
                <w:sz w:val="22"/>
                <w:szCs w:val="22"/>
                <w:lang w:val="pt-PT"/>
              </w:rPr>
              <w:t>prolongamento do intervalo QTc</w:t>
            </w:r>
            <w:r>
              <w:rPr>
                <w:rFonts w:cs="Times New Roman"/>
                <w:sz w:val="22"/>
                <w:szCs w:val="22"/>
                <w:lang w:val="pt-PT"/>
              </w:rPr>
              <w:t>.</w:t>
            </w:r>
          </w:p>
        </w:tc>
        <w:tc>
          <w:tcPr>
            <w:tcW w:w="2790" w:type="dxa"/>
            <w:shd w:val="clear" w:color="auto" w:fill="auto"/>
          </w:tcPr>
          <w:p w14:paraId="4F3281FA" w14:textId="77777777" w:rsidR="00B80109" w:rsidRPr="00B80109" w:rsidRDefault="00B80109" w:rsidP="00B80109">
            <w:pPr>
              <w:pStyle w:val="TableText"/>
              <w:overflowPunct w:val="0"/>
              <w:autoSpaceDE w:val="0"/>
              <w:autoSpaceDN w:val="0"/>
              <w:adjustRightInd w:val="0"/>
              <w:textAlignment w:val="baseline"/>
              <w:rPr>
                <w:rFonts w:cs="Times New Roman"/>
                <w:sz w:val="22"/>
                <w:szCs w:val="22"/>
                <w:lang w:val="pt-PT"/>
              </w:rPr>
            </w:pPr>
            <w:r w:rsidRPr="00B80109">
              <w:rPr>
                <w:rFonts w:cs="Times New Roman"/>
                <w:sz w:val="22"/>
                <w:szCs w:val="22"/>
                <w:lang w:val="pt-PT"/>
              </w:rPr>
              <w:t>Se o uso concomitante não</w:t>
            </w:r>
            <w:r>
              <w:rPr>
                <w:rFonts w:cs="Times New Roman"/>
                <w:sz w:val="22"/>
                <w:szCs w:val="22"/>
                <w:lang w:val="pt-PT"/>
              </w:rPr>
              <w:t xml:space="preserve"> </w:t>
            </w:r>
            <w:r w:rsidRPr="00B80109">
              <w:rPr>
                <w:rFonts w:cs="Times New Roman"/>
                <w:sz w:val="22"/>
                <w:szCs w:val="22"/>
                <w:lang w:val="pt-PT"/>
              </w:rPr>
              <w:t>puder ser evitado,</w:t>
            </w:r>
            <w:r>
              <w:rPr>
                <w:rFonts w:cs="Times New Roman"/>
                <w:sz w:val="22"/>
                <w:szCs w:val="22"/>
                <w:lang w:val="pt-PT"/>
              </w:rPr>
              <w:t xml:space="preserve"> </w:t>
            </w:r>
            <w:r w:rsidRPr="00B80109">
              <w:rPr>
                <w:rFonts w:cs="Times New Roman"/>
                <w:sz w:val="22"/>
                <w:szCs w:val="22"/>
                <w:lang w:val="pt-PT"/>
              </w:rPr>
              <w:t>recomenda-se a</w:t>
            </w:r>
            <w:r>
              <w:rPr>
                <w:rFonts w:cs="Times New Roman"/>
                <w:sz w:val="22"/>
                <w:szCs w:val="22"/>
                <w:lang w:val="pt-PT"/>
              </w:rPr>
              <w:t xml:space="preserve"> </w:t>
            </w:r>
            <w:r w:rsidRPr="00B80109">
              <w:rPr>
                <w:rFonts w:cs="Times New Roman"/>
                <w:sz w:val="22"/>
                <w:szCs w:val="22"/>
                <w:lang w:val="pt-PT"/>
              </w:rPr>
              <w:t>monitorização frequente do</w:t>
            </w:r>
            <w:r>
              <w:rPr>
                <w:rFonts w:cs="Times New Roman"/>
                <w:sz w:val="22"/>
                <w:szCs w:val="22"/>
                <w:lang w:val="pt-PT"/>
              </w:rPr>
              <w:t xml:space="preserve"> </w:t>
            </w:r>
            <w:r w:rsidRPr="00B80109">
              <w:rPr>
                <w:rFonts w:cs="Times New Roman"/>
                <w:sz w:val="22"/>
                <w:szCs w:val="22"/>
                <w:lang w:val="pt-PT"/>
              </w:rPr>
              <w:t>ECG (ver secção 4.4).</w:t>
            </w:r>
          </w:p>
        </w:tc>
      </w:tr>
      <w:tr w:rsidR="00B80109" w:rsidRPr="00376167" w14:paraId="67A92547" w14:textId="77777777" w:rsidTr="00DB5F00">
        <w:tc>
          <w:tcPr>
            <w:tcW w:w="2880" w:type="dxa"/>
            <w:shd w:val="clear" w:color="auto" w:fill="auto"/>
          </w:tcPr>
          <w:p w14:paraId="2A96450D" w14:textId="6CFE95B9" w:rsidR="00B80109" w:rsidRPr="00B80109" w:rsidRDefault="00B80109" w:rsidP="00B80109">
            <w:pPr>
              <w:pStyle w:val="TableText"/>
              <w:tabs>
                <w:tab w:val="left" w:pos="360"/>
              </w:tabs>
              <w:overflowPunct w:val="0"/>
              <w:autoSpaceDE w:val="0"/>
              <w:autoSpaceDN w:val="0"/>
              <w:adjustRightInd w:val="0"/>
              <w:textAlignment w:val="baseline"/>
              <w:rPr>
                <w:rFonts w:cs="Times New Roman"/>
                <w:sz w:val="22"/>
                <w:szCs w:val="22"/>
                <w:lang w:val="pt-PT"/>
              </w:rPr>
            </w:pPr>
            <w:r w:rsidRPr="00B80109">
              <w:rPr>
                <w:rFonts w:cs="Times New Roman"/>
                <w:sz w:val="22"/>
                <w:szCs w:val="22"/>
                <w:lang w:val="pt-PT"/>
              </w:rPr>
              <w:t>Inibidores da tirosinacinase</w:t>
            </w:r>
            <w:r>
              <w:rPr>
                <w:rFonts w:cs="Times New Roman"/>
                <w:sz w:val="22"/>
                <w:szCs w:val="22"/>
                <w:lang w:val="pt-PT"/>
              </w:rPr>
              <w:t xml:space="preserve"> </w:t>
            </w:r>
            <w:r w:rsidRPr="00B80109">
              <w:rPr>
                <w:rFonts w:cs="Times New Roman"/>
                <w:sz w:val="22"/>
                <w:szCs w:val="22"/>
                <w:lang w:val="pt-PT"/>
              </w:rPr>
              <w:t>(</w:t>
            </w:r>
            <w:r w:rsidR="00376167" w:rsidRPr="00376167">
              <w:rPr>
                <w:rFonts w:cs="Times New Roman"/>
                <w:sz w:val="22"/>
                <w:szCs w:val="22"/>
                <w:lang w:val="pt-PT"/>
              </w:rPr>
              <w:t>incluindo, mas não limitado a</w:t>
            </w:r>
            <w:r w:rsidR="00376167">
              <w:rPr>
                <w:rFonts w:cs="Times New Roman"/>
                <w:sz w:val="22"/>
                <w:szCs w:val="22"/>
                <w:lang w:val="pt-PT"/>
              </w:rPr>
              <w:t xml:space="preserve">: </w:t>
            </w:r>
            <w:r w:rsidRPr="00B80109">
              <w:rPr>
                <w:rFonts w:cs="Times New Roman"/>
                <w:sz w:val="22"/>
                <w:szCs w:val="22"/>
                <w:lang w:val="pt-PT"/>
              </w:rPr>
              <w:t>p.</w:t>
            </w:r>
            <w:r>
              <w:rPr>
                <w:rFonts w:cs="Times New Roman"/>
                <w:sz w:val="22"/>
                <w:szCs w:val="22"/>
                <w:lang w:val="pt-PT"/>
              </w:rPr>
              <w:t xml:space="preserve"> </w:t>
            </w:r>
            <w:r w:rsidRPr="00B80109">
              <w:rPr>
                <w:rFonts w:cs="Times New Roman"/>
                <w:sz w:val="22"/>
                <w:szCs w:val="22"/>
                <w:lang w:val="pt-PT"/>
              </w:rPr>
              <w:t>ex., axitinib, bosutinib,</w:t>
            </w:r>
          </w:p>
          <w:p w14:paraId="61E3D578" w14:textId="77777777" w:rsidR="00B80109" w:rsidRPr="00B80109" w:rsidRDefault="00B80109" w:rsidP="00B80109">
            <w:pPr>
              <w:pStyle w:val="TableText"/>
              <w:tabs>
                <w:tab w:val="left" w:pos="360"/>
              </w:tabs>
              <w:overflowPunct w:val="0"/>
              <w:autoSpaceDE w:val="0"/>
              <w:autoSpaceDN w:val="0"/>
              <w:adjustRightInd w:val="0"/>
              <w:textAlignment w:val="baseline"/>
              <w:rPr>
                <w:rFonts w:cs="Times New Roman"/>
                <w:sz w:val="22"/>
                <w:szCs w:val="22"/>
                <w:lang w:val="pt-PT"/>
              </w:rPr>
            </w:pPr>
            <w:r w:rsidRPr="00B80109">
              <w:rPr>
                <w:rFonts w:cs="Times New Roman"/>
                <w:sz w:val="22"/>
                <w:szCs w:val="22"/>
                <w:lang w:val="pt-PT"/>
              </w:rPr>
              <w:t>cabozantinib, ceritinib,</w:t>
            </w:r>
            <w:r>
              <w:rPr>
                <w:rFonts w:cs="Times New Roman"/>
                <w:sz w:val="22"/>
                <w:szCs w:val="22"/>
                <w:lang w:val="pt-PT"/>
              </w:rPr>
              <w:t xml:space="preserve"> </w:t>
            </w:r>
            <w:r w:rsidRPr="00B80109">
              <w:rPr>
                <w:rFonts w:cs="Times New Roman"/>
                <w:sz w:val="22"/>
                <w:szCs w:val="22"/>
                <w:lang w:val="pt-PT"/>
              </w:rPr>
              <w:t>cobimetinib, dabrafenib,</w:t>
            </w:r>
            <w:r>
              <w:rPr>
                <w:rFonts w:cs="Times New Roman"/>
                <w:sz w:val="22"/>
                <w:szCs w:val="22"/>
                <w:lang w:val="pt-PT"/>
              </w:rPr>
              <w:t xml:space="preserve"> </w:t>
            </w:r>
            <w:r w:rsidRPr="00B80109">
              <w:rPr>
                <w:rFonts w:cs="Times New Roman"/>
                <w:sz w:val="22"/>
                <w:szCs w:val="22"/>
                <w:lang w:val="pt-PT"/>
              </w:rPr>
              <w:t>dasatinib, nilotinib, sunitinib,</w:t>
            </w:r>
            <w:r>
              <w:rPr>
                <w:rFonts w:cs="Times New Roman"/>
                <w:sz w:val="22"/>
                <w:szCs w:val="22"/>
                <w:lang w:val="pt-PT"/>
              </w:rPr>
              <w:t xml:space="preserve"> </w:t>
            </w:r>
            <w:r w:rsidRPr="00B80109">
              <w:rPr>
                <w:rFonts w:cs="Times New Roman"/>
                <w:sz w:val="22"/>
                <w:szCs w:val="22"/>
                <w:lang w:val="pt-PT"/>
              </w:rPr>
              <w:t>ibrutinib, ribociclib)</w:t>
            </w:r>
          </w:p>
          <w:p w14:paraId="7C813CF3" w14:textId="77777777" w:rsidR="00B80109" w:rsidRPr="00EF6A1B" w:rsidRDefault="00B80109" w:rsidP="00B80109">
            <w:pPr>
              <w:pStyle w:val="TableText"/>
              <w:tabs>
                <w:tab w:val="left" w:pos="360"/>
              </w:tabs>
              <w:overflowPunct w:val="0"/>
              <w:autoSpaceDE w:val="0"/>
              <w:autoSpaceDN w:val="0"/>
              <w:adjustRightInd w:val="0"/>
              <w:textAlignment w:val="baseline"/>
              <w:rPr>
                <w:rFonts w:cs="Times New Roman"/>
                <w:i/>
                <w:iCs/>
                <w:sz w:val="22"/>
                <w:szCs w:val="22"/>
                <w:lang w:val="pt-PT"/>
              </w:rPr>
            </w:pPr>
            <w:r w:rsidRPr="00EF6A1B">
              <w:rPr>
                <w:rFonts w:cs="Times New Roman"/>
                <w:i/>
                <w:iCs/>
                <w:sz w:val="22"/>
                <w:szCs w:val="22"/>
                <w:lang w:val="pt-PT"/>
              </w:rPr>
              <w:t>[substratos do CYP3A4]</w:t>
            </w:r>
          </w:p>
        </w:tc>
        <w:tc>
          <w:tcPr>
            <w:tcW w:w="3330" w:type="dxa"/>
            <w:shd w:val="clear" w:color="auto" w:fill="auto"/>
          </w:tcPr>
          <w:p w14:paraId="050C26C0" w14:textId="77777777" w:rsidR="00B80109" w:rsidRPr="00EF6A1B" w:rsidRDefault="00B80109" w:rsidP="00B80109">
            <w:pPr>
              <w:pStyle w:val="TableText"/>
              <w:tabs>
                <w:tab w:val="left" w:pos="216"/>
                <w:tab w:val="left" w:pos="360"/>
              </w:tabs>
              <w:overflowPunct w:val="0"/>
              <w:autoSpaceDE w:val="0"/>
              <w:autoSpaceDN w:val="0"/>
              <w:adjustRightInd w:val="0"/>
              <w:textAlignment w:val="baseline"/>
              <w:rPr>
                <w:rFonts w:cs="Times New Roman"/>
                <w:sz w:val="22"/>
                <w:szCs w:val="22"/>
                <w:lang w:val="pt-PT"/>
              </w:rPr>
            </w:pPr>
            <w:r w:rsidRPr="00B80109">
              <w:rPr>
                <w:rFonts w:cs="Times New Roman"/>
                <w:sz w:val="22"/>
                <w:szCs w:val="22"/>
                <w:lang w:val="pt-PT"/>
              </w:rPr>
              <w:t>Embora não tenha sido estudado, o</w:t>
            </w:r>
            <w:r>
              <w:rPr>
                <w:rFonts w:cs="Times New Roman"/>
                <w:sz w:val="22"/>
                <w:szCs w:val="22"/>
                <w:lang w:val="pt-PT"/>
              </w:rPr>
              <w:t xml:space="preserve"> </w:t>
            </w:r>
            <w:r w:rsidRPr="00B80109">
              <w:rPr>
                <w:rFonts w:cs="Times New Roman"/>
                <w:sz w:val="22"/>
                <w:szCs w:val="22"/>
                <w:lang w:val="pt-PT"/>
              </w:rPr>
              <w:t>voriconazol poderá aumentar as</w:t>
            </w:r>
            <w:r>
              <w:rPr>
                <w:rFonts w:cs="Times New Roman"/>
                <w:sz w:val="22"/>
                <w:szCs w:val="22"/>
                <w:lang w:val="pt-PT"/>
              </w:rPr>
              <w:t xml:space="preserve"> </w:t>
            </w:r>
            <w:r w:rsidRPr="00B80109">
              <w:rPr>
                <w:rFonts w:cs="Times New Roman"/>
                <w:sz w:val="22"/>
                <w:szCs w:val="22"/>
                <w:lang w:val="pt-PT"/>
              </w:rPr>
              <w:t>concentrações plasmáticas de</w:t>
            </w:r>
            <w:r>
              <w:rPr>
                <w:rFonts w:cs="Times New Roman"/>
                <w:sz w:val="22"/>
                <w:szCs w:val="22"/>
                <w:lang w:val="pt-PT"/>
              </w:rPr>
              <w:t xml:space="preserve"> </w:t>
            </w:r>
            <w:r w:rsidRPr="00B80109">
              <w:rPr>
                <w:rFonts w:cs="Times New Roman"/>
                <w:sz w:val="22"/>
                <w:szCs w:val="22"/>
                <w:lang w:val="pt-PT"/>
              </w:rPr>
              <w:t>inibidores da tirosinacinase</w:t>
            </w:r>
            <w:r>
              <w:rPr>
                <w:rFonts w:cs="Times New Roman"/>
                <w:sz w:val="22"/>
                <w:szCs w:val="22"/>
                <w:lang w:val="pt-PT"/>
              </w:rPr>
              <w:t xml:space="preserve"> </w:t>
            </w:r>
            <w:r w:rsidRPr="00B80109">
              <w:rPr>
                <w:rFonts w:cs="Times New Roman"/>
                <w:sz w:val="22"/>
                <w:szCs w:val="22"/>
                <w:lang w:val="pt-PT"/>
              </w:rPr>
              <w:t>metabolizados pelo CYP3A4.</w:t>
            </w:r>
          </w:p>
        </w:tc>
        <w:tc>
          <w:tcPr>
            <w:tcW w:w="2790" w:type="dxa"/>
            <w:shd w:val="clear" w:color="auto" w:fill="auto"/>
          </w:tcPr>
          <w:p w14:paraId="3E373997" w14:textId="5912A1E5" w:rsidR="00B80109" w:rsidRPr="00B80109" w:rsidRDefault="00B80109" w:rsidP="00B80109">
            <w:pPr>
              <w:pStyle w:val="TableText"/>
              <w:overflowPunct w:val="0"/>
              <w:autoSpaceDE w:val="0"/>
              <w:autoSpaceDN w:val="0"/>
              <w:adjustRightInd w:val="0"/>
              <w:textAlignment w:val="baseline"/>
              <w:rPr>
                <w:rFonts w:cs="Times New Roman"/>
                <w:sz w:val="22"/>
                <w:szCs w:val="22"/>
                <w:lang w:val="pt-PT"/>
              </w:rPr>
            </w:pPr>
            <w:r w:rsidRPr="00B80109">
              <w:rPr>
                <w:rFonts w:cs="Times New Roman"/>
                <w:sz w:val="22"/>
                <w:szCs w:val="22"/>
                <w:lang w:val="pt-PT"/>
              </w:rPr>
              <w:t>Se o uso concomitante não</w:t>
            </w:r>
            <w:r>
              <w:rPr>
                <w:rFonts w:cs="Times New Roman"/>
                <w:sz w:val="22"/>
                <w:szCs w:val="22"/>
                <w:lang w:val="pt-PT"/>
              </w:rPr>
              <w:t xml:space="preserve"> </w:t>
            </w:r>
            <w:r w:rsidRPr="00B80109">
              <w:rPr>
                <w:rFonts w:cs="Times New Roman"/>
                <w:sz w:val="22"/>
                <w:szCs w:val="22"/>
                <w:lang w:val="pt-PT"/>
              </w:rPr>
              <w:t>puder ser evitado,</w:t>
            </w:r>
            <w:r>
              <w:rPr>
                <w:rFonts w:cs="Times New Roman"/>
                <w:sz w:val="22"/>
                <w:szCs w:val="22"/>
                <w:lang w:val="pt-PT"/>
              </w:rPr>
              <w:t xml:space="preserve"> </w:t>
            </w:r>
            <w:r w:rsidRPr="00B80109">
              <w:rPr>
                <w:rFonts w:cs="Times New Roman"/>
                <w:sz w:val="22"/>
                <w:szCs w:val="22"/>
                <w:lang w:val="pt-PT"/>
              </w:rPr>
              <w:t>recomenda-se a redução da</w:t>
            </w:r>
            <w:r>
              <w:rPr>
                <w:rFonts w:cs="Times New Roman"/>
                <w:sz w:val="22"/>
                <w:szCs w:val="22"/>
                <w:lang w:val="pt-PT"/>
              </w:rPr>
              <w:t xml:space="preserve"> </w:t>
            </w:r>
            <w:r w:rsidRPr="00B80109">
              <w:rPr>
                <w:rFonts w:cs="Times New Roman"/>
                <w:sz w:val="22"/>
                <w:szCs w:val="22"/>
                <w:lang w:val="pt-PT"/>
              </w:rPr>
              <w:t>dose de inibidor da</w:t>
            </w:r>
            <w:r>
              <w:rPr>
                <w:rFonts w:cs="Times New Roman"/>
                <w:sz w:val="22"/>
                <w:szCs w:val="22"/>
                <w:lang w:val="pt-PT"/>
              </w:rPr>
              <w:t xml:space="preserve"> </w:t>
            </w:r>
            <w:r w:rsidRPr="00B80109">
              <w:rPr>
                <w:rFonts w:cs="Times New Roman"/>
                <w:sz w:val="22"/>
                <w:szCs w:val="22"/>
                <w:lang w:val="pt-PT"/>
              </w:rPr>
              <w:t>tirosinacinase</w:t>
            </w:r>
            <w:r w:rsidR="00376167">
              <w:rPr>
                <w:rFonts w:cs="Times New Roman"/>
                <w:sz w:val="22"/>
                <w:szCs w:val="22"/>
                <w:lang w:val="pt-PT"/>
              </w:rPr>
              <w:t xml:space="preserve"> </w:t>
            </w:r>
            <w:r w:rsidR="00376167" w:rsidRPr="00376167">
              <w:rPr>
                <w:rFonts w:cs="Times New Roman"/>
                <w:sz w:val="22"/>
                <w:szCs w:val="22"/>
                <w:lang w:val="pt-PT"/>
              </w:rPr>
              <w:t>e uma monitorização clínica cuidadosa</w:t>
            </w:r>
            <w:r w:rsidRPr="00B80109">
              <w:rPr>
                <w:rFonts w:cs="Times New Roman"/>
                <w:sz w:val="22"/>
                <w:szCs w:val="22"/>
                <w:lang w:val="pt-PT"/>
              </w:rPr>
              <w:t xml:space="preserve"> (ver</w:t>
            </w:r>
            <w:r>
              <w:rPr>
                <w:rFonts w:cs="Times New Roman"/>
                <w:sz w:val="22"/>
                <w:szCs w:val="22"/>
                <w:lang w:val="pt-PT"/>
              </w:rPr>
              <w:t xml:space="preserve"> </w:t>
            </w:r>
            <w:r w:rsidRPr="00B80109">
              <w:rPr>
                <w:rFonts w:cs="Times New Roman"/>
                <w:sz w:val="22"/>
                <w:szCs w:val="22"/>
                <w:lang w:val="pt-PT"/>
              </w:rPr>
              <w:t>secção 4.4).</w:t>
            </w:r>
          </w:p>
        </w:tc>
      </w:tr>
      <w:tr w:rsidR="00CF069D" w:rsidRPr="00376167" w14:paraId="004EF469" w14:textId="77777777" w:rsidTr="00DB5F00">
        <w:tc>
          <w:tcPr>
            <w:tcW w:w="2880" w:type="dxa"/>
            <w:shd w:val="clear" w:color="auto" w:fill="auto"/>
          </w:tcPr>
          <w:p w14:paraId="5F080350"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Anticoagulantes</w:t>
            </w:r>
          </w:p>
          <w:p w14:paraId="5173EAD4"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6704ADE4"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lastRenderedPageBreak/>
              <w:t>Varfarina (dose única de 30 mg, coadministrada com 300 mg BID de voriconazol)</w:t>
            </w:r>
          </w:p>
          <w:p w14:paraId="398FECBA"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i/>
                <w:sz w:val="22"/>
                <w:szCs w:val="22"/>
                <w:lang w:val="pt-PT"/>
              </w:rPr>
              <w:t>[substrato do CYP2C9]</w:t>
            </w:r>
          </w:p>
          <w:p w14:paraId="617980CC"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p>
          <w:p w14:paraId="0D4EFB2A" w14:textId="12E10C14"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Outros cumarínicos orais</w:t>
            </w:r>
            <w:r w:rsidRPr="002A54AF">
              <w:rPr>
                <w:rFonts w:cs="Times New Roman"/>
                <w:sz w:val="22"/>
                <w:szCs w:val="22"/>
                <w:lang w:val="pt-PT"/>
              </w:rPr>
              <w:br/>
              <w:t>(</w:t>
            </w:r>
            <w:r w:rsidR="00FC1C76" w:rsidRPr="00FC1C76">
              <w:rPr>
                <w:rFonts w:cs="Times New Roman"/>
                <w:sz w:val="22"/>
                <w:szCs w:val="22"/>
                <w:lang w:val="pt-PT"/>
              </w:rPr>
              <w:t xml:space="preserve">incluindo, mas não limitado a: </w:t>
            </w:r>
            <w:r w:rsidRPr="002A54AF">
              <w:rPr>
                <w:rFonts w:cs="Times New Roman"/>
                <w:sz w:val="22"/>
                <w:szCs w:val="22"/>
                <w:lang w:val="pt-PT"/>
              </w:rPr>
              <w:t xml:space="preserve"> femprocumom, acenocumarol)</w:t>
            </w:r>
          </w:p>
          <w:p w14:paraId="2A0620B3" w14:textId="77777777" w:rsidR="00CF069D" w:rsidRPr="002A54AF" w:rsidRDefault="00CF069D" w:rsidP="00CF069D">
            <w:pPr>
              <w:pStyle w:val="TableText"/>
              <w:tabs>
                <w:tab w:val="left" w:pos="360"/>
              </w:tabs>
              <w:overflowPunct w:val="0"/>
              <w:autoSpaceDE w:val="0"/>
              <w:autoSpaceDN w:val="0"/>
              <w:adjustRightInd w:val="0"/>
              <w:ind w:hanging="216"/>
              <w:textAlignment w:val="baseline"/>
              <w:rPr>
                <w:rFonts w:cs="Times New Roman"/>
                <w:sz w:val="22"/>
                <w:szCs w:val="22"/>
              </w:rPr>
            </w:pPr>
            <w:r w:rsidRPr="002A54AF">
              <w:rPr>
                <w:rFonts w:cs="Times New Roman"/>
                <w:sz w:val="22"/>
                <w:szCs w:val="22"/>
                <w:lang w:val="pt-PT"/>
              </w:rPr>
              <w:t xml:space="preserve"> </w:t>
            </w:r>
            <w:r w:rsidRPr="002A54AF">
              <w:rPr>
                <w:rFonts w:cs="Times New Roman"/>
                <w:sz w:val="22"/>
                <w:szCs w:val="22"/>
                <w:lang w:val="pt-PT"/>
              </w:rPr>
              <w:tab/>
            </w:r>
            <w:r w:rsidRPr="002A54AF">
              <w:rPr>
                <w:rFonts w:cs="Times New Roman"/>
                <w:i/>
                <w:sz w:val="22"/>
                <w:szCs w:val="22"/>
              </w:rPr>
              <w:t>[</w:t>
            </w:r>
            <w:r w:rsidRPr="002A54AF">
              <w:rPr>
                <w:rFonts w:cs="Times New Roman"/>
                <w:i/>
                <w:sz w:val="22"/>
                <w:szCs w:val="22"/>
                <w:lang w:val="pt-PT"/>
              </w:rPr>
              <w:t>substratos do CYP2C9, CYP3A4</w:t>
            </w:r>
            <w:r w:rsidRPr="002A54AF">
              <w:rPr>
                <w:rFonts w:cs="Times New Roman"/>
                <w:i/>
                <w:sz w:val="22"/>
                <w:szCs w:val="22"/>
              </w:rPr>
              <w:t>]</w:t>
            </w:r>
          </w:p>
        </w:tc>
        <w:tc>
          <w:tcPr>
            <w:tcW w:w="3330" w:type="dxa"/>
            <w:shd w:val="clear" w:color="auto" w:fill="auto"/>
          </w:tcPr>
          <w:p w14:paraId="48212D79"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3BDA4882"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401C7CFE"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lastRenderedPageBreak/>
              <w:t>O aumento máximo do tempo de protrombina foi de, aproximadamente, 2 vezes.</w:t>
            </w:r>
          </w:p>
          <w:p w14:paraId="1FF3E6FB"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6AF0E254" w14:textId="77777777" w:rsidR="00CF069D" w:rsidRPr="002A54AF" w:rsidRDefault="00CF069D" w:rsidP="00CF069D">
            <w:pPr>
              <w:pStyle w:val="TableText"/>
              <w:tabs>
                <w:tab w:val="left" w:pos="216"/>
                <w:tab w:val="left" w:pos="360"/>
              </w:tabs>
              <w:overflowPunct w:val="0"/>
              <w:autoSpaceDE w:val="0"/>
              <w:autoSpaceDN w:val="0"/>
              <w:adjustRightInd w:val="0"/>
              <w:textAlignment w:val="baseline"/>
              <w:rPr>
                <w:rFonts w:cs="Times New Roman"/>
                <w:sz w:val="22"/>
                <w:szCs w:val="22"/>
                <w:lang w:val="pt-PT"/>
              </w:rPr>
            </w:pPr>
          </w:p>
          <w:p w14:paraId="3627A4BB" w14:textId="77777777" w:rsidR="00CF069D" w:rsidRPr="002A54AF" w:rsidRDefault="00CF069D" w:rsidP="00CF069D">
            <w:pPr>
              <w:tabs>
                <w:tab w:val="left" w:pos="567"/>
              </w:tabs>
              <w:rPr>
                <w:szCs w:val="22"/>
                <w:lang w:val="pt-PT"/>
              </w:rPr>
            </w:pPr>
            <w:r w:rsidRPr="002A54AF">
              <w:rPr>
                <w:szCs w:val="22"/>
                <w:lang w:val="pt-PT"/>
              </w:rPr>
              <w:t xml:space="preserve">Apesar de não ter sido estudado, o voriconazol pode aumentar a concentração plasmática dos anticoagulantes cumarínicos que pode aumentar o tempo de protrombina. </w:t>
            </w:r>
          </w:p>
          <w:p w14:paraId="29E76949" w14:textId="77777777" w:rsidR="00CF069D" w:rsidRPr="002A54AF" w:rsidRDefault="00CF069D" w:rsidP="00CF069D">
            <w:pPr>
              <w:pStyle w:val="TableText"/>
              <w:tabs>
                <w:tab w:val="left" w:pos="216"/>
                <w:tab w:val="left" w:pos="360"/>
              </w:tabs>
              <w:overflowPunct w:val="0"/>
              <w:autoSpaceDE w:val="0"/>
              <w:autoSpaceDN w:val="0"/>
              <w:adjustRightInd w:val="0"/>
              <w:textAlignment w:val="baseline"/>
              <w:rPr>
                <w:rFonts w:cs="Times New Roman"/>
                <w:sz w:val="22"/>
                <w:szCs w:val="22"/>
                <w:lang w:val="pt-PT"/>
              </w:rPr>
            </w:pPr>
          </w:p>
          <w:p w14:paraId="2DBED6B5" w14:textId="77777777" w:rsidR="00CF069D" w:rsidRPr="002A54AF" w:rsidRDefault="00CF069D" w:rsidP="00CF069D">
            <w:pPr>
              <w:tabs>
                <w:tab w:val="left" w:pos="567"/>
              </w:tabs>
              <w:rPr>
                <w:szCs w:val="22"/>
                <w:lang w:val="pt-PT"/>
              </w:rPr>
            </w:pPr>
          </w:p>
        </w:tc>
        <w:tc>
          <w:tcPr>
            <w:tcW w:w="2790" w:type="dxa"/>
            <w:shd w:val="clear" w:color="auto" w:fill="auto"/>
          </w:tcPr>
          <w:p w14:paraId="0D3FB8A5"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609B5214"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41A8B5B0"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lastRenderedPageBreak/>
              <w:t>Recomenda-se a monitorização cuidadosa do tempo de protrombina ou outros testes adequados de anticoagulação, e a dose dos anticoagulantes deve ser ajustada em conformidade.</w:t>
            </w:r>
          </w:p>
        </w:tc>
      </w:tr>
      <w:tr w:rsidR="00CF069D" w:rsidRPr="00376167" w14:paraId="4BC17758" w14:textId="77777777" w:rsidTr="00DB5F00">
        <w:tc>
          <w:tcPr>
            <w:tcW w:w="2880" w:type="dxa"/>
            <w:shd w:val="clear" w:color="auto" w:fill="auto"/>
          </w:tcPr>
          <w:p w14:paraId="700320F4" w14:textId="77777777" w:rsidR="00CF069D" w:rsidRPr="00CF069D"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CF069D">
              <w:rPr>
                <w:rFonts w:cs="Times New Roman"/>
                <w:sz w:val="22"/>
                <w:szCs w:val="22"/>
                <w:lang w:val="pt-PT"/>
              </w:rPr>
              <w:lastRenderedPageBreak/>
              <w:t>Ivacaftor</w:t>
            </w:r>
          </w:p>
          <w:p w14:paraId="4314356A" w14:textId="77777777" w:rsidR="00CF069D" w:rsidRPr="00646C77" w:rsidRDefault="00CF069D" w:rsidP="00CF069D">
            <w:pPr>
              <w:pStyle w:val="TableText"/>
              <w:tabs>
                <w:tab w:val="left" w:pos="360"/>
              </w:tabs>
              <w:overflowPunct w:val="0"/>
              <w:autoSpaceDE w:val="0"/>
              <w:autoSpaceDN w:val="0"/>
              <w:adjustRightInd w:val="0"/>
              <w:textAlignment w:val="baseline"/>
              <w:rPr>
                <w:rFonts w:cs="Times New Roman"/>
                <w:i/>
                <w:iCs/>
                <w:sz w:val="22"/>
                <w:szCs w:val="22"/>
                <w:lang w:val="pt-PT"/>
              </w:rPr>
            </w:pPr>
            <w:r w:rsidRPr="00646C77">
              <w:rPr>
                <w:rFonts w:cs="Times New Roman"/>
                <w:i/>
                <w:iCs/>
                <w:sz w:val="22"/>
                <w:szCs w:val="22"/>
                <w:lang w:val="pt-PT"/>
              </w:rPr>
              <w:t>[substrato do CYP3A4]</w:t>
            </w:r>
          </w:p>
        </w:tc>
        <w:tc>
          <w:tcPr>
            <w:tcW w:w="3330" w:type="dxa"/>
            <w:shd w:val="clear" w:color="auto" w:fill="auto"/>
          </w:tcPr>
          <w:p w14:paraId="795206A3"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CF069D">
              <w:rPr>
                <w:rFonts w:cs="Times New Roman"/>
                <w:sz w:val="22"/>
                <w:szCs w:val="22"/>
                <w:lang w:val="pt-PT"/>
              </w:rPr>
              <w:t>Apesar de não ter sido estudado, é</w:t>
            </w:r>
            <w:r>
              <w:rPr>
                <w:rFonts w:cs="Times New Roman"/>
                <w:sz w:val="22"/>
                <w:szCs w:val="22"/>
                <w:lang w:val="pt-PT"/>
              </w:rPr>
              <w:t xml:space="preserve"> </w:t>
            </w:r>
            <w:r w:rsidRPr="00CF069D">
              <w:rPr>
                <w:rFonts w:cs="Times New Roman"/>
                <w:sz w:val="22"/>
                <w:szCs w:val="22"/>
                <w:lang w:val="pt-PT"/>
              </w:rPr>
              <w:t>provável que o voriconazol aumente</w:t>
            </w:r>
            <w:r>
              <w:rPr>
                <w:rFonts w:cs="Times New Roman"/>
                <w:sz w:val="22"/>
                <w:szCs w:val="22"/>
                <w:lang w:val="pt-PT"/>
              </w:rPr>
              <w:t xml:space="preserve"> </w:t>
            </w:r>
            <w:r w:rsidRPr="00CF069D">
              <w:rPr>
                <w:rFonts w:cs="Times New Roman"/>
                <w:sz w:val="22"/>
                <w:szCs w:val="22"/>
                <w:lang w:val="pt-PT"/>
              </w:rPr>
              <w:t>as concentrações plasmáticas do</w:t>
            </w:r>
            <w:r>
              <w:rPr>
                <w:rFonts w:cs="Times New Roman"/>
                <w:sz w:val="22"/>
                <w:szCs w:val="22"/>
                <w:lang w:val="pt-PT"/>
              </w:rPr>
              <w:t xml:space="preserve"> </w:t>
            </w:r>
            <w:r w:rsidRPr="00CF069D">
              <w:rPr>
                <w:rFonts w:cs="Times New Roman"/>
                <w:sz w:val="22"/>
                <w:szCs w:val="22"/>
                <w:lang w:val="pt-PT"/>
              </w:rPr>
              <w:t>ivacaftor com risco de aumento dos</w:t>
            </w:r>
            <w:r>
              <w:rPr>
                <w:rFonts w:cs="Times New Roman"/>
                <w:sz w:val="22"/>
                <w:szCs w:val="22"/>
                <w:lang w:val="pt-PT"/>
              </w:rPr>
              <w:t xml:space="preserve"> </w:t>
            </w:r>
            <w:r w:rsidRPr="00CF069D">
              <w:rPr>
                <w:rFonts w:cs="Times New Roman"/>
                <w:sz w:val="22"/>
                <w:szCs w:val="22"/>
                <w:lang w:val="pt-PT"/>
              </w:rPr>
              <w:t>efeitos adversos.</w:t>
            </w:r>
          </w:p>
        </w:tc>
        <w:tc>
          <w:tcPr>
            <w:tcW w:w="2790" w:type="dxa"/>
            <w:shd w:val="clear" w:color="auto" w:fill="auto"/>
          </w:tcPr>
          <w:p w14:paraId="5AD580F7" w14:textId="77777777" w:rsidR="00CF069D" w:rsidRPr="002A54AF" w:rsidRDefault="00CF069D" w:rsidP="00646C77">
            <w:pPr>
              <w:pStyle w:val="TableText"/>
              <w:tabs>
                <w:tab w:val="left" w:pos="216"/>
              </w:tabs>
              <w:overflowPunct w:val="0"/>
              <w:autoSpaceDE w:val="0"/>
              <w:autoSpaceDN w:val="0"/>
              <w:adjustRightInd w:val="0"/>
              <w:textAlignment w:val="baseline"/>
              <w:rPr>
                <w:rFonts w:cs="Times New Roman"/>
                <w:sz w:val="22"/>
                <w:szCs w:val="22"/>
                <w:lang w:val="pt-PT"/>
              </w:rPr>
            </w:pPr>
            <w:r w:rsidRPr="00646C77">
              <w:rPr>
                <w:rFonts w:cs="Times New Roman"/>
                <w:sz w:val="22"/>
                <w:szCs w:val="22"/>
                <w:lang w:val="pt-PT"/>
              </w:rPr>
              <w:t>Recomenda-se a redu</w:t>
            </w:r>
            <w:r w:rsidRPr="00646C77">
              <w:rPr>
                <w:rFonts w:cs="Times New Roman" w:hint="eastAsia"/>
                <w:sz w:val="22"/>
                <w:szCs w:val="22"/>
                <w:lang w:val="pt-PT"/>
              </w:rPr>
              <w:t>çã</w:t>
            </w:r>
            <w:r w:rsidRPr="00646C77">
              <w:rPr>
                <w:rFonts w:cs="Times New Roman"/>
                <w:sz w:val="22"/>
                <w:szCs w:val="22"/>
                <w:lang w:val="pt-PT"/>
              </w:rPr>
              <w:t>o da dose de ivacaftor.</w:t>
            </w:r>
          </w:p>
        </w:tc>
      </w:tr>
      <w:tr w:rsidR="00CF069D" w:rsidRPr="00376167" w14:paraId="49AB53DD" w14:textId="77777777" w:rsidTr="00DB5F00">
        <w:tc>
          <w:tcPr>
            <w:tcW w:w="2880" w:type="dxa"/>
            <w:shd w:val="clear" w:color="auto" w:fill="auto"/>
          </w:tcPr>
          <w:p w14:paraId="580C4F39"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BR"/>
              </w:rPr>
            </w:pPr>
            <w:r w:rsidRPr="002A54AF">
              <w:rPr>
                <w:rFonts w:cs="Times New Roman"/>
                <w:sz w:val="22"/>
                <w:szCs w:val="22"/>
                <w:lang w:val="pt-BR"/>
              </w:rPr>
              <w:t xml:space="preserve">Benzodiazepinas </w:t>
            </w:r>
          </w:p>
          <w:p w14:paraId="6B4818E4" w14:textId="77777777" w:rsidR="00CF069D"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i/>
                <w:sz w:val="22"/>
                <w:szCs w:val="22"/>
                <w:lang w:val="pt-BR"/>
              </w:rPr>
              <w:t>[substratos do CYP3A4]</w:t>
            </w:r>
            <w:r w:rsidRPr="002A54AF">
              <w:rPr>
                <w:rFonts w:cs="Times New Roman"/>
                <w:sz w:val="22"/>
                <w:szCs w:val="22"/>
                <w:lang w:val="pt-PT"/>
              </w:rPr>
              <w:t xml:space="preserve"> </w:t>
            </w:r>
          </w:p>
          <w:p w14:paraId="47EFE534" w14:textId="77777777" w:rsidR="00B80109" w:rsidRDefault="00B80109" w:rsidP="00B80109">
            <w:pPr>
              <w:pStyle w:val="TableText"/>
              <w:tabs>
                <w:tab w:val="left" w:pos="360"/>
              </w:tabs>
              <w:overflowPunct w:val="0"/>
              <w:autoSpaceDE w:val="0"/>
              <w:autoSpaceDN w:val="0"/>
              <w:adjustRightInd w:val="0"/>
              <w:textAlignment w:val="baseline"/>
              <w:rPr>
                <w:rFonts w:cs="Times New Roman"/>
                <w:sz w:val="22"/>
                <w:szCs w:val="22"/>
                <w:lang w:val="pt-PT"/>
              </w:rPr>
            </w:pPr>
            <w:r>
              <w:rPr>
                <w:rFonts w:cs="Times New Roman"/>
                <w:sz w:val="22"/>
                <w:szCs w:val="22"/>
                <w:lang w:val="pt-PT"/>
              </w:rPr>
              <w:t xml:space="preserve">   </w:t>
            </w:r>
            <w:r w:rsidRPr="00B80109">
              <w:rPr>
                <w:rFonts w:cs="Times New Roman"/>
                <w:sz w:val="22"/>
                <w:szCs w:val="22"/>
                <w:lang w:val="pt-PT"/>
              </w:rPr>
              <w:t>Midazolam (dose única de</w:t>
            </w:r>
            <w:r>
              <w:rPr>
                <w:rFonts w:cs="Times New Roman"/>
                <w:sz w:val="22"/>
                <w:szCs w:val="22"/>
                <w:lang w:val="pt-PT"/>
              </w:rPr>
              <w:t xml:space="preserve"> </w:t>
            </w:r>
            <w:r w:rsidRPr="00B80109">
              <w:rPr>
                <w:rFonts w:cs="Times New Roman"/>
                <w:sz w:val="22"/>
                <w:szCs w:val="22"/>
                <w:lang w:val="pt-PT"/>
              </w:rPr>
              <w:t>0,05 mg/kg IV)</w:t>
            </w:r>
          </w:p>
          <w:p w14:paraId="5938D7D4" w14:textId="77777777" w:rsidR="00B80109" w:rsidRPr="00B80109" w:rsidRDefault="00B80109" w:rsidP="00B80109">
            <w:pPr>
              <w:pStyle w:val="TableText"/>
              <w:tabs>
                <w:tab w:val="left" w:pos="360"/>
              </w:tabs>
              <w:overflowPunct w:val="0"/>
              <w:autoSpaceDE w:val="0"/>
              <w:autoSpaceDN w:val="0"/>
              <w:adjustRightInd w:val="0"/>
              <w:textAlignment w:val="baseline"/>
              <w:rPr>
                <w:rFonts w:cs="Times New Roman"/>
                <w:sz w:val="22"/>
                <w:szCs w:val="22"/>
                <w:lang w:val="pt-PT"/>
              </w:rPr>
            </w:pPr>
          </w:p>
          <w:p w14:paraId="74BCB4FB" w14:textId="77777777" w:rsidR="00B80109" w:rsidRDefault="00B80109" w:rsidP="00B80109">
            <w:pPr>
              <w:pStyle w:val="TableText"/>
              <w:tabs>
                <w:tab w:val="left" w:pos="360"/>
              </w:tabs>
              <w:overflowPunct w:val="0"/>
              <w:autoSpaceDE w:val="0"/>
              <w:autoSpaceDN w:val="0"/>
              <w:adjustRightInd w:val="0"/>
              <w:textAlignment w:val="baseline"/>
              <w:rPr>
                <w:rFonts w:cs="Times New Roman"/>
                <w:sz w:val="22"/>
                <w:szCs w:val="22"/>
                <w:lang w:val="pt-PT"/>
              </w:rPr>
            </w:pPr>
            <w:r>
              <w:rPr>
                <w:rFonts w:cs="Times New Roman"/>
                <w:sz w:val="22"/>
                <w:szCs w:val="22"/>
                <w:lang w:val="pt-PT"/>
              </w:rPr>
              <w:t xml:space="preserve">   </w:t>
            </w:r>
            <w:r w:rsidRPr="00B80109">
              <w:rPr>
                <w:rFonts w:cs="Times New Roman"/>
                <w:sz w:val="22"/>
                <w:szCs w:val="22"/>
                <w:lang w:val="pt-PT"/>
              </w:rPr>
              <w:t>Midazolam (dose única de</w:t>
            </w:r>
            <w:r>
              <w:rPr>
                <w:rFonts w:cs="Times New Roman"/>
                <w:sz w:val="22"/>
                <w:szCs w:val="22"/>
                <w:lang w:val="pt-PT"/>
              </w:rPr>
              <w:t xml:space="preserve"> </w:t>
            </w:r>
            <w:r w:rsidRPr="00B80109">
              <w:rPr>
                <w:rFonts w:cs="Times New Roman"/>
                <w:sz w:val="22"/>
                <w:szCs w:val="22"/>
                <w:lang w:val="pt-PT"/>
              </w:rPr>
              <w:t>7,5 mg oral)</w:t>
            </w:r>
          </w:p>
          <w:p w14:paraId="067800A4" w14:textId="77777777" w:rsidR="00B80109" w:rsidRPr="00B80109" w:rsidRDefault="00B80109" w:rsidP="00B80109">
            <w:pPr>
              <w:pStyle w:val="TableText"/>
              <w:tabs>
                <w:tab w:val="left" w:pos="360"/>
              </w:tabs>
              <w:overflowPunct w:val="0"/>
              <w:autoSpaceDE w:val="0"/>
              <w:autoSpaceDN w:val="0"/>
              <w:adjustRightInd w:val="0"/>
              <w:textAlignment w:val="baseline"/>
              <w:rPr>
                <w:rFonts w:cs="Times New Roman"/>
                <w:sz w:val="22"/>
                <w:szCs w:val="22"/>
                <w:lang w:val="pt-PT"/>
              </w:rPr>
            </w:pPr>
          </w:p>
          <w:p w14:paraId="44BD4601" w14:textId="359F6B3C" w:rsidR="00B80109" w:rsidRPr="00B80109" w:rsidRDefault="00B80109" w:rsidP="00B80109">
            <w:pPr>
              <w:pStyle w:val="TableText"/>
              <w:tabs>
                <w:tab w:val="left" w:pos="360"/>
              </w:tabs>
              <w:overflowPunct w:val="0"/>
              <w:autoSpaceDE w:val="0"/>
              <w:autoSpaceDN w:val="0"/>
              <w:adjustRightInd w:val="0"/>
              <w:textAlignment w:val="baseline"/>
              <w:rPr>
                <w:rFonts w:cs="Times New Roman"/>
                <w:sz w:val="22"/>
                <w:szCs w:val="22"/>
                <w:lang w:val="pt-PT"/>
              </w:rPr>
            </w:pPr>
            <w:r>
              <w:rPr>
                <w:rFonts w:cs="Times New Roman"/>
                <w:sz w:val="22"/>
                <w:szCs w:val="22"/>
                <w:lang w:val="pt-PT"/>
              </w:rPr>
              <w:t xml:space="preserve">   </w:t>
            </w:r>
            <w:r w:rsidRPr="00B80109">
              <w:rPr>
                <w:rFonts w:cs="Times New Roman"/>
                <w:sz w:val="22"/>
                <w:szCs w:val="22"/>
                <w:lang w:val="pt-PT"/>
              </w:rPr>
              <w:t>Outras benzodiazepinas</w:t>
            </w:r>
            <w:r>
              <w:rPr>
                <w:rFonts w:cs="Times New Roman"/>
                <w:sz w:val="22"/>
                <w:szCs w:val="22"/>
                <w:lang w:val="pt-PT"/>
              </w:rPr>
              <w:t xml:space="preserve"> </w:t>
            </w:r>
            <w:r w:rsidRPr="00B80109">
              <w:rPr>
                <w:rFonts w:cs="Times New Roman"/>
                <w:sz w:val="22"/>
                <w:szCs w:val="22"/>
                <w:lang w:val="pt-PT"/>
              </w:rPr>
              <w:t>(</w:t>
            </w:r>
            <w:r w:rsidR="00FC1C76" w:rsidRPr="00FC1C76">
              <w:rPr>
                <w:rFonts w:cs="Times New Roman"/>
                <w:sz w:val="22"/>
                <w:szCs w:val="22"/>
                <w:lang w:val="pt-PT"/>
              </w:rPr>
              <w:t xml:space="preserve">incluindo, mas não limitado a: </w:t>
            </w:r>
            <w:r w:rsidRPr="00B80109">
              <w:rPr>
                <w:rFonts w:cs="Times New Roman"/>
                <w:sz w:val="22"/>
                <w:szCs w:val="22"/>
                <w:lang w:val="pt-PT"/>
              </w:rPr>
              <w:t>p. ex., triazolam,</w:t>
            </w:r>
            <w:r>
              <w:rPr>
                <w:rFonts w:cs="Times New Roman"/>
                <w:sz w:val="22"/>
                <w:szCs w:val="22"/>
                <w:lang w:val="pt-PT"/>
              </w:rPr>
              <w:t xml:space="preserve"> </w:t>
            </w:r>
            <w:r w:rsidRPr="00B80109">
              <w:rPr>
                <w:rFonts w:cs="Times New Roman"/>
                <w:sz w:val="22"/>
                <w:szCs w:val="22"/>
                <w:lang w:val="pt-PT"/>
              </w:rPr>
              <w:t>alprazolam)</w:t>
            </w:r>
          </w:p>
        </w:tc>
        <w:tc>
          <w:tcPr>
            <w:tcW w:w="3330" w:type="dxa"/>
            <w:shd w:val="clear" w:color="auto" w:fill="auto"/>
          </w:tcPr>
          <w:p w14:paraId="2C337792" w14:textId="77777777" w:rsidR="00B80109" w:rsidRPr="00B80109" w:rsidRDefault="00B80109" w:rsidP="00B80109">
            <w:pPr>
              <w:tabs>
                <w:tab w:val="left" w:pos="567"/>
              </w:tabs>
              <w:rPr>
                <w:szCs w:val="22"/>
                <w:lang w:val="pt-PT"/>
              </w:rPr>
            </w:pPr>
            <w:r w:rsidRPr="00B80109">
              <w:rPr>
                <w:szCs w:val="22"/>
                <w:lang w:val="pt-PT"/>
              </w:rPr>
              <w:t>Num estudo independente publicado,</w:t>
            </w:r>
          </w:p>
          <w:p w14:paraId="4D7EE265" w14:textId="77777777" w:rsidR="00B80109" w:rsidRPr="00B80109" w:rsidRDefault="00B80109" w:rsidP="00B80109">
            <w:pPr>
              <w:tabs>
                <w:tab w:val="left" w:pos="567"/>
              </w:tabs>
              <w:rPr>
                <w:szCs w:val="22"/>
                <w:lang w:val="pt-PT"/>
              </w:rPr>
            </w:pPr>
            <w:r w:rsidRPr="00B80109">
              <w:rPr>
                <w:szCs w:val="22"/>
                <w:lang w:val="pt-PT"/>
              </w:rPr>
              <w:t xml:space="preserve">Midazolam </w:t>
            </w:r>
            <w:r w:rsidRPr="00ED57C2">
              <w:rPr>
                <w:szCs w:val="22"/>
                <w:lang w:val="pt-PT"/>
              </w:rPr>
              <w:t>AUC</w:t>
            </w:r>
            <w:r w:rsidRPr="00ED57C2">
              <w:rPr>
                <w:szCs w:val="22"/>
                <w:vertAlign w:val="subscript"/>
                <w:lang w:val="pt-PT"/>
              </w:rPr>
              <w:t>0-</w:t>
            </w:r>
            <w:r w:rsidRPr="00444962">
              <w:rPr>
                <w:szCs w:val="22"/>
                <w:vertAlign w:val="subscript"/>
              </w:rPr>
              <w:sym w:font="Symbol" w:char="F0A5"/>
            </w:r>
            <w:r w:rsidRPr="00ED57C2">
              <w:rPr>
                <w:szCs w:val="22"/>
                <w:lang w:val="pt-PT"/>
              </w:rPr>
              <w:t xml:space="preserve"> </w:t>
            </w:r>
            <w:r w:rsidRPr="00B80109">
              <w:rPr>
                <w:szCs w:val="22"/>
                <w:lang w:val="pt-PT"/>
              </w:rPr>
              <w:t>↑ 3,7 vezes</w:t>
            </w:r>
          </w:p>
          <w:p w14:paraId="17C02C0A" w14:textId="77777777" w:rsidR="00B80109" w:rsidRDefault="00B80109" w:rsidP="00B80109">
            <w:pPr>
              <w:tabs>
                <w:tab w:val="left" w:pos="567"/>
              </w:tabs>
              <w:rPr>
                <w:szCs w:val="22"/>
                <w:lang w:val="pt-PT"/>
              </w:rPr>
            </w:pPr>
          </w:p>
          <w:p w14:paraId="42662BF6" w14:textId="77777777" w:rsidR="00B80109" w:rsidRPr="00B80109" w:rsidRDefault="00B80109" w:rsidP="00B80109">
            <w:pPr>
              <w:tabs>
                <w:tab w:val="left" w:pos="567"/>
              </w:tabs>
              <w:rPr>
                <w:szCs w:val="22"/>
                <w:lang w:val="pt-PT"/>
              </w:rPr>
            </w:pPr>
            <w:r w:rsidRPr="00B80109">
              <w:rPr>
                <w:szCs w:val="22"/>
                <w:lang w:val="pt-PT"/>
              </w:rPr>
              <w:t>Num estudo independente publicado,</w:t>
            </w:r>
          </w:p>
          <w:p w14:paraId="64B15C46" w14:textId="77777777" w:rsidR="00B80109" w:rsidRPr="00B80109" w:rsidRDefault="00B80109" w:rsidP="00B80109">
            <w:pPr>
              <w:tabs>
                <w:tab w:val="left" w:pos="567"/>
              </w:tabs>
              <w:rPr>
                <w:szCs w:val="22"/>
                <w:lang w:val="pt-PT"/>
              </w:rPr>
            </w:pPr>
            <w:r w:rsidRPr="00B80109">
              <w:rPr>
                <w:szCs w:val="22"/>
                <w:lang w:val="pt-PT"/>
              </w:rPr>
              <w:t>Midazolam C</w:t>
            </w:r>
            <w:r w:rsidRPr="00EF6A1B">
              <w:rPr>
                <w:szCs w:val="22"/>
                <w:vertAlign w:val="subscript"/>
                <w:lang w:val="pt-PT"/>
              </w:rPr>
              <w:t>max</w:t>
            </w:r>
            <w:r w:rsidRPr="00B80109">
              <w:rPr>
                <w:szCs w:val="22"/>
                <w:lang w:val="pt-PT"/>
              </w:rPr>
              <w:t xml:space="preserve"> ↑ 3,8 vezes</w:t>
            </w:r>
          </w:p>
          <w:p w14:paraId="032DD674" w14:textId="77777777" w:rsidR="00B80109" w:rsidRPr="00B80109" w:rsidRDefault="00B80109" w:rsidP="00B80109">
            <w:pPr>
              <w:tabs>
                <w:tab w:val="left" w:pos="567"/>
              </w:tabs>
              <w:rPr>
                <w:szCs w:val="22"/>
                <w:lang w:val="pt-PT"/>
              </w:rPr>
            </w:pPr>
            <w:r w:rsidRPr="00B80109">
              <w:rPr>
                <w:szCs w:val="22"/>
                <w:lang w:val="pt-PT"/>
              </w:rPr>
              <w:t xml:space="preserve">Midazolam </w:t>
            </w:r>
            <w:r w:rsidRPr="00EF6A1B">
              <w:rPr>
                <w:szCs w:val="22"/>
                <w:lang w:val="pt-PT"/>
              </w:rPr>
              <w:t>AUC</w:t>
            </w:r>
            <w:r w:rsidRPr="00EF6A1B">
              <w:rPr>
                <w:szCs w:val="22"/>
                <w:vertAlign w:val="subscript"/>
                <w:lang w:val="pt-PT"/>
              </w:rPr>
              <w:t>0-</w:t>
            </w:r>
            <w:r w:rsidRPr="00444962">
              <w:rPr>
                <w:szCs w:val="22"/>
                <w:vertAlign w:val="subscript"/>
              </w:rPr>
              <w:sym w:font="Symbol" w:char="F0A5"/>
            </w:r>
            <w:r w:rsidRPr="00EF6A1B">
              <w:rPr>
                <w:szCs w:val="22"/>
                <w:lang w:val="pt-PT"/>
              </w:rPr>
              <w:t xml:space="preserve"> </w:t>
            </w:r>
            <w:r w:rsidRPr="00B80109">
              <w:rPr>
                <w:szCs w:val="22"/>
                <w:lang w:val="pt-PT"/>
              </w:rPr>
              <w:t>↑ 10,3 vezes</w:t>
            </w:r>
          </w:p>
          <w:p w14:paraId="1088DEA2" w14:textId="77777777" w:rsidR="00B80109" w:rsidRDefault="00B80109" w:rsidP="00CF069D">
            <w:pPr>
              <w:tabs>
                <w:tab w:val="left" w:pos="567"/>
              </w:tabs>
              <w:rPr>
                <w:szCs w:val="22"/>
                <w:lang w:val="pt-PT"/>
              </w:rPr>
            </w:pPr>
          </w:p>
          <w:p w14:paraId="6DD1B30F" w14:textId="77777777" w:rsidR="00CF069D" w:rsidRPr="002A54AF" w:rsidRDefault="00CF069D" w:rsidP="00CF069D">
            <w:pPr>
              <w:tabs>
                <w:tab w:val="left" w:pos="567"/>
              </w:tabs>
              <w:rPr>
                <w:szCs w:val="22"/>
                <w:lang w:val="pt-PT"/>
              </w:rPr>
            </w:pPr>
            <w:r w:rsidRPr="002A54AF">
              <w:rPr>
                <w:szCs w:val="22"/>
                <w:lang w:val="pt-PT"/>
              </w:rPr>
              <w:t xml:space="preserve">Apesar de não ter sido estudado clinicamente, é provável que o voriconazol aumente as concentrações plasmáticas </w:t>
            </w:r>
            <w:r w:rsidR="00B80109">
              <w:rPr>
                <w:szCs w:val="22"/>
                <w:lang w:val="pt-PT"/>
              </w:rPr>
              <w:t>de outras</w:t>
            </w:r>
            <w:r w:rsidRPr="002A54AF">
              <w:rPr>
                <w:szCs w:val="22"/>
                <w:lang w:val="pt-PT"/>
              </w:rPr>
              <w:t xml:space="preserve"> benzodiazepinas que são metabolizadas pelo CYP3A4 e leve a um prolongamento do efeito sedativo. </w:t>
            </w:r>
          </w:p>
        </w:tc>
        <w:tc>
          <w:tcPr>
            <w:tcW w:w="2790" w:type="dxa"/>
            <w:shd w:val="clear" w:color="auto" w:fill="auto"/>
          </w:tcPr>
          <w:p w14:paraId="20CF3EDC"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Deve ser considerada a redução da dose das benzodiazepinas. </w:t>
            </w:r>
          </w:p>
        </w:tc>
      </w:tr>
      <w:tr w:rsidR="00CF069D" w:rsidRPr="00E53416" w14:paraId="229E0F30" w14:textId="77777777" w:rsidTr="00DB5F00">
        <w:tc>
          <w:tcPr>
            <w:tcW w:w="2880" w:type="dxa"/>
            <w:shd w:val="clear" w:color="auto" w:fill="auto"/>
          </w:tcPr>
          <w:p w14:paraId="4CBD2C3C"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sz w:val="22"/>
                <w:szCs w:val="22"/>
                <w:lang w:val="pt-PT"/>
              </w:rPr>
              <w:t>Imunosuppressores</w:t>
            </w:r>
          </w:p>
          <w:p w14:paraId="1056E9AB"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i/>
                <w:sz w:val="22"/>
                <w:szCs w:val="22"/>
                <w:lang w:val="pt-PT"/>
              </w:rPr>
              <w:t>[substrates do CYP3A4]</w:t>
            </w:r>
          </w:p>
          <w:p w14:paraId="714EFFDD" w14:textId="77777777" w:rsidR="00CF069D" w:rsidRPr="002A54AF" w:rsidRDefault="00CF069D" w:rsidP="00CF069D">
            <w:pPr>
              <w:pStyle w:val="TableText"/>
              <w:tabs>
                <w:tab w:val="left" w:pos="360"/>
              </w:tabs>
              <w:overflowPunct w:val="0"/>
              <w:autoSpaceDE w:val="0"/>
              <w:autoSpaceDN w:val="0"/>
              <w:adjustRightInd w:val="0"/>
              <w:ind w:left="216" w:hanging="216"/>
              <w:textAlignment w:val="baseline"/>
              <w:rPr>
                <w:rFonts w:cs="Times New Roman"/>
                <w:i/>
                <w:sz w:val="22"/>
                <w:szCs w:val="22"/>
                <w:lang w:val="pt-PT"/>
              </w:rPr>
            </w:pPr>
          </w:p>
          <w:p w14:paraId="7EBAAAB5"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Sirolímus (dose única de 2 mg)</w:t>
            </w:r>
          </w:p>
          <w:p w14:paraId="5A33D179"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10F7E235" w14:textId="77777777" w:rsidR="00CF069D"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10ADB72A" w14:textId="77777777" w:rsidR="00A424E3" w:rsidRDefault="00A424E3"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73588AAA" w14:textId="77777777" w:rsidR="00CC6082" w:rsidRPr="00CC6082" w:rsidRDefault="00CC6082" w:rsidP="00CC6082">
            <w:pPr>
              <w:pStyle w:val="TableText"/>
              <w:tabs>
                <w:tab w:val="left" w:pos="360"/>
              </w:tabs>
              <w:overflowPunct w:val="0"/>
              <w:autoSpaceDE w:val="0"/>
              <w:autoSpaceDN w:val="0"/>
              <w:adjustRightInd w:val="0"/>
              <w:textAlignment w:val="baseline"/>
              <w:rPr>
                <w:rFonts w:cs="Times New Roman"/>
                <w:sz w:val="22"/>
                <w:szCs w:val="22"/>
                <w:lang w:val="pt-PT"/>
              </w:rPr>
            </w:pPr>
            <w:r w:rsidRPr="00CC6082">
              <w:rPr>
                <w:rFonts w:cs="Times New Roman"/>
                <w:sz w:val="22"/>
                <w:szCs w:val="22"/>
                <w:lang w:val="pt-PT"/>
              </w:rPr>
              <w:t>Everolímus</w:t>
            </w:r>
          </w:p>
          <w:p w14:paraId="26CC95BE" w14:textId="77777777" w:rsidR="00CC6082" w:rsidRPr="00EF6A1B" w:rsidRDefault="00CC6082" w:rsidP="00CC6082">
            <w:pPr>
              <w:pStyle w:val="TableText"/>
              <w:tabs>
                <w:tab w:val="left" w:pos="360"/>
              </w:tabs>
              <w:overflowPunct w:val="0"/>
              <w:autoSpaceDE w:val="0"/>
              <w:autoSpaceDN w:val="0"/>
              <w:adjustRightInd w:val="0"/>
              <w:textAlignment w:val="baseline"/>
              <w:rPr>
                <w:rFonts w:cs="Times New Roman"/>
                <w:i/>
                <w:iCs/>
                <w:sz w:val="22"/>
                <w:szCs w:val="22"/>
                <w:lang w:val="pt-PT"/>
              </w:rPr>
            </w:pPr>
            <w:r w:rsidRPr="00EF6A1B">
              <w:rPr>
                <w:rFonts w:cs="Times New Roman"/>
                <w:i/>
                <w:iCs/>
                <w:sz w:val="22"/>
                <w:szCs w:val="22"/>
                <w:lang w:val="pt-PT"/>
              </w:rPr>
              <w:t>[também substrato da P-gp]</w:t>
            </w:r>
          </w:p>
          <w:p w14:paraId="119968C7" w14:textId="77777777" w:rsidR="00CF069D"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45554A19" w14:textId="77777777" w:rsidR="00CC6082" w:rsidRDefault="00CC6082"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74087693" w14:textId="77777777" w:rsidR="00CC6082" w:rsidRDefault="00CC6082"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03B9C8E9" w14:textId="77777777" w:rsidR="00CC6082" w:rsidRDefault="00CC6082"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095D4E84" w14:textId="77777777" w:rsidR="00CC6082" w:rsidRDefault="00CC6082"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5B99D673" w14:textId="77777777" w:rsidR="00A424E3" w:rsidRDefault="00A424E3"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37C4D1F8" w14:textId="77777777" w:rsidR="00A424E3" w:rsidRDefault="00A424E3"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14B7E8EB" w14:textId="77777777" w:rsidR="00CC6082" w:rsidRPr="002A54AF" w:rsidRDefault="00CC6082"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6E6F4055"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sz w:val="22"/>
                <w:szCs w:val="22"/>
                <w:lang w:val="pt-PT"/>
              </w:rPr>
              <w:t xml:space="preserve">Ciclosporina (em indivíduos transplantados renais estáveis em terapia crónica com </w:t>
            </w:r>
            <w:r w:rsidRPr="002A54AF">
              <w:rPr>
                <w:rFonts w:cs="Times New Roman"/>
                <w:sz w:val="22"/>
                <w:szCs w:val="22"/>
                <w:lang w:val="pt-PT"/>
              </w:rPr>
              <w:lastRenderedPageBreak/>
              <w:t>ciclosporina)</w:t>
            </w:r>
            <w:r w:rsidRPr="002A54AF">
              <w:rPr>
                <w:rFonts w:cs="Times New Roman"/>
                <w:sz w:val="22"/>
                <w:szCs w:val="22"/>
                <w:lang w:val="pt-PT"/>
              </w:rPr>
              <w:br/>
            </w:r>
          </w:p>
          <w:p w14:paraId="3D03E93A"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p>
          <w:p w14:paraId="5A1722B8"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p>
          <w:p w14:paraId="449BE614"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2BD6630F"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5AA30F76"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3C9519FA"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3F126C2E"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40CCEAD1"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1059200E"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462F818B"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27897DC6" w14:textId="77777777" w:rsidR="00CF069D"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60AAEB52"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18129331"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Tacrolimus (dose única de 0,1 mg/kg)</w:t>
            </w:r>
            <w:r w:rsidRPr="002A54AF">
              <w:rPr>
                <w:rFonts w:cs="Times New Roman"/>
                <w:sz w:val="22"/>
                <w:szCs w:val="22"/>
                <w:lang w:val="pt-PT"/>
              </w:rPr>
              <w:br/>
            </w:r>
          </w:p>
        </w:tc>
        <w:tc>
          <w:tcPr>
            <w:tcW w:w="3330" w:type="dxa"/>
            <w:shd w:val="clear" w:color="auto" w:fill="auto"/>
          </w:tcPr>
          <w:p w14:paraId="1BA56F95"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34B6641F"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542BCD8E"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Num estudo independente publicado,</w:t>
            </w:r>
          </w:p>
          <w:p w14:paraId="2F79A7B0"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Sirolímus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6,6 vezes</w:t>
            </w:r>
            <w:r w:rsidRPr="002A54AF">
              <w:rPr>
                <w:rFonts w:cs="Times New Roman"/>
                <w:sz w:val="22"/>
                <w:szCs w:val="22"/>
                <w:lang w:val="pt-PT"/>
              </w:rPr>
              <w:br/>
              <w:t>Sirol</w:t>
            </w:r>
            <w:r>
              <w:rPr>
                <w:rFonts w:cs="Times New Roman"/>
                <w:sz w:val="22"/>
                <w:szCs w:val="22"/>
                <w:lang w:val="pt-PT"/>
              </w:rPr>
              <w:t>í</w:t>
            </w:r>
            <w:r w:rsidRPr="002A54AF">
              <w:rPr>
                <w:rFonts w:cs="Times New Roman"/>
                <w:sz w:val="22"/>
                <w:szCs w:val="22"/>
                <w:lang w:val="pt-PT"/>
              </w:rPr>
              <w:t>mus AUC</w:t>
            </w:r>
            <w:r w:rsidRPr="00CD5831">
              <w:rPr>
                <w:sz w:val="22"/>
                <w:szCs w:val="22"/>
                <w:vertAlign w:val="subscript"/>
                <w:lang w:val="sv-SE"/>
              </w:rPr>
              <w:t>0-</w:t>
            </w:r>
            <w:r w:rsidRPr="00CD5831">
              <w:rPr>
                <w:sz w:val="22"/>
                <w:szCs w:val="22"/>
                <w:vertAlign w:val="subscript"/>
                <w:lang w:val="sv-SE"/>
              </w:rPr>
              <w:sym w:font="Symbol" w:char="F0A5"/>
            </w:r>
            <w:r w:rsidRPr="002A54AF">
              <w:rPr>
                <w:rFonts w:cs="Times New Roman"/>
                <w:sz w:val="22"/>
                <w:szCs w:val="22"/>
                <w:vertAlign w:val="subscript"/>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11 vezes</w:t>
            </w:r>
          </w:p>
          <w:p w14:paraId="6922E260" w14:textId="77777777" w:rsidR="00A424E3" w:rsidRDefault="00A424E3" w:rsidP="00CF069D">
            <w:pPr>
              <w:pStyle w:val="TableText"/>
              <w:overflowPunct w:val="0"/>
              <w:autoSpaceDE w:val="0"/>
              <w:autoSpaceDN w:val="0"/>
              <w:adjustRightInd w:val="0"/>
              <w:textAlignment w:val="baseline"/>
              <w:rPr>
                <w:rFonts w:cs="Times New Roman"/>
                <w:sz w:val="22"/>
                <w:szCs w:val="22"/>
                <w:lang w:val="pt-PT"/>
              </w:rPr>
            </w:pPr>
          </w:p>
          <w:p w14:paraId="7A537C1A" w14:textId="77777777" w:rsidR="00A424E3" w:rsidRDefault="00A424E3" w:rsidP="00CF069D">
            <w:pPr>
              <w:pStyle w:val="TableText"/>
              <w:overflowPunct w:val="0"/>
              <w:autoSpaceDE w:val="0"/>
              <w:autoSpaceDN w:val="0"/>
              <w:adjustRightInd w:val="0"/>
              <w:textAlignment w:val="baseline"/>
              <w:rPr>
                <w:rFonts w:cs="Times New Roman"/>
                <w:sz w:val="22"/>
                <w:szCs w:val="22"/>
                <w:lang w:val="pt-PT"/>
              </w:rPr>
            </w:pPr>
          </w:p>
          <w:p w14:paraId="6FCCDB9E" w14:textId="77777777" w:rsidR="00CC6082" w:rsidRPr="00CC6082" w:rsidRDefault="00CC6082" w:rsidP="00CC6082">
            <w:pPr>
              <w:pStyle w:val="TableText"/>
              <w:overflowPunct w:val="0"/>
              <w:autoSpaceDE w:val="0"/>
              <w:autoSpaceDN w:val="0"/>
              <w:adjustRightInd w:val="0"/>
              <w:textAlignment w:val="baseline"/>
              <w:rPr>
                <w:rFonts w:cs="Times New Roman"/>
                <w:sz w:val="22"/>
                <w:szCs w:val="22"/>
                <w:lang w:val="pt-PT"/>
              </w:rPr>
            </w:pPr>
            <w:r w:rsidRPr="00CC6082">
              <w:rPr>
                <w:rFonts w:cs="Times New Roman"/>
                <w:sz w:val="22"/>
                <w:szCs w:val="22"/>
                <w:lang w:val="pt-PT"/>
              </w:rPr>
              <w:t>Apesar de não ter sido estudado, é</w:t>
            </w:r>
            <w:r>
              <w:rPr>
                <w:rFonts w:cs="Times New Roman"/>
                <w:sz w:val="22"/>
                <w:szCs w:val="22"/>
                <w:lang w:val="pt-PT"/>
              </w:rPr>
              <w:t xml:space="preserve"> </w:t>
            </w:r>
            <w:r w:rsidRPr="00CC6082">
              <w:rPr>
                <w:rFonts w:cs="Times New Roman"/>
                <w:sz w:val="22"/>
                <w:szCs w:val="22"/>
                <w:lang w:val="pt-PT"/>
              </w:rPr>
              <w:t>provável que o voriconazol</w:t>
            </w:r>
            <w:r>
              <w:rPr>
                <w:rFonts w:cs="Times New Roman"/>
                <w:sz w:val="22"/>
                <w:szCs w:val="22"/>
                <w:lang w:val="pt-PT"/>
              </w:rPr>
              <w:t xml:space="preserve"> </w:t>
            </w:r>
            <w:r w:rsidRPr="00CC6082">
              <w:rPr>
                <w:rFonts w:cs="Times New Roman"/>
                <w:sz w:val="22"/>
                <w:szCs w:val="22"/>
                <w:lang w:val="pt-PT"/>
              </w:rPr>
              <w:t>aumente</w:t>
            </w:r>
            <w:r>
              <w:rPr>
                <w:rFonts w:cs="Times New Roman"/>
                <w:sz w:val="22"/>
                <w:szCs w:val="22"/>
                <w:lang w:val="pt-PT"/>
              </w:rPr>
              <w:t xml:space="preserve"> </w:t>
            </w:r>
            <w:r w:rsidRPr="00CC6082">
              <w:rPr>
                <w:rFonts w:cs="Times New Roman"/>
                <w:sz w:val="22"/>
                <w:szCs w:val="22"/>
                <w:lang w:val="pt-PT"/>
              </w:rPr>
              <w:t>significativamente as concentrações</w:t>
            </w:r>
            <w:r>
              <w:rPr>
                <w:rFonts w:cs="Times New Roman"/>
                <w:sz w:val="22"/>
                <w:szCs w:val="22"/>
                <w:lang w:val="pt-PT"/>
              </w:rPr>
              <w:t xml:space="preserve"> </w:t>
            </w:r>
            <w:r w:rsidRPr="00CC6082">
              <w:rPr>
                <w:rFonts w:cs="Times New Roman"/>
                <w:sz w:val="22"/>
                <w:szCs w:val="22"/>
                <w:lang w:val="pt-PT"/>
              </w:rPr>
              <w:t>plasmáticas de everolímus.</w:t>
            </w:r>
            <w:r w:rsidRPr="00CC6082">
              <w:rPr>
                <w:rFonts w:cs="Times New Roman"/>
                <w:sz w:val="22"/>
                <w:szCs w:val="22"/>
                <w:lang w:val="pt-PT"/>
              </w:rPr>
              <w:cr/>
            </w:r>
          </w:p>
          <w:p w14:paraId="21122513" w14:textId="77777777" w:rsidR="00CC6082" w:rsidRDefault="00CC6082" w:rsidP="00CF069D">
            <w:pPr>
              <w:pStyle w:val="TableText"/>
              <w:overflowPunct w:val="0"/>
              <w:autoSpaceDE w:val="0"/>
              <w:autoSpaceDN w:val="0"/>
              <w:adjustRightInd w:val="0"/>
              <w:textAlignment w:val="baseline"/>
              <w:rPr>
                <w:rFonts w:cs="Times New Roman"/>
                <w:sz w:val="22"/>
                <w:szCs w:val="22"/>
                <w:lang w:val="pt-PT"/>
              </w:rPr>
            </w:pPr>
          </w:p>
          <w:p w14:paraId="50251A4D" w14:textId="77777777" w:rsidR="00A424E3" w:rsidRDefault="00A424E3" w:rsidP="00CF069D">
            <w:pPr>
              <w:pStyle w:val="TableText"/>
              <w:overflowPunct w:val="0"/>
              <w:autoSpaceDE w:val="0"/>
              <w:autoSpaceDN w:val="0"/>
              <w:adjustRightInd w:val="0"/>
              <w:textAlignment w:val="baseline"/>
              <w:rPr>
                <w:rFonts w:cs="Times New Roman"/>
                <w:sz w:val="22"/>
                <w:szCs w:val="22"/>
                <w:lang w:val="pt-PT"/>
              </w:rPr>
            </w:pPr>
          </w:p>
          <w:p w14:paraId="3A6ED1FE" w14:textId="77777777" w:rsidR="00A424E3" w:rsidRDefault="00A424E3" w:rsidP="00CF069D">
            <w:pPr>
              <w:pStyle w:val="TableText"/>
              <w:overflowPunct w:val="0"/>
              <w:autoSpaceDE w:val="0"/>
              <w:autoSpaceDN w:val="0"/>
              <w:adjustRightInd w:val="0"/>
              <w:textAlignment w:val="baseline"/>
              <w:rPr>
                <w:rFonts w:cs="Times New Roman"/>
                <w:sz w:val="22"/>
                <w:szCs w:val="22"/>
                <w:lang w:val="pt-PT"/>
              </w:rPr>
            </w:pPr>
          </w:p>
          <w:p w14:paraId="487AC4D4" w14:textId="77777777" w:rsidR="00CC6082" w:rsidRPr="002A54AF" w:rsidRDefault="00CC6082" w:rsidP="00CF069D">
            <w:pPr>
              <w:pStyle w:val="TableText"/>
              <w:overflowPunct w:val="0"/>
              <w:autoSpaceDE w:val="0"/>
              <w:autoSpaceDN w:val="0"/>
              <w:adjustRightInd w:val="0"/>
              <w:textAlignment w:val="baseline"/>
              <w:rPr>
                <w:rFonts w:cs="Times New Roman"/>
                <w:sz w:val="22"/>
                <w:szCs w:val="22"/>
                <w:lang w:val="pt-PT"/>
              </w:rPr>
            </w:pPr>
          </w:p>
          <w:p w14:paraId="28DDE4C4"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Ciclosporina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13%</w:t>
            </w:r>
            <w:r w:rsidRPr="002A54AF">
              <w:rPr>
                <w:rFonts w:cs="Times New Roman"/>
                <w:sz w:val="22"/>
                <w:szCs w:val="22"/>
                <w:lang w:val="pt-PT"/>
              </w:rPr>
              <w:br/>
              <w:t>Ciclosporina AUC</w:t>
            </w:r>
            <w:r w:rsidRPr="001C75D6">
              <w:rPr>
                <w:rFonts w:cs="Times New Roman"/>
                <w:sz w:val="22"/>
                <w:szCs w:val="22"/>
              </w:rPr>
              <w:t>τ</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70%</w:t>
            </w:r>
          </w:p>
          <w:p w14:paraId="639DEE52"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3CCCA5B1"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11FD5257"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3E4CA1AE"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1CE37464"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5CF4F48C"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3C567EFE"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5D52B1D6"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487D373B"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06BCC022"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122388D5"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78451ADB"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0E244EB4"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21EC0EB5" w14:textId="77777777" w:rsidR="00CF069D" w:rsidRDefault="00CF069D" w:rsidP="00CF069D">
            <w:pPr>
              <w:pStyle w:val="TableText"/>
              <w:overflowPunct w:val="0"/>
              <w:autoSpaceDE w:val="0"/>
              <w:autoSpaceDN w:val="0"/>
              <w:adjustRightInd w:val="0"/>
              <w:textAlignment w:val="baseline"/>
              <w:rPr>
                <w:rFonts w:cs="Times New Roman"/>
                <w:sz w:val="22"/>
                <w:szCs w:val="22"/>
                <w:lang w:val="pt-PT"/>
              </w:rPr>
            </w:pPr>
          </w:p>
          <w:p w14:paraId="77FCFBE2"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3F580DE7"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Tacrolimus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117%</w:t>
            </w:r>
            <w:r w:rsidRPr="002A54AF">
              <w:rPr>
                <w:rFonts w:cs="Times New Roman"/>
                <w:sz w:val="22"/>
                <w:szCs w:val="22"/>
                <w:lang w:val="pt-PT"/>
              </w:rPr>
              <w:br/>
              <w:t>Tacrolimus AUC</w:t>
            </w:r>
            <w:r w:rsidRPr="002A54AF">
              <w:rPr>
                <w:rFonts w:cs="Times New Roman"/>
                <w:sz w:val="22"/>
                <w:szCs w:val="22"/>
              </w:rPr>
              <w:t>τ</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221%</w:t>
            </w:r>
          </w:p>
          <w:p w14:paraId="301A3A0D"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7931C41C" w14:textId="77777777" w:rsidR="00CF069D" w:rsidRPr="002A54AF" w:rsidRDefault="00CF069D" w:rsidP="00CF069D">
            <w:pPr>
              <w:tabs>
                <w:tab w:val="left" w:pos="567"/>
              </w:tabs>
              <w:rPr>
                <w:szCs w:val="22"/>
                <w:lang w:val="pt-PT"/>
              </w:rPr>
            </w:pPr>
          </w:p>
        </w:tc>
        <w:tc>
          <w:tcPr>
            <w:tcW w:w="2790" w:type="dxa"/>
            <w:shd w:val="clear" w:color="auto" w:fill="auto"/>
          </w:tcPr>
          <w:p w14:paraId="053D59A4"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1DA4989C"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4E7F5CB5"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A coadministração de voriconazol e sirolímus é </w:t>
            </w:r>
            <w:r w:rsidRPr="002A54AF">
              <w:rPr>
                <w:rFonts w:cs="Times New Roman"/>
                <w:b/>
                <w:sz w:val="22"/>
                <w:szCs w:val="22"/>
                <w:lang w:val="pt-PT"/>
              </w:rPr>
              <w:t>contraindicada</w:t>
            </w:r>
            <w:r w:rsidRPr="002A54AF">
              <w:rPr>
                <w:rFonts w:cs="Times New Roman"/>
                <w:sz w:val="22"/>
                <w:szCs w:val="22"/>
                <w:lang w:val="pt-PT"/>
              </w:rPr>
              <w:t xml:space="preserve"> (ver secção 4.3).</w:t>
            </w:r>
          </w:p>
          <w:p w14:paraId="071462E6"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3422CE8C" w14:textId="77777777" w:rsidR="00A424E3" w:rsidRDefault="00A424E3" w:rsidP="00CF069D">
            <w:pPr>
              <w:tabs>
                <w:tab w:val="left" w:pos="567"/>
              </w:tabs>
              <w:rPr>
                <w:szCs w:val="22"/>
                <w:lang w:val="pt-PT"/>
              </w:rPr>
            </w:pPr>
          </w:p>
          <w:p w14:paraId="365AA528" w14:textId="77777777" w:rsidR="00CC6082" w:rsidRPr="00A424E3" w:rsidRDefault="00A424E3" w:rsidP="00A424E3">
            <w:pPr>
              <w:tabs>
                <w:tab w:val="left" w:pos="567"/>
              </w:tabs>
              <w:rPr>
                <w:szCs w:val="22"/>
                <w:lang w:val="pt-PT"/>
              </w:rPr>
            </w:pPr>
            <w:r w:rsidRPr="00A424E3">
              <w:rPr>
                <w:szCs w:val="22"/>
                <w:lang w:val="pt-PT"/>
              </w:rPr>
              <w:t>Não se recomenda a</w:t>
            </w:r>
            <w:r>
              <w:rPr>
                <w:szCs w:val="22"/>
                <w:lang w:val="pt-PT"/>
              </w:rPr>
              <w:t xml:space="preserve"> </w:t>
            </w:r>
            <w:r w:rsidRPr="00A424E3">
              <w:rPr>
                <w:szCs w:val="22"/>
                <w:lang w:val="pt-PT"/>
              </w:rPr>
              <w:t>coadministração de</w:t>
            </w:r>
            <w:r>
              <w:rPr>
                <w:szCs w:val="22"/>
                <w:lang w:val="pt-PT"/>
              </w:rPr>
              <w:t xml:space="preserve"> </w:t>
            </w:r>
            <w:r w:rsidRPr="00A424E3">
              <w:rPr>
                <w:szCs w:val="22"/>
                <w:lang w:val="pt-PT"/>
              </w:rPr>
              <w:t>voriconazol com everolímus,</w:t>
            </w:r>
            <w:r>
              <w:rPr>
                <w:szCs w:val="22"/>
                <w:lang w:val="pt-PT"/>
              </w:rPr>
              <w:t xml:space="preserve"> </w:t>
            </w:r>
            <w:r w:rsidRPr="00A424E3">
              <w:rPr>
                <w:szCs w:val="22"/>
                <w:lang w:val="pt-PT"/>
              </w:rPr>
              <w:t>uma vez que é expectável</w:t>
            </w:r>
            <w:r>
              <w:rPr>
                <w:szCs w:val="22"/>
                <w:lang w:val="pt-PT"/>
              </w:rPr>
              <w:t xml:space="preserve"> </w:t>
            </w:r>
            <w:r w:rsidRPr="00A424E3">
              <w:rPr>
                <w:szCs w:val="22"/>
                <w:lang w:val="pt-PT"/>
              </w:rPr>
              <w:t>que o voriconazol aumente</w:t>
            </w:r>
            <w:r>
              <w:rPr>
                <w:szCs w:val="22"/>
                <w:lang w:val="pt-PT"/>
              </w:rPr>
              <w:t xml:space="preserve"> </w:t>
            </w:r>
            <w:r w:rsidRPr="00A424E3">
              <w:rPr>
                <w:szCs w:val="22"/>
                <w:lang w:val="pt-PT"/>
              </w:rPr>
              <w:t>significativamente as</w:t>
            </w:r>
            <w:r>
              <w:rPr>
                <w:szCs w:val="22"/>
                <w:lang w:val="pt-PT"/>
              </w:rPr>
              <w:t xml:space="preserve"> </w:t>
            </w:r>
            <w:r w:rsidRPr="00A424E3">
              <w:rPr>
                <w:szCs w:val="22"/>
                <w:lang w:val="pt-PT"/>
              </w:rPr>
              <w:t>concentrações de everolímus</w:t>
            </w:r>
            <w:r>
              <w:rPr>
                <w:szCs w:val="22"/>
                <w:lang w:val="pt-PT"/>
              </w:rPr>
              <w:t xml:space="preserve"> </w:t>
            </w:r>
            <w:r w:rsidRPr="00A424E3">
              <w:rPr>
                <w:szCs w:val="22"/>
                <w:lang w:val="pt-PT"/>
              </w:rPr>
              <w:t>(ver secção 4.4).</w:t>
            </w:r>
          </w:p>
          <w:p w14:paraId="4E7EB045" w14:textId="77777777" w:rsidR="00CC6082" w:rsidRDefault="00CC6082" w:rsidP="00CF069D">
            <w:pPr>
              <w:tabs>
                <w:tab w:val="left" w:pos="567"/>
              </w:tabs>
              <w:rPr>
                <w:szCs w:val="22"/>
                <w:lang w:val="pt-PT"/>
              </w:rPr>
            </w:pPr>
          </w:p>
          <w:p w14:paraId="6D3D1E81" w14:textId="77777777" w:rsidR="00CC6082" w:rsidRPr="002A54AF" w:rsidRDefault="00CC6082" w:rsidP="00CF069D">
            <w:pPr>
              <w:tabs>
                <w:tab w:val="left" w:pos="567"/>
              </w:tabs>
              <w:rPr>
                <w:szCs w:val="22"/>
                <w:lang w:val="pt-PT"/>
              </w:rPr>
            </w:pPr>
          </w:p>
          <w:p w14:paraId="5CC83A17" w14:textId="77777777" w:rsidR="00CF069D" w:rsidRPr="002A54AF" w:rsidRDefault="00CF069D" w:rsidP="00CF069D">
            <w:pPr>
              <w:tabs>
                <w:tab w:val="left" w:pos="567"/>
              </w:tabs>
              <w:rPr>
                <w:szCs w:val="22"/>
                <w:u w:val="single"/>
                <w:lang w:val="pt-PT"/>
              </w:rPr>
            </w:pPr>
            <w:r w:rsidRPr="002A54AF">
              <w:rPr>
                <w:szCs w:val="22"/>
                <w:lang w:val="pt-PT"/>
              </w:rPr>
              <w:t xml:space="preserve">Quando se inicia o voriconazol em doentes sob terapêutica com </w:t>
            </w:r>
            <w:r w:rsidRPr="002A54AF">
              <w:rPr>
                <w:szCs w:val="22"/>
                <w:lang w:val="pt-PT"/>
              </w:rPr>
              <w:lastRenderedPageBreak/>
              <w:t xml:space="preserve">ciclosporina, recomenda-se a redução da dose da ciclosporina para metade e a monitorização cuidadosa dos seus níveis. Níveis de ciclosporina aumentados foram associados a nefrotoxicidade. </w:t>
            </w:r>
            <w:r w:rsidRPr="002A54AF">
              <w:rPr>
                <w:szCs w:val="22"/>
                <w:u w:val="single"/>
                <w:lang w:val="pt-PT"/>
              </w:rPr>
              <w:t>Quando o voriconazol é descontinuado, os níveis de ciclosporina devem ser cuidadosamente monitorizados e a dose aumentada, se necessário</w:t>
            </w:r>
            <w:r w:rsidRPr="002A54AF">
              <w:rPr>
                <w:szCs w:val="22"/>
                <w:lang w:val="pt-PT"/>
              </w:rPr>
              <w:t>.</w:t>
            </w:r>
          </w:p>
          <w:p w14:paraId="08696EAF"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4FC7D962" w14:textId="77777777" w:rsidR="00CF069D" w:rsidRPr="002A54AF" w:rsidRDefault="00CF069D" w:rsidP="00CF069D">
            <w:pPr>
              <w:tabs>
                <w:tab w:val="left" w:pos="567"/>
              </w:tabs>
              <w:rPr>
                <w:szCs w:val="22"/>
                <w:lang w:val="pt-PT"/>
              </w:rPr>
            </w:pPr>
            <w:r w:rsidRPr="002A54AF">
              <w:rPr>
                <w:szCs w:val="22"/>
                <w:lang w:val="pt-PT"/>
              </w:rPr>
              <w:t xml:space="preserve">Quando se inicia o tratamento com voriconazol em doentes sob terapêutica com tacrolimus, recomenda-se a redução da dose de tacrolimus para um terço da dose inicial e a monitorização cuidadosa dos seus níveis. Níveis de tacrolimus aumentados foram associados a nefrotoxicidade. </w:t>
            </w:r>
            <w:r w:rsidRPr="002A54AF">
              <w:rPr>
                <w:szCs w:val="22"/>
                <w:u w:val="single"/>
                <w:lang w:val="pt-PT"/>
              </w:rPr>
              <w:t>Quando o voriconazol é descontinuado, os níveis de tacrolimus devem ser cuidadosamente monitorizados e a dose aumentada, se necessário</w:t>
            </w:r>
            <w:r w:rsidRPr="002A54AF">
              <w:rPr>
                <w:szCs w:val="22"/>
                <w:lang w:val="pt-PT"/>
              </w:rPr>
              <w:t xml:space="preserve">. </w:t>
            </w:r>
          </w:p>
          <w:p w14:paraId="40EB6C14"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tc>
      </w:tr>
      <w:tr w:rsidR="00CF069D" w:rsidRPr="00376167" w14:paraId="3153B05D" w14:textId="77777777" w:rsidTr="00DB5F00">
        <w:tc>
          <w:tcPr>
            <w:tcW w:w="2880" w:type="dxa"/>
            <w:shd w:val="clear" w:color="auto" w:fill="auto"/>
          </w:tcPr>
          <w:p w14:paraId="24B968B3" w14:textId="77777777" w:rsidR="00CF069D" w:rsidRPr="002A54AF" w:rsidRDefault="00CF069D" w:rsidP="00CF069D">
            <w:pPr>
              <w:pStyle w:val="TableText"/>
              <w:tabs>
                <w:tab w:val="left" w:pos="360"/>
              </w:tabs>
              <w:overflowPunct w:val="0"/>
              <w:autoSpaceDE w:val="0"/>
              <w:autoSpaceDN w:val="0"/>
              <w:adjustRightInd w:val="0"/>
              <w:ind w:left="216" w:hanging="216"/>
              <w:textAlignment w:val="baseline"/>
              <w:rPr>
                <w:rFonts w:cs="Times New Roman"/>
                <w:sz w:val="22"/>
                <w:szCs w:val="22"/>
                <w:lang w:val="pt-PT"/>
              </w:rPr>
            </w:pPr>
            <w:r w:rsidRPr="002A54AF">
              <w:rPr>
                <w:rFonts w:cs="Times New Roman"/>
                <w:sz w:val="22"/>
                <w:szCs w:val="22"/>
                <w:lang w:val="pt-PT"/>
              </w:rPr>
              <w:lastRenderedPageBreak/>
              <w:t xml:space="preserve">Opiáceos de ação prolongada </w:t>
            </w:r>
          </w:p>
          <w:p w14:paraId="77F260B5"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i/>
                <w:sz w:val="22"/>
                <w:szCs w:val="22"/>
                <w:lang w:val="pt-PT"/>
              </w:rPr>
              <w:t>[substratos do CYP3A4]</w:t>
            </w:r>
            <w:r w:rsidRPr="002A54AF">
              <w:rPr>
                <w:rFonts w:cs="Times New Roman"/>
                <w:i/>
                <w:sz w:val="22"/>
                <w:szCs w:val="22"/>
                <w:lang w:val="pt-PT"/>
              </w:rPr>
              <w:br/>
            </w:r>
          </w:p>
          <w:p w14:paraId="2874FD1C"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Oxicodona (dose única de 10 mg)</w:t>
            </w:r>
          </w:p>
        </w:tc>
        <w:tc>
          <w:tcPr>
            <w:tcW w:w="3330" w:type="dxa"/>
            <w:shd w:val="clear" w:color="auto" w:fill="auto"/>
          </w:tcPr>
          <w:p w14:paraId="2B1EF0AB"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5D038D43"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6C4F2592"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Num estudo independente publicado,</w:t>
            </w:r>
          </w:p>
          <w:p w14:paraId="336130E6"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Oxicodona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1,7</w:t>
            </w:r>
            <w:r>
              <w:rPr>
                <w:rFonts w:cs="Times New Roman"/>
                <w:sz w:val="22"/>
                <w:szCs w:val="22"/>
                <w:lang w:val="pt-PT"/>
              </w:rPr>
              <w:t> </w:t>
            </w:r>
            <w:r w:rsidRPr="002A54AF">
              <w:rPr>
                <w:rFonts w:cs="Times New Roman"/>
                <w:sz w:val="22"/>
                <w:szCs w:val="22"/>
                <w:lang w:val="pt-PT"/>
              </w:rPr>
              <w:t>vezes</w:t>
            </w:r>
          </w:p>
          <w:p w14:paraId="329DBFE5"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Oxicodona </w:t>
            </w:r>
            <w:r w:rsidRPr="00CB39F3">
              <w:rPr>
                <w:rFonts w:cs="Times New Roman"/>
                <w:sz w:val="22"/>
                <w:szCs w:val="22"/>
                <w:lang w:val="pt-PT"/>
              </w:rPr>
              <w:t>AUC</w:t>
            </w:r>
            <w:r w:rsidRPr="00CD5831">
              <w:rPr>
                <w:sz w:val="22"/>
                <w:szCs w:val="22"/>
                <w:vertAlign w:val="subscript"/>
                <w:lang w:val="sv-SE"/>
              </w:rPr>
              <w:t>0-</w:t>
            </w:r>
            <w:r w:rsidRPr="00CD5831">
              <w:rPr>
                <w:sz w:val="22"/>
                <w:szCs w:val="22"/>
                <w:vertAlign w:val="subscript"/>
                <w:lang w:val="sv-SE"/>
              </w:rPr>
              <w:sym w:font="Symbol" w:char="F0A5"/>
            </w:r>
            <w:r w:rsidRPr="00CB39F3">
              <w:rPr>
                <w:rFonts w:cs="Times New Roman"/>
                <w:sz w:val="22"/>
                <w:szCs w:val="22"/>
                <w:lang w:val="pt-PT"/>
              </w:rPr>
              <w:t xml:space="preserve"> </w:t>
            </w:r>
            <w:r w:rsidRPr="002A54AF">
              <w:rPr>
                <w:rFonts w:cs="Times New Roman"/>
                <w:sz w:val="22"/>
                <w:szCs w:val="22"/>
                <w:lang w:val="en-GB"/>
              </w:rPr>
              <w:sym w:font="Symbol" w:char="F0AD"/>
            </w:r>
            <w:r w:rsidRPr="00CB39F3">
              <w:rPr>
                <w:rFonts w:cs="Times New Roman"/>
                <w:sz w:val="22"/>
                <w:szCs w:val="22"/>
                <w:lang w:val="pt-PT"/>
              </w:rPr>
              <w:t xml:space="preserve"> </w:t>
            </w:r>
            <w:r w:rsidRPr="002A54AF">
              <w:rPr>
                <w:rFonts w:cs="Times New Roman"/>
                <w:sz w:val="22"/>
                <w:szCs w:val="22"/>
                <w:lang w:val="pt-PT"/>
              </w:rPr>
              <w:t>3,6</w:t>
            </w:r>
            <w:r>
              <w:rPr>
                <w:rFonts w:cs="Times New Roman"/>
                <w:sz w:val="22"/>
                <w:szCs w:val="22"/>
                <w:lang w:val="pt-PT"/>
              </w:rPr>
              <w:t> </w:t>
            </w:r>
            <w:r w:rsidRPr="002A54AF">
              <w:rPr>
                <w:rFonts w:cs="Times New Roman"/>
                <w:sz w:val="22"/>
                <w:szCs w:val="22"/>
                <w:lang w:val="pt-PT"/>
              </w:rPr>
              <w:t>vezes</w:t>
            </w:r>
            <w:r w:rsidRPr="002A54AF">
              <w:rPr>
                <w:rFonts w:cs="Times New Roman"/>
                <w:sz w:val="22"/>
                <w:szCs w:val="22"/>
                <w:lang w:val="pt-PT"/>
              </w:rPr>
              <w:br/>
            </w:r>
          </w:p>
        </w:tc>
        <w:tc>
          <w:tcPr>
            <w:tcW w:w="2790" w:type="dxa"/>
            <w:shd w:val="clear" w:color="auto" w:fill="auto"/>
          </w:tcPr>
          <w:p w14:paraId="68D793F3" w14:textId="77777777" w:rsidR="00CF069D" w:rsidRPr="002A54AF" w:rsidRDefault="00CF069D" w:rsidP="00CF069D">
            <w:pPr>
              <w:tabs>
                <w:tab w:val="left" w:pos="567"/>
              </w:tabs>
              <w:rPr>
                <w:szCs w:val="22"/>
                <w:lang w:val="pt-PT"/>
              </w:rPr>
            </w:pPr>
            <w:r w:rsidRPr="002A54AF">
              <w:rPr>
                <w:szCs w:val="22"/>
                <w:lang w:val="pt-PT"/>
              </w:rPr>
              <w:t>Deve ser considerada a redução da dose de oxicodona e outros opiáceos de ação prolongada metabolizados pelo CYP3A4 (ex. hidrocodona). Pode ser necessária uma monitorização frequente das reações adversas associadas aos opiáceos.</w:t>
            </w:r>
          </w:p>
        </w:tc>
      </w:tr>
      <w:tr w:rsidR="00CF069D" w:rsidRPr="002A54AF" w14:paraId="201C1D20" w14:textId="77777777" w:rsidTr="00DB5F00">
        <w:tc>
          <w:tcPr>
            <w:tcW w:w="2880" w:type="dxa"/>
            <w:shd w:val="clear" w:color="auto" w:fill="auto"/>
          </w:tcPr>
          <w:p w14:paraId="72A1A684" w14:textId="77777777" w:rsidR="00CF069D" w:rsidRPr="002A54AF" w:rsidRDefault="00CF069D" w:rsidP="00CF069D">
            <w:pPr>
              <w:pStyle w:val="TableText"/>
              <w:tabs>
                <w:tab w:val="left" w:pos="360"/>
              </w:tabs>
              <w:overflowPunct w:val="0"/>
              <w:autoSpaceDE w:val="0"/>
              <w:autoSpaceDN w:val="0"/>
              <w:adjustRightInd w:val="0"/>
              <w:ind w:left="216" w:hanging="216"/>
              <w:textAlignment w:val="baseline"/>
              <w:rPr>
                <w:rFonts w:cs="Times New Roman"/>
                <w:sz w:val="22"/>
                <w:szCs w:val="22"/>
                <w:lang w:val="pt-PT"/>
              </w:rPr>
            </w:pPr>
            <w:r w:rsidRPr="002A54AF">
              <w:rPr>
                <w:rFonts w:cs="Times New Roman"/>
                <w:sz w:val="22"/>
                <w:szCs w:val="22"/>
                <w:lang w:val="pt-PT"/>
              </w:rPr>
              <w:t>Metadona (32-100 mg OD)</w:t>
            </w:r>
          </w:p>
          <w:p w14:paraId="3E7E01C6" w14:textId="77777777" w:rsidR="00CF069D" w:rsidRPr="002A54AF" w:rsidRDefault="00CF069D" w:rsidP="00CF069D">
            <w:pPr>
              <w:pStyle w:val="TableText"/>
              <w:tabs>
                <w:tab w:val="left" w:pos="360"/>
              </w:tabs>
              <w:overflowPunct w:val="0"/>
              <w:autoSpaceDE w:val="0"/>
              <w:autoSpaceDN w:val="0"/>
              <w:adjustRightInd w:val="0"/>
              <w:ind w:left="216" w:hanging="216"/>
              <w:textAlignment w:val="baseline"/>
              <w:rPr>
                <w:rFonts w:cs="Times New Roman"/>
                <w:sz w:val="22"/>
                <w:szCs w:val="22"/>
                <w:lang w:val="pt-PT"/>
              </w:rPr>
            </w:pPr>
            <w:r w:rsidRPr="002A54AF">
              <w:rPr>
                <w:rFonts w:cs="Times New Roman"/>
                <w:i/>
                <w:sz w:val="22"/>
                <w:szCs w:val="22"/>
                <w:lang w:val="pt-PT"/>
              </w:rPr>
              <w:t>[substrato do CYP3A4]</w:t>
            </w:r>
          </w:p>
        </w:tc>
        <w:tc>
          <w:tcPr>
            <w:tcW w:w="3330" w:type="dxa"/>
            <w:shd w:val="clear" w:color="auto" w:fill="auto"/>
          </w:tcPr>
          <w:p w14:paraId="0316F175"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R-metadona (ativa) C</w:t>
            </w:r>
            <w:r w:rsidRPr="00FE5F8B">
              <w:rPr>
                <w:rFonts w:cs="Times New Roman"/>
                <w:sz w:val="22"/>
                <w:szCs w:val="22"/>
                <w:vertAlign w:val="subscript"/>
                <w:lang w:val="pt-PT"/>
              </w:rPr>
              <w:t>m</w:t>
            </w:r>
            <w:r w:rsidRPr="002A54AF">
              <w:rPr>
                <w:rFonts w:cs="Times New Roman"/>
                <w:sz w:val="22"/>
                <w:szCs w:val="22"/>
                <w:vertAlign w:val="subscript"/>
                <w:lang w:val="pt-PT"/>
              </w:rPr>
              <w:t>ax</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31%</w:t>
            </w:r>
            <w:r w:rsidRPr="002A54AF">
              <w:rPr>
                <w:rFonts w:cs="Times New Roman"/>
                <w:sz w:val="22"/>
                <w:szCs w:val="22"/>
                <w:lang w:val="pt-PT"/>
              </w:rPr>
              <w:br/>
              <w:t>R-metadona (ativa) AUC</w:t>
            </w:r>
            <w:r w:rsidRPr="002A54AF">
              <w:rPr>
                <w:rFonts w:cs="Times New Roman"/>
                <w:sz w:val="22"/>
                <w:szCs w:val="22"/>
              </w:rPr>
              <w:t>τ</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47%</w:t>
            </w:r>
            <w:r w:rsidRPr="002A54AF">
              <w:rPr>
                <w:rFonts w:cs="Times New Roman"/>
                <w:sz w:val="22"/>
                <w:szCs w:val="22"/>
                <w:lang w:val="pt-PT"/>
              </w:rPr>
              <w:br/>
              <w:t>S-metadona Cmax</w:t>
            </w:r>
            <w:r w:rsidRPr="002A54AF">
              <w:rPr>
                <w:rFonts w:cs="Times New Roman"/>
                <w:sz w:val="22"/>
                <w:szCs w:val="22"/>
                <w:vertAlign w:val="subscript"/>
                <w:lang w:val="pt-PT"/>
              </w:rPr>
              <w:t xml:space="preserve"> </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65%</w:t>
            </w:r>
            <w:r w:rsidRPr="002A54AF">
              <w:rPr>
                <w:rFonts w:cs="Times New Roman"/>
                <w:sz w:val="22"/>
                <w:szCs w:val="22"/>
                <w:lang w:val="pt-PT"/>
              </w:rPr>
              <w:br/>
              <w:t>S-metadona AUC</w:t>
            </w:r>
            <w:r w:rsidRPr="002A54AF">
              <w:rPr>
                <w:rFonts w:cs="Times New Roman"/>
                <w:sz w:val="22"/>
                <w:szCs w:val="22"/>
              </w:rPr>
              <w:t>τ</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103%</w:t>
            </w:r>
          </w:p>
        </w:tc>
        <w:tc>
          <w:tcPr>
            <w:tcW w:w="2790" w:type="dxa"/>
            <w:shd w:val="clear" w:color="auto" w:fill="auto"/>
          </w:tcPr>
          <w:p w14:paraId="2239D7E4" w14:textId="77777777" w:rsidR="00CF069D" w:rsidRPr="002A54AF" w:rsidRDefault="00CF069D" w:rsidP="00CF069D">
            <w:pPr>
              <w:tabs>
                <w:tab w:val="left" w:pos="567"/>
              </w:tabs>
              <w:rPr>
                <w:szCs w:val="22"/>
                <w:lang w:val="pt-PT"/>
              </w:rPr>
            </w:pPr>
            <w:r w:rsidRPr="002A54AF">
              <w:rPr>
                <w:szCs w:val="22"/>
                <w:lang w:val="pt-PT"/>
              </w:rPr>
              <w:t>Recomenda-se a monitorização frequente das reações adversas e toxicidade relacionados com a metadona, incluindo o prolongamento do intervalo QTc. Poderá ser necessário reduzir a dose de metadona.</w:t>
            </w:r>
          </w:p>
        </w:tc>
      </w:tr>
      <w:tr w:rsidR="00CF069D" w:rsidRPr="002A54AF" w14:paraId="1D64257F" w14:textId="77777777" w:rsidTr="00DB5F00">
        <w:tc>
          <w:tcPr>
            <w:tcW w:w="2880" w:type="dxa"/>
            <w:shd w:val="clear" w:color="auto" w:fill="auto"/>
          </w:tcPr>
          <w:p w14:paraId="71961031"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Medicamentos anti-inflamatórios não esteroides</w:t>
            </w:r>
            <w:r w:rsidRPr="002A54AF">
              <w:rPr>
                <w:rFonts w:cs="Times New Roman"/>
                <w:sz w:val="22"/>
                <w:szCs w:val="22"/>
                <w:u w:val="single"/>
                <w:lang w:val="pt-PT"/>
              </w:rPr>
              <w:t xml:space="preserve"> </w:t>
            </w:r>
            <w:r w:rsidRPr="002A54AF">
              <w:rPr>
                <w:rFonts w:cs="Times New Roman"/>
                <w:sz w:val="22"/>
                <w:szCs w:val="22"/>
                <w:lang w:val="pt-PT"/>
              </w:rPr>
              <w:t xml:space="preserve">(AINEs) </w:t>
            </w:r>
          </w:p>
          <w:p w14:paraId="24F81127"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sz w:val="22"/>
                <w:szCs w:val="22"/>
                <w:lang w:val="pt-PT"/>
              </w:rPr>
              <w:t xml:space="preserve"> </w:t>
            </w:r>
            <w:r w:rsidRPr="002A54AF">
              <w:rPr>
                <w:rFonts w:cs="Times New Roman"/>
                <w:i/>
                <w:sz w:val="22"/>
                <w:szCs w:val="22"/>
                <w:lang w:val="pt-PT"/>
              </w:rPr>
              <w:t>[</w:t>
            </w:r>
            <w:r w:rsidRPr="002A54AF">
              <w:rPr>
                <w:rFonts w:cs="Times New Roman"/>
                <w:sz w:val="22"/>
                <w:szCs w:val="22"/>
                <w:lang w:val="pt-PT"/>
              </w:rPr>
              <w:t>substratos do CYP2C9</w:t>
            </w:r>
            <w:r w:rsidRPr="002A54AF">
              <w:rPr>
                <w:rFonts w:cs="Times New Roman"/>
                <w:i/>
                <w:sz w:val="22"/>
                <w:szCs w:val="22"/>
                <w:lang w:val="pt-PT"/>
              </w:rPr>
              <w:t>]</w:t>
            </w:r>
          </w:p>
          <w:p w14:paraId="5BB6C7A1"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p>
          <w:p w14:paraId="0E1549C0"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lastRenderedPageBreak/>
              <w:t>Ibuprofeno (dose única de 400 mg)</w:t>
            </w:r>
          </w:p>
          <w:p w14:paraId="61BB118E"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609D6760"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es-ES_tradnl"/>
              </w:rPr>
            </w:pPr>
            <w:r w:rsidRPr="002A54AF">
              <w:rPr>
                <w:rFonts w:cs="Times New Roman"/>
                <w:sz w:val="22"/>
                <w:szCs w:val="22"/>
                <w:lang w:val="es-ES_tradnl"/>
              </w:rPr>
              <w:t>Diclofenac (dose única de 50 mg)</w:t>
            </w:r>
          </w:p>
        </w:tc>
        <w:tc>
          <w:tcPr>
            <w:tcW w:w="3330" w:type="dxa"/>
            <w:shd w:val="clear" w:color="auto" w:fill="auto"/>
          </w:tcPr>
          <w:p w14:paraId="1193B235"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es-ES_tradnl"/>
              </w:rPr>
            </w:pPr>
          </w:p>
          <w:p w14:paraId="6A28570B"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es-ES_tradnl"/>
              </w:rPr>
            </w:pPr>
          </w:p>
          <w:p w14:paraId="28A03F41"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es-ES_tradnl"/>
              </w:rPr>
            </w:pPr>
          </w:p>
          <w:p w14:paraId="26A75690"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S-Ibuprofeno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20%</w:t>
            </w:r>
            <w:r w:rsidRPr="002A54AF">
              <w:rPr>
                <w:rFonts w:cs="Times New Roman"/>
                <w:sz w:val="22"/>
                <w:szCs w:val="22"/>
                <w:lang w:val="pt-PT"/>
              </w:rPr>
              <w:br/>
              <w:t xml:space="preserve">S-Ibuprofeno </w:t>
            </w:r>
            <w:r w:rsidRPr="00E53416">
              <w:rPr>
                <w:rFonts w:cs="Times New Roman"/>
                <w:sz w:val="22"/>
                <w:szCs w:val="22"/>
                <w:lang w:val="en-IN"/>
              </w:rPr>
              <w:t>AUC</w:t>
            </w:r>
            <w:r w:rsidRPr="00E53416">
              <w:rPr>
                <w:rFonts w:cs="Times New Roman"/>
                <w:sz w:val="22"/>
                <w:szCs w:val="22"/>
                <w:vertAlign w:val="subscript"/>
                <w:lang w:val="en-IN"/>
              </w:rPr>
              <w:t>0-∞</w:t>
            </w:r>
            <w:r w:rsidRPr="00E53416">
              <w:rPr>
                <w:rFonts w:cs="Times New Roman"/>
                <w:sz w:val="22"/>
                <w:szCs w:val="22"/>
                <w:lang w:val="en-IN"/>
              </w:rPr>
              <w:t xml:space="preserve"> </w:t>
            </w:r>
            <w:r w:rsidRPr="002A54AF">
              <w:rPr>
                <w:rFonts w:cs="Times New Roman"/>
                <w:sz w:val="22"/>
                <w:szCs w:val="22"/>
                <w:lang w:val="en-GB"/>
              </w:rPr>
              <w:sym w:font="Symbol" w:char="F0AD"/>
            </w:r>
            <w:r w:rsidRPr="002A54AF">
              <w:rPr>
                <w:rFonts w:cs="Times New Roman"/>
                <w:sz w:val="22"/>
                <w:szCs w:val="22"/>
                <w:lang w:val="pt-PT"/>
              </w:rPr>
              <w:t xml:space="preserve"> 100%</w:t>
            </w:r>
          </w:p>
          <w:p w14:paraId="7CB0A3C2"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1F873454"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rPr>
            </w:pPr>
            <w:r w:rsidRPr="002A54AF">
              <w:rPr>
                <w:rFonts w:cs="Times New Roman"/>
                <w:sz w:val="22"/>
                <w:szCs w:val="22"/>
                <w:lang w:val="en-GB"/>
              </w:rPr>
              <w:t>Diclofenac C</w:t>
            </w:r>
            <w:r w:rsidRPr="002A54AF">
              <w:rPr>
                <w:rFonts w:cs="Times New Roman"/>
                <w:sz w:val="22"/>
                <w:szCs w:val="22"/>
                <w:vertAlign w:val="subscript"/>
                <w:lang w:val="en-GB"/>
              </w:rPr>
              <w:t>max</w:t>
            </w:r>
            <w:r w:rsidRPr="002A54AF">
              <w:rPr>
                <w:rFonts w:cs="Times New Roman"/>
                <w:sz w:val="22"/>
                <w:szCs w:val="22"/>
                <w:lang w:val="en-GB"/>
              </w:rPr>
              <w:t xml:space="preserve"> </w:t>
            </w:r>
            <w:r w:rsidRPr="002A54AF">
              <w:rPr>
                <w:rFonts w:cs="Times New Roman"/>
                <w:sz w:val="22"/>
                <w:szCs w:val="22"/>
                <w:lang w:val="en-GB"/>
              </w:rPr>
              <w:sym w:font="Symbol" w:char="F0AD"/>
            </w:r>
            <w:r w:rsidRPr="002A54AF">
              <w:rPr>
                <w:rFonts w:cs="Times New Roman"/>
                <w:sz w:val="22"/>
                <w:szCs w:val="22"/>
                <w:lang w:val="en-GB"/>
              </w:rPr>
              <w:t xml:space="preserve"> 114%</w:t>
            </w:r>
            <w:r w:rsidRPr="002A54AF">
              <w:rPr>
                <w:rFonts w:cs="Times New Roman"/>
                <w:sz w:val="22"/>
                <w:szCs w:val="22"/>
                <w:lang w:val="en-GB"/>
              </w:rPr>
              <w:br/>
              <w:t xml:space="preserve">Diclofenac </w:t>
            </w:r>
            <w:r w:rsidRPr="002A54AF">
              <w:rPr>
                <w:rFonts w:cs="Times New Roman"/>
                <w:sz w:val="22"/>
                <w:szCs w:val="22"/>
              </w:rPr>
              <w:t>AUC</w:t>
            </w:r>
            <w:r w:rsidRPr="00CD5831">
              <w:rPr>
                <w:sz w:val="22"/>
                <w:szCs w:val="22"/>
                <w:vertAlign w:val="subscript"/>
                <w:lang w:val="sv-SE"/>
              </w:rPr>
              <w:t>0-</w:t>
            </w:r>
            <w:r w:rsidRPr="00CD5831">
              <w:rPr>
                <w:sz w:val="22"/>
                <w:szCs w:val="22"/>
                <w:vertAlign w:val="subscript"/>
                <w:lang w:val="sv-SE"/>
              </w:rPr>
              <w:sym w:font="Symbol" w:char="F0A5"/>
            </w:r>
            <w:r w:rsidRPr="002A54AF">
              <w:rPr>
                <w:rFonts w:cs="Times New Roman"/>
                <w:sz w:val="22"/>
                <w:szCs w:val="22"/>
              </w:rPr>
              <w:t xml:space="preserve"> </w:t>
            </w:r>
            <w:r w:rsidRPr="002A54AF">
              <w:rPr>
                <w:rFonts w:cs="Times New Roman"/>
                <w:sz w:val="22"/>
                <w:szCs w:val="22"/>
                <w:lang w:val="en-GB"/>
              </w:rPr>
              <w:sym w:font="Symbol" w:char="F0AD"/>
            </w:r>
            <w:r w:rsidRPr="002A54AF">
              <w:rPr>
                <w:rFonts w:cs="Times New Roman"/>
                <w:sz w:val="22"/>
                <w:szCs w:val="22"/>
              </w:rPr>
              <w:t xml:space="preserve">  </w:t>
            </w:r>
            <w:r w:rsidRPr="002A54AF">
              <w:rPr>
                <w:rFonts w:cs="Times New Roman"/>
                <w:sz w:val="22"/>
                <w:szCs w:val="22"/>
                <w:lang w:val="en-GB"/>
              </w:rPr>
              <w:t xml:space="preserve"> 78%</w:t>
            </w:r>
          </w:p>
        </w:tc>
        <w:tc>
          <w:tcPr>
            <w:tcW w:w="2790" w:type="dxa"/>
            <w:shd w:val="clear" w:color="auto" w:fill="auto"/>
          </w:tcPr>
          <w:p w14:paraId="20EF2EE5"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12E6B965"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386325FE" w14:textId="77777777" w:rsidR="00CF069D" w:rsidRPr="002A54AF" w:rsidRDefault="00CF069D" w:rsidP="00CF069D">
            <w:pPr>
              <w:tabs>
                <w:tab w:val="left" w:pos="567"/>
              </w:tabs>
              <w:suppressAutoHyphens/>
              <w:rPr>
                <w:szCs w:val="22"/>
                <w:lang w:val="pt-PT"/>
              </w:rPr>
            </w:pPr>
            <w:r w:rsidRPr="002A54AF">
              <w:rPr>
                <w:szCs w:val="22"/>
                <w:lang w:val="pt-PT"/>
              </w:rPr>
              <w:t xml:space="preserve">Recomenda-se a monitorização frequente das reações adversas e </w:t>
            </w:r>
            <w:r w:rsidRPr="002A54AF">
              <w:rPr>
                <w:szCs w:val="22"/>
                <w:lang w:val="pt-PT"/>
              </w:rPr>
              <w:lastRenderedPageBreak/>
              <w:t>toxicidade relacionadas com os AINEs. Pode ser necessária a redução da dose dos AINEs.</w:t>
            </w:r>
          </w:p>
          <w:p w14:paraId="4EB553FE"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tc>
      </w:tr>
      <w:tr w:rsidR="00CF069D" w:rsidRPr="00E53416" w14:paraId="3BDAE7CB" w14:textId="77777777" w:rsidTr="00DB5F00">
        <w:tc>
          <w:tcPr>
            <w:tcW w:w="2880" w:type="dxa"/>
            <w:shd w:val="clear" w:color="auto" w:fill="auto"/>
          </w:tcPr>
          <w:p w14:paraId="25FF3408"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sz w:val="22"/>
                <w:szCs w:val="22"/>
                <w:lang w:val="pt-PT"/>
              </w:rPr>
              <w:lastRenderedPageBreak/>
              <w:t>Omeprazol (40 mg OD)</w:t>
            </w:r>
            <w:r w:rsidRPr="002A54AF">
              <w:rPr>
                <w:rFonts w:cs="Times New Roman"/>
                <w:sz w:val="22"/>
                <w:szCs w:val="22"/>
                <w:vertAlign w:val="superscript"/>
                <w:lang w:val="pt-PT"/>
              </w:rPr>
              <w:t>*</w:t>
            </w:r>
            <w:r w:rsidRPr="002A54AF">
              <w:rPr>
                <w:rFonts w:cs="Times New Roman"/>
                <w:sz w:val="22"/>
                <w:szCs w:val="22"/>
                <w:lang w:val="pt-PT"/>
              </w:rPr>
              <w:br/>
            </w:r>
            <w:r w:rsidRPr="002A54AF">
              <w:rPr>
                <w:rFonts w:cs="Times New Roman"/>
                <w:i/>
                <w:sz w:val="22"/>
                <w:szCs w:val="22"/>
                <w:lang w:val="pt-PT"/>
              </w:rPr>
              <w:t>[inibidor do CYP2C19; substrato do CYP2C19 e do CYP3A4]</w:t>
            </w:r>
          </w:p>
          <w:p w14:paraId="4A7BE7E7"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p>
          <w:p w14:paraId="0E7C7053" w14:textId="77777777" w:rsidR="00CF069D" w:rsidRPr="002A54AF" w:rsidRDefault="00CF069D" w:rsidP="00CF069D">
            <w:pPr>
              <w:tabs>
                <w:tab w:val="left" w:pos="567"/>
              </w:tabs>
              <w:suppressAutoHyphens/>
              <w:rPr>
                <w:szCs w:val="22"/>
                <w:lang w:val="pt-PT"/>
              </w:rPr>
            </w:pPr>
          </w:p>
        </w:tc>
        <w:tc>
          <w:tcPr>
            <w:tcW w:w="3330" w:type="dxa"/>
            <w:shd w:val="clear" w:color="auto" w:fill="auto"/>
          </w:tcPr>
          <w:p w14:paraId="56EDC6BD"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Omeprazol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116%</w:t>
            </w:r>
            <w:r w:rsidRPr="002A54AF">
              <w:rPr>
                <w:rFonts w:cs="Times New Roman"/>
                <w:sz w:val="22"/>
                <w:szCs w:val="22"/>
                <w:lang w:val="pt-PT"/>
              </w:rPr>
              <w:br/>
              <w:t>Omeprazol AUC</w:t>
            </w:r>
            <w:r w:rsidRPr="002A54AF">
              <w:rPr>
                <w:rFonts w:cs="Times New Roman"/>
                <w:sz w:val="22"/>
                <w:szCs w:val="22"/>
              </w:rPr>
              <w:t>τ</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280%</w:t>
            </w:r>
          </w:p>
          <w:p w14:paraId="7AEE2F67"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Voriconazol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15%</w:t>
            </w:r>
            <w:r w:rsidRPr="002A54AF">
              <w:rPr>
                <w:rFonts w:cs="Times New Roman"/>
                <w:sz w:val="22"/>
                <w:szCs w:val="22"/>
                <w:lang w:val="pt-PT"/>
              </w:rPr>
              <w:br/>
              <w:t>Voriconazol AUC</w:t>
            </w:r>
            <w:r w:rsidRPr="002A54AF">
              <w:rPr>
                <w:rFonts w:cs="Times New Roman"/>
                <w:sz w:val="22"/>
                <w:szCs w:val="22"/>
              </w:rPr>
              <w:t>τ</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41%</w:t>
            </w:r>
          </w:p>
          <w:p w14:paraId="1E9D6E18"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189542F2" w14:textId="77777777" w:rsidR="00CF069D" w:rsidRPr="002A54AF" w:rsidRDefault="00CF069D" w:rsidP="00CF069D">
            <w:pPr>
              <w:tabs>
                <w:tab w:val="left" w:pos="567"/>
              </w:tabs>
              <w:suppressAutoHyphens/>
              <w:rPr>
                <w:szCs w:val="22"/>
                <w:lang w:val="pt-PT"/>
              </w:rPr>
            </w:pPr>
            <w:r w:rsidRPr="002A54AF">
              <w:rPr>
                <w:szCs w:val="22"/>
                <w:lang w:val="pt-PT"/>
              </w:rPr>
              <w:t>Outros inibidores da bomba de protões que são substrato do CYP2C19 também podem ser inibidos pelo voriconazol e pode resultar num aumento das concentrações plasmáticas destes medicamentos.</w:t>
            </w:r>
          </w:p>
        </w:tc>
        <w:tc>
          <w:tcPr>
            <w:tcW w:w="2790" w:type="dxa"/>
            <w:shd w:val="clear" w:color="auto" w:fill="auto"/>
          </w:tcPr>
          <w:p w14:paraId="3136088B"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Não é recomendado ajuste posológico do voriconazol.</w:t>
            </w:r>
          </w:p>
          <w:p w14:paraId="00F2930B"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74FFB89A" w14:textId="77777777" w:rsidR="00CF069D" w:rsidRDefault="00CF069D" w:rsidP="00CF069D">
            <w:pPr>
              <w:tabs>
                <w:tab w:val="left" w:pos="567"/>
              </w:tabs>
              <w:suppressAutoHyphens/>
              <w:rPr>
                <w:szCs w:val="22"/>
                <w:lang w:val="pt-PT"/>
              </w:rPr>
            </w:pPr>
          </w:p>
          <w:p w14:paraId="1159E136" w14:textId="77777777" w:rsidR="00CF069D" w:rsidRDefault="00CF069D" w:rsidP="00CF069D">
            <w:pPr>
              <w:tabs>
                <w:tab w:val="left" w:pos="567"/>
              </w:tabs>
              <w:suppressAutoHyphens/>
              <w:rPr>
                <w:szCs w:val="22"/>
                <w:lang w:val="pt-PT"/>
              </w:rPr>
            </w:pPr>
          </w:p>
          <w:p w14:paraId="40219DF9" w14:textId="77777777" w:rsidR="00CF069D" w:rsidRPr="002A54AF" w:rsidRDefault="00CF069D" w:rsidP="00CF069D">
            <w:pPr>
              <w:tabs>
                <w:tab w:val="left" w:pos="567"/>
              </w:tabs>
              <w:suppressAutoHyphens/>
              <w:rPr>
                <w:szCs w:val="22"/>
                <w:lang w:val="pt-PT"/>
              </w:rPr>
            </w:pPr>
            <w:r w:rsidRPr="002A54AF">
              <w:rPr>
                <w:szCs w:val="22"/>
                <w:lang w:val="pt-PT"/>
              </w:rPr>
              <w:t>Quando se inicia o tratamento com voriconazol em doentes em terapêutica com dose de 40 mg ou superiores de omeprazol, recomenda-se que a dose de omeprazol seja reduzida para metade.</w:t>
            </w:r>
          </w:p>
          <w:p w14:paraId="64B62CA0"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tc>
      </w:tr>
      <w:tr w:rsidR="00CF069D" w:rsidRPr="00376167" w14:paraId="5D86EC4D" w14:textId="77777777" w:rsidTr="00DB5F00">
        <w:tc>
          <w:tcPr>
            <w:tcW w:w="2880" w:type="dxa"/>
            <w:shd w:val="clear" w:color="auto" w:fill="auto"/>
          </w:tcPr>
          <w:p w14:paraId="57FB1F47"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Contracetivos orais</w:t>
            </w:r>
            <w:r w:rsidRPr="002A54AF">
              <w:rPr>
                <w:rFonts w:cs="Times New Roman"/>
                <w:sz w:val="22"/>
                <w:szCs w:val="22"/>
                <w:vertAlign w:val="superscript"/>
                <w:lang w:val="pt-PT"/>
              </w:rPr>
              <w:t>*</w:t>
            </w:r>
            <w:r w:rsidRPr="002A54AF">
              <w:rPr>
                <w:rFonts w:cs="Times New Roman"/>
                <w:sz w:val="22"/>
                <w:szCs w:val="22"/>
                <w:lang w:val="pt-PT"/>
              </w:rPr>
              <w:t xml:space="preserve"> </w:t>
            </w:r>
          </w:p>
          <w:p w14:paraId="57EBBA0A"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i/>
                <w:sz w:val="22"/>
                <w:szCs w:val="22"/>
                <w:lang w:val="pt-PT"/>
              </w:rPr>
              <w:t>[substrato do CYP3A4; inibidor do CYP2C19]</w:t>
            </w:r>
          </w:p>
          <w:p w14:paraId="094CE3E8"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Noretisterona/etinilestradiol (1 mg/0,035 mg OD) </w:t>
            </w:r>
          </w:p>
          <w:p w14:paraId="65CFFFB0" w14:textId="77777777" w:rsidR="00CF069D" w:rsidRPr="002A54AF" w:rsidRDefault="00CF069D" w:rsidP="00CF069D">
            <w:pPr>
              <w:pStyle w:val="TableText"/>
              <w:tabs>
                <w:tab w:val="left" w:pos="360"/>
              </w:tabs>
              <w:overflowPunct w:val="0"/>
              <w:autoSpaceDE w:val="0"/>
              <w:autoSpaceDN w:val="0"/>
              <w:adjustRightInd w:val="0"/>
              <w:ind w:left="144"/>
              <w:textAlignment w:val="baseline"/>
              <w:rPr>
                <w:rFonts w:cs="Times New Roman"/>
                <w:sz w:val="22"/>
                <w:szCs w:val="22"/>
                <w:lang w:val="pt-PT"/>
              </w:rPr>
            </w:pPr>
          </w:p>
          <w:p w14:paraId="7790FCEB" w14:textId="77777777" w:rsidR="00CF069D" w:rsidRPr="002A54AF" w:rsidRDefault="00CF069D" w:rsidP="00CF069D">
            <w:pPr>
              <w:tabs>
                <w:tab w:val="left" w:pos="567"/>
              </w:tabs>
              <w:suppressAutoHyphens/>
              <w:jc w:val="both"/>
              <w:rPr>
                <w:szCs w:val="22"/>
                <w:lang w:val="pt-PT"/>
              </w:rPr>
            </w:pPr>
          </w:p>
        </w:tc>
        <w:tc>
          <w:tcPr>
            <w:tcW w:w="3330" w:type="dxa"/>
            <w:shd w:val="clear" w:color="auto" w:fill="auto"/>
          </w:tcPr>
          <w:p w14:paraId="1043B87D"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Etinilestradiol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36%</w:t>
            </w:r>
            <w:r w:rsidRPr="002A54AF">
              <w:rPr>
                <w:rFonts w:cs="Times New Roman"/>
                <w:sz w:val="22"/>
                <w:szCs w:val="22"/>
                <w:lang w:val="pt-PT"/>
              </w:rPr>
              <w:br/>
              <w:t>Etinilestradiol AUC</w:t>
            </w:r>
            <w:r w:rsidRPr="002A54AF">
              <w:rPr>
                <w:rFonts w:cs="Times New Roman"/>
                <w:sz w:val="22"/>
                <w:szCs w:val="22"/>
              </w:rPr>
              <w:t>τ</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61%</w:t>
            </w:r>
          </w:p>
          <w:p w14:paraId="1109434B"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Noretisterona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15%</w:t>
            </w:r>
            <w:r w:rsidRPr="002A54AF">
              <w:rPr>
                <w:rFonts w:cs="Times New Roman"/>
                <w:sz w:val="22"/>
                <w:szCs w:val="22"/>
                <w:lang w:val="pt-PT"/>
              </w:rPr>
              <w:br/>
              <w:t>Noretisterona AUC</w:t>
            </w:r>
            <w:r w:rsidRPr="002A54AF">
              <w:rPr>
                <w:rFonts w:cs="Times New Roman"/>
                <w:sz w:val="22"/>
                <w:szCs w:val="22"/>
              </w:rPr>
              <w:t>τ</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53%</w:t>
            </w:r>
          </w:p>
          <w:p w14:paraId="2B674A59"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Voriconazol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14%</w:t>
            </w:r>
            <w:r w:rsidRPr="002A54AF">
              <w:rPr>
                <w:rFonts w:cs="Times New Roman"/>
                <w:sz w:val="22"/>
                <w:szCs w:val="22"/>
                <w:lang w:val="pt-PT"/>
              </w:rPr>
              <w:br/>
              <w:t>Voriconazol AUC</w:t>
            </w:r>
            <w:r w:rsidRPr="002A54AF">
              <w:rPr>
                <w:rFonts w:cs="Times New Roman"/>
                <w:sz w:val="22"/>
                <w:szCs w:val="22"/>
              </w:rPr>
              <w:t>τ</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46%</w:t>
            </w:r>
          </w:p>
        </w:tc>
        <w:tc>
          <w:tcPr>
            <w:tcW w:w="2790" w:type="dxa"/>
            <w:shd w:val="clear" w:color="auto" w:fill="auto"/>
          </w:tcPr>
          <w:p w14:paraId="349BF15A"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Recomenda-se a monitorização das reações adversas dos contracetivos orais, adicionalmente aos do voriconazol.</w:t>
            </w:r>
          </w:p>
        </w:tc>
      </w:tr>
      <w:tr w:rsidR="00CF069D" w:rsidRPr="00376167" w14:paraId="72359502" w14:textId="77777777" w:rsidTr="00DB5F00">
        <w:tc>
          <w:tcPr>
            <w:tcW w:w="2880" w:type="dxa"/>
            <w:shd w:val="clear" w:color="auto" w:fill="auto"/>
          </w:tcPr>
          <w:p w14:paraId="1C242150" w14:textId="77777777" w:rsidR="00CF069D" w:rsidRPr="002A54AF" w:rsidRDefault="00CF069D" w:rsidP="00CF069D">
            <w:pPr>
              <w:pStyle w:val="TableText"/>
              <w:keepNext/>
              <w:tabs>
                <w:tab w:val="left" w:pos="360"/>
              </w:tabs>
              <w:overflowPunct w:val="0"/>
              <w:autoSpaceDE w:val="0"/>
              <w:autoSpaceDN w:val="0"/>
              <w:adjustRightInd w:val="0"/>
              <w:ind w:left="216" w:hanging="216"/>
              <w:textAlignment w:val="baseline"/>
              <w:rPr>
                <w:rFonts w:cs="Times New Roman"/>
                <w:i/>
                <w:sz w:val="22"/>
                <w:szCs w:val="22"/>
                <w:lang w:val="pt-PT"/>
              </w:rPr>
            </w:pPr>
            <w:r w:rsidRPr="002A54AF">
              <w:rPr>
                <w:rFonts w:cs="Times New Roman"/>
                <w:sz w:val="22"/>
                <w:szCs w:val="22"/>
                <w:lang w:val="pt-PT"/>
              </w:rPr>
              <w:t xml:space="preserve">Opiáceos de curta ação </w:t>
            </w:r>
          </w:p>
          <w:p w14:paraId="311EBDA6" w14:textId="77777777" w:rsidR="00CF069D" w:rsidRPr="002A54AF" w:rsidRDefault="00CF069D" w:rsidP="00CF069D">
            <w:pPr>
              <w:pStyle w:val="TableText"/>
              <w:keepNext/>
              <w:tabs>
                <w:tab w:val="left" w:pos="360"/>
              </w:tabs>
              <w:overflowPunct w:val="0"/>
              <w:autoSpaceDE w:val="0"/>
              <w:autoSpaceDN w:val="0"/>
              <w:adjustRightInd w:val="0"/>
              <w:ind w:left="216" w:hanging="216"/>
              <w:textAlignment w:val="baseline"/>
              <w:rPr>
                <w:rFonts w:cs="Times New Roman"/>
                <w:i/>
                <w:sz w:val="22"/>
                <w:szCs w:val="22"/>
                <w:lang w:val="pt-PT"/>
              </w:rPr>
            </w:pPr>
            <w:r w:rsidRPr="002A54AF">
              <w:rPr>
                <w:rFonts w:cs="Times New Roman"/>
                <w:i/>
                <w:sz w:val="22"/>
                <w:szCs w:val="22"/>
                <w:lang w:val="pt-PT"/>
              </w:rPr>
              <w:t>[substratos do CYP3A4]</w:t>
            </w:r>
            <w:r w:rsidRPr="002A54AF">
              <w:rPr>
                <w:rFonts w:cs="Times New Roman"/>
                <w:i/>
                <w:sz w:val="22"/>
                <w:szCs w:val="22"/>
                <w:lang w:val="pt-PT"/>
              </w:rPr>
              <w:br/>
            </w:r>
          </w:p>
          <w:p w14:paraId="035E5D01" w14:textId="77777777" w:rsidR="00CF069D" w:rsidRPr="002A54AF" w:rsidRDefault="00CF069D" w:rsidP="00CF069D">
            <w:pPr>
              <w:pStyle w:val="TableText"/>
              <w:keepN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Alfentanilo (dose única de 20 </w:t>
            </w:r>
            <w:r w:rsidRPr="002A54AF">
              <w:rPr>
                <w:rFonts w:cs="Times New Roman"/>
                <w:sz w:val="22"/>
                <w:szCs w:val="22"/>
              </w:rPr>
              <w:t>μ</w:t>
            </w:r>
            <w:r w:rsidRPr="002A54AF">
              <w:rPr>
                <w:rFonts w:cs="Times New Roman"/>
                <w:sz w:val="22"/>
                <w:szCs w:val="22"/>
                <w:lang w:val="pt-PT"/>
              </w:rPr>
              <w:t>g/kg, com naloxona concomitante)</w:t>
            </w:r>
            <w:r w:rsidRPr="002A54AF">
              <w:rPr>
                <w:rFonts w:cs="Times New Roman"/>
                <w:sz w:val="22"/>
                <w:szCs w:val="22"/>
                <w:lang w:val="pt-PT"/>
              </w:rPr>
              <w:br/>
            </w:r>
          </w:p>
          <w:p w14:paraId="56229EB8"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it-IT"/>
              </w:rPr>
            </w:pPr>
          </w:p>
          <w:p w14:paraId="092FCAE5"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it-IT"/>
              </w:rPr>
            </w:pPr>
            <w:r w:rsidRPr="002A54AF">
              <w:rPr>
                <w:rFonts w:cs="Times New Roman"/>
                <w:sz w:val="22"/>
                <w:szCs w:val="22"/>
                <w:lang w:val="it-IT"/>
              </w:rPr>
              <w:t>Fentanilo (dose única de 5 </w:t>
            </w:r>
            <w:r w:rsidR="00BD1E55" w:rsidRPr="00ED57C2">
              <w:rPr>
                <w:sz w:val="22"/>
                <w:szCs w:val="22"/>
                <w:lang w:val="pt-PT"/>
              </w:rPr>
              <w:t>µ</w:t>
            </w:r>
            <w:r w:rsidRPr="002A54AF">
              <w:rPr>
                <w:rFonts w:cs="Times New Roman"/>
                <w:sz w:val="22"/>
                <w:szCs w:val="22"/>
                <w:lang w:val="it-IT"/>
              </w:rPr>
              <w:t>g/kg)</w:t>
            </w:r>
          </w:p>
          <w:p w14:paraId="098762B3" w14:textId="77777777" w:rsidR="00CF069D" w:rsidRPr="002A54AF" w:rsidRDefault="00CF069D" w:rsidP="00CF069D">
            <w:pPr>
              <w:pStyle w:val="TableText"/>
              <w:tabs>
                <w:tab w:val="left" w:pos="360"/>
              </w:tabs>
              <w:overflowPunct w:val="0"/>
              <w:autoSpaceDE w:val="0"/>
              <w:autoSpaceDN w:val="0"/>
              <w:adjustRightInd w:val="0"/>
              <w:ind w:left="144"/>
              <w:textAlignment w:val="baseline"/>
              <w:rPr>
                <w:rFonts w:cs="Times New Roman"/>
                <w:sz w:val="22"/>
                <w:szCs w:val="22"/>
                <w:lang w:val="it-IT"/>
              </w:rPr>
            </w:pPr>
          </w:p>
          <w:p w14:paraId="29E226A6" w14:textId="77777777" w:rsidR="00CF069D" w:rsidRPr="002A54AF" w:rsidRDefault="00CF069D" w:rsidP="00CF069D">
            <w:pPr>
              <w:tabs>
                <w:tab w:val="left" w:pos="567"/>
              </w:tabs>
              <w:suppressAutoHyphens/>
              <w:rPr>
                <w:szCs w:val="22"/>
                <w:lang w:val="pt-PT"/>
              </w:rPr>
            </w:pPr>
          </w:p>
        </w:tc>
        <w:tc>
          <w:tcPr>
            <w:tcW w:w="3330" w:type="dxa"/>
            <w:shd w:val="clear" w:color="auto" w:fill="auto"/>
          </w:tcPr>
          <w:p w14:paraId="63F17BEE" w14:textId="77777777" w:rsidR="00CF069D" w:rsidRPr="002A54AF" w:rsidRDefault="00CF069D" w:rsidP="00CF069D">
            <w:pPr>
              <w:pStyle w:val="TableText"/>
              <w:keepNext/>
              <w:tabs>
                <w:tab w:val="left" w:pos="216"/>
              </w:tabs>
              <w:overflowPunct w:val="0"/>
              <w:autoSpaceDE w:val="0"/>
              <w:autoSpaceDN w:val="0"/>
              <w:adjustRightInd w:val="0"/>
              <w:textAlignment w:val="baseline"/>
              <w:rPr>
                <w:rFonts w:cs="Times New Roman"/>
                <w:sz w:val="22"/>
                <w:szCs w:val="22"/>
                <w:lang w:val="it-IT"/>
              </w:rPr>
            </w:pPr>
          </w:p>
          <w:p w14:paraId="422C3A32" w14:textId="77777777" w:rsidR="00CF069D" w:rsidRPr="002A54AF" w:rsidRDefault="00CF069D" w:rsidP="00CF069D">
            <w:pPr>
              <w:pStyle w:val="TableText"/>
              <w:keepNext/>
              <w:tabs>
                <w:tab w:val="left" w:pos="216"/>
              </w:tabs>
              <w:overflowPunct w:val="0"/>
              <w:autoSpaceDE w:val="0"/>
              <w:autoSpaceDN w:val="0"/>
              <w:adjustRightInd w:val="0"/>
              <w:textAlignment w:val="baseline"/>
              <w:rPr>
                <w:rFonts w:cs="Times New Roman"/>
                <w:sz w:val="22"/>
                <w:szCs w:val="22"/>
                <w:lang w:val="it-IT"/>
              </w:rPr>
            </w:pPr>
          </w:p>
          <w:p w14:paraId="35C156BF" w14:textId="77777777" w:rsidR="00CF069D" w:rsidRPr="002A54AF" w:rsidRDefault="00CF069D" w:rsidP="00CF069D">
            <w:pPr>
              <w:pStyle w:val="TableText"/>
              <w:keepNext/>
              <w:tabs>
                <w:tab w:val="left" w:pos="216"/>
              </w:tabs>
              <w:overflowPunct w:val="0"/>
              <w:autoSpaceDE w:val="0"/>
              <w:autoSpaceDN w:val="0"/>
              <w:adjustRightInd w:val="0"/>
              <w:textAlignment w:val="baseline"/>
              <w:rPr>
                <w:rFonts w:cs="Times New Roman"/>
                <w:sz w:val="22"/>
                <w:szCs w:val="22"/>
                <w:lang w:val="pt-PT"/>
              </w:rPr>
            </w:pPr>
          </w:p>
          <w:p w14:paraId="5529BB45"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Num estudo independente publicado,</w:t>
            </w:r>
          </w:p>
          <w:p w14:paraId="3D0236C2" w14:textId="77777777" w:rsidR="00CF069D" w:rsidRPr="002A54AF" w:rsidRDefault="00CF069D" w:rsidP="00CF069D">
            <w:pPr>
              <w:pStyle w:val="TableText"/>
              <w:keepN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Alfentanilo AUC</w:t>
            </w:r>
            <w:r w:rsidRPr="002A54AF">
              <w:rPr>
                <w:rFonts w:cs="Times New Roman"/>
                <w:sz w:val="22"/>
                <w:szCs w:val="22"/>
                <w:vertAlign w:val="subscript"/>
                <w:lang w:val="pt-PT"/>
              </w:rPr>
              <w:t>0-∞</w:t>
            </w:r>
            <w:r w:rsidRPr="002A54AF">
              <w:rPr>
                <w:rFonts w:cs="Times New Roman"/>
                <w:sz w:val="22"/>
                <w:szCs w:val="22"/>
                <w:lang w:val="pt-PT"/>
              </w:rPr>
              <w:t xml:space="preserve"> </w:t>
            </w:r>
            <w:r w:rsidRPr="002A54AF">
              <w:rPr>
                <w:rFonts w:cs="Times New Roman"/>
                <w:sz w:val="22"/>
                <w:szCs w:val="22"/>
                <w:lang w:val="en-GB"/>
              </w:rPr>
              <w:sym w:font="Symbol" w:char="F0AD"/>
            </w:r>
            <w:r w:rsidRPr="002A54AF">
              <w:rPr>
                <w:rFonts w:cs="Times New Roman"/>
                <w:sz w:val="22"/>
                <w:szCs w:val="22"/>
                <w:lang w:val="pt-PT"/>
              </w:rPr>
              <w:t xml:space="preserve"> 6 vezes</w:t>
            </w:r>
          </w:p>
          <w:p w14:paraId="18FB9183" w14:textId="77777777" w:rsidR="00CF069D" w:rsidRPr="002A54AF" w:rsidRDefault="00CF069D" w:rsidP="00CF069D">
            <w:pPr>
              <w:pStyle w:val="TableText"/>
              <w:keepNext/>
              <w:tabs>
                <w:tab w:val="left" w:pos="216"/>
              </w:tabs>
              <w:overflowPunct w:val="0"/>
              <w:autoSpaceDE w:val="0"/>
              <w:autoSpaceDN w:val="0"/>
              <w:adjustRightInd w:val="0"/>
              <w:textAlignment w:val="baseline"/>
              <w:rPr>
                <w:rFonts w:cs="Times New Roman"/>
                <w:sz w:val="22"/>
                <w:szCs w:val="22"/>
                <w:lang w:val="pt-PT"/>
              </w:rPr>
            </w:pPr>
          </w:p>
          <w:p w14:paraId="060A0AB0" w14:textId="77777777" w:rsidR="00CF069D" w:rsidRPr="002A54AF" w:rsidRDefault="00CF069D" w:rsidP="00CF069D">
            <w:pPr>
              <w:pStyle w:val="TableText"/>
              <w:keepNext/>
              <w:tabs>
                <w:tab w:val="left" w:pos="216"/>
              </w:tabs>
              <w:overflowPunct w:val="0"/>
              <w:autoSpaceDE w:val="0"/>
              <w:autoSpaceDN w:val="0"/>
              <w:adjustRightInd w:val="0"/>
              <w:textAlignment w:val="baseline"/>
              <w:rPr>
                <w:rFonts w:cs="Times New Roman"/>
                <w:sz w:val="22"/>
                <w:szCs w:val="22"/>
                <w:lang w:val="pt-PT"/>
              </w:rPr>
            </w:pPr>
          </w:p>
          <w:p w14:paraId="4A48A8FA"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Num estudo independente publicado,</w:t>
            </w:r>
          </w:p>
          <w:p w14:paraId="60874AA5"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it-IT"/>
              </w:rPr>
            </w:pPr>
            <w:r w:rsidRPr="002A54AF">
              <w:rPr>
                <w:rFonts w:cs="Times New Roman"/>
                <w:sz w:val="22"/>
                <w:szCs w:val="22"/>
                <w:lang w:val="pt-PT"/>
              </w:rPr>
              <w:t>Fentanilo AUC</w:t>
            </w:r>
            <w:r w:rsidRPr="00CD5831">
              <w:rPr>
                <w:sz w:val="22"/>
                <w:szCs w:val="22"/>
                <w:vertAlign w:val="subscript"/>
                <w:lang w:val="sv-SE"/>
              </w:rPr>
              <w:t>0-</w:t>
            </w:r>
            <w:r w:rsidRPr="00CD5831">
              <w:rPr>
                <w:sz w:val="22"/>
                <w:szCs w:val="22"/>
                <w:vertAlign w:val="subscript"/>
                <w:lang w:val="sv-SE"/>
              </w:rPr>
              <w:sym w:font="Symbol" w:char="F0A5"/>
            </w:r>
            <w:r w:rsidRPr="002A54AF">
              <w:rPr>
                <w:rFonts w:cs="Times New Roman"/>
                <w:sz w:val="22"/>
                <w:szCs w:val="22"/>
                <w:lang w:val="en-GB"/>
              </w:rPr>
              <w:sym w:font="Symbol" w:char="F0AD"/>
            </w:r>
            <w:r w:rsidRPr="002A54AF">
              <w:rPr>
                <w:rFonts w:cs="Times New Roman"/>
                <w:sz w:val="22"/>
                <w:szCs w:val="22"/>
                <w:lang w:val="pt-PT"/>
              </w:rPr>
              <w:t xml:space="preserve"> 1,34 vezes</w:t>
            </w:r>
          </w:p>
        </w:tc>
        <w:tc>
          <w:tcPr>
            <w:tcW w:w="2790" w:type="dxa"/>
            <w:shd w:val="clear" w:color="auto" w:fill="auto"/>
          </w:tcPr>
          <w:p w14:paraId="41479540"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Deve considerar-se a redução na dose de alfentanilo, fentanilo e outros opiáceos de curta ação com estrutura semelhante à do alfentanilo e metabolisados pelo CYP3A4 (ex. sufentanilo). Recomenda-se a monitorização alongada e frequente para a depressão respiratória e reações adversas associadas com outros opiáceos.</w:t>
            </w:r>
          </w:p>
        </w:tc>
      </w:tr>
      <w:tr w:rsidR="00CF069D" w:rsidRPr="00376167" w14:paraId="52FF0DC1" w14:textId="77777777" w:rsidTr="00DB5F00">
        <w:tc>
          <w:tcPr>
            <w:tcW w:w="2880" w:type="dxa"/>
            <w:shd w:val="clear" w:color="auto" w:fill="auto"/>
          </w:tcPr>
          <w:p w14:paraId="0CA268FD"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BR"/>
              </w:rPr>
            </w:pPr>
            <w:r w:rsidRPr="002A54AF">
              <w:rPr>
                <w:rFonts w:cs="Times New Roman"/>
                <w:sz w:val="22"/>
                <w:szCs w:val="22"/>
                <w:lang w:val="pt-PT"/>
              </w:rPr>
              <w:t>Estatinas (ex. lovastatina)</w:t>
            </w:r>
            <w:r w:rsidRPr="002A54AF">
              <w:rPr>
                <w:rFonts w:cs="Times New Roman"/>
                <w:sz w:val="22"/>
                <w:szCs w:val="22"/>
                <w:lang w:val="pt-PT"/>
              </w:rPr>
              <w:br/>
            </w:r>
            <w:r w:rsidRPr="002A54AF">
              <w:rPr>
                <w:rFonts w:cs="Times New Roman"/>
                <w:i/>
                <w:sz w:val="22"/>
                <w:szCs w:val="22"/>
                <w:lang w:val="pt-PT"/>
              </w:rPr>
              <w:t>[substratos do CYP3A4]</w:t>
            </w:r>
          </w:p>
        </w:tc>
        <w:tc>
          <w:tcPr>
            <w:tcW w:w="3330" w:type="dxa"/>
            <w:shd w:val="clear" w:color="auto" w:fill="auto"/>
          </w:tcPr>
          <w:p w14:paraId="4DA25DBE" w14:textId="77777777" w:rsidR="00CF069D" w:rsidRPr="002A54AF" w:rsidRDefault="00CF069D" w:rsidP="00CF069D">
            <w:pPr>
              <w:pStyle w:val="TableText"/>
              <w:keepN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Apesar de não ter sido estudado, é provável que o voriconazol aumente as concentrações plasmáticas das estatinas que são metabolisadas pelo CYP3A4 e pode levar a rabdomiólise.</w:t>
            </w:r>
          </w:p>
        </w:tc>
        <w:tc>
          <w:tcPr>
            <w:tcW w:w="2790" w:type="dxa"/>
            <w:shd w:val="clear" w:color="auto" w:fill="auto"/>
          </w:tcPr>
          <w:p w14:paraId="68F325D3" w14:textId="77777777" w:rsidR="00CF069D" w:rsidRPr="002A54AF" w:rsidRDefault="00D40865" w:rsidP="00D40865">
            <w:pPr>
              <w:pStyle w:val="TableText"/>
              <w:overflowPunct w:val="0"/>
              <w:autoSpaceDE w:val="0"/>
              <w:autoSpaceDN w:val="0"/>
              <w:adjustRightInd w:val="0"/>
              <w:textAlignment w:val="baseline"/>
              <w:rPr>
                <w:rFonts w:cs="Times New Roman"/>
                <w:sz w:val="22"/>
                <w:szCs w:val="22"/>
                <w:lang w:val="pt-PT"/>
              </w:rPr>
            </w:pPr>
            <w:r w:rsidRPr="00D40865">
              <w:rPr>
                <w:rFonts w:cs="Times New Roman"/>
                <w:sz w:val="22"/>
                <w:szCs w:val="22"/>
                <w:lang w:val="pt-PT"/>
              </w:rPr>
              <w:t>Se a administração</w:t>
            </w:r>
            <w:r>
              <w:rPr>
                <w:rFonts w:cs="Times New Roman"/>
                <w:sz w:val="22"/>
                <w:szCs w:val="22"/>
                <w:lang w:val="pt-PT"/>
              </w:rPr>
              <w:t xml:space="preserve"> </w:t>
            </w:r>
            <w:r w:rsidRPr="00D40865">
              <w:rPr>
                <w:rFonts w:cs="Times New Roman"/>
                <w:sz w:val="22"/>
                <w:szCs w:val="22"/>
                <w:lang w:val="pt-PT"/>
              </w:rPr>
              <w:t>concomitante de voriconazol</w:t>
            </w:r>
            <w:r>
              <w:rPr>
                <w:rFonts w:cs="Times New Roman"/>
                <w:sz w:val="22"/>
                <w:szCs w:val="22"/>
                <w:lang w:val="pt-PT"/>
              </w:rPr>
              <w:t xml:space="preserve"> </w:t>
            </w:r>
            <w:r w:rsidRPr="00D40865">
              <w:rPr>
                <w:rFonts w:cs="Times New Roman"/>
                <w:sz w:val="22"/>
                <w:szCs w:val="22"/>
                <w:lang w:val="pt-PT"/>
              </w:rPr>
              <w:t>com estatinas metabolizadas</w:t>
            </w:r>
            <w:r>
              <w:rPr>
                <w:rFonts w:cs="Times New Roman"/>
                <w:sz w:val="22"/>
                <w:szCs w:val="22"/>
                <w:lang w:val="pt-PT"/>
              </w:rPr>
              <w:t xml:space="preserve"> </w:t>
            </w:r>
            <w:r w:rsidRPr="00D40865">
              <w:rPr>
                <w:rFonts w:cs="Times New Roman"/>
                <w:sz w:val="22"/>
                <w:szCs w:val="22"/>
                <w:lang w:val="pt-PT"/>
              </w:rPr>
              <w:t>pelo CYP3A4 não puder ser</w:t>
            </w:r>
            <w:r>
              <w:rPr>
                <w:rFonts w:cs="Times New Roman"/>
                <w:sz w:val="22"/>
                <w:szCs w:val="22"/>
                <w:lang w:val="pt-PT"/>
              </w:rPr>
              <w:t xml:space="preserve"> </w:t>
            </w:r>
            <w:r w:rsidRPr="00D40865">
              <w:rPr>
                <w:rFonts w:cs="Times New Roman"/>
                <w:sz w:val="22"/>
                <w:szCs w:val="22"/>
                <w:lang w:val="pt-PT"/>
              </w:rPr>
              <w:t>evitada</w:t>
            </w:r>
            <w:r>
              <w:rPr>
                <w:rFonts w:cs="Times New Roman"/>
                <w:sz w:val="22"/>
                <w:szCs w:val="22"/>
                <w:lang w:val="pt-PT"/>
              </w:rPr>
              <w:t>, d</w:t>
            </w:r>
            <w:r w:rsidR="00CF069D" w:rsidRPr="002A54AF">
              <w:rPr>
                <w:rFonts w:cs="Times New Roman"/>
                <w:sz w:val="22"/>
                <w:szCs w:val="22"/>
                <w:lang w:val="pt-PT"/>
              </w:rPr>
              <w:t>eve considerar-se a redução da dose das estatinas.</w:t>
            </w:r>
          </w:p>
        </w:tc>
      </w:tr>
      <w:tr w:rsidR="00CF069D" w:rsidRPr="00376167" w14:paraId="33D142B0" w14:textId="77777777" w:rsidTr="00DB5F00">
        <w:tc>
          <w:tcPr>
            <w:tcW w:w="2880" w:type="dxa"/>
            <w:shd w:val="clear" w:color="auto" w:fill="auto"/>
          </w:tcPr>
          <w:p w14:paraId="1DBF99DB" w14:textId="5E991ACE"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Sulfonilureias (</w:t>
            </w:r>
            <w:r w:rsidR="00FC1C76" w:rsidRPr="00FC1C76">
              <w:rPr>
                <w:rFonts w:cs="Times New Roman"/>
                <w:sz w:val="22"/>
                <w:szCs w:val="22"/>
                <w:lang w:val="pt-PT"/>
              </w:rPr>
              <w:t>incluindo, mas não limitado a:</w:t>
            </w:r>
            <w:r w:rsidR="00D40865">
              <w:rPr>
                <w:rFonts w:cs="Times New Roman"/>
                <w:sz w:val="22"/>
                <w:szCs w:val="22"/>
                <w:lang w:val="pt-PT"/>
              </w:rPr>
              <w:t xml:space="preserve"> </w:t>
            </w:r>
            <w:r w:rsidRPr="002A54AF">
              <w:rPr>
                <w:rFonts w:cs="Times New Roman"/>
                <w:sz w:val="22"/>
                <w:szCs w:val="22"/>
                <w:lang w:val="pt-PT"/>
              </w:rPr>
              <w:t>tolbutamida, glipizida, gliburida)</w:t>
            </w:r>
          </w:p>
          <w:p w14:paraId="5A7E19E2"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i/>
                <w:sz w:val="22"/>
                <w:szCs w:val="22"/>
                <w:lang w:val="pt-PT"/>
              </w:rPr>
              <w:t>[substratos do CYP2C9]</w:t>
            </w:r>
          </w:p>
          <w:p w14:paraId="32B3DD33"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p>
          <w:p w14:paraId="3939CF29" w14:textId="77777777" w:rsidR="00CF069D" w:rsidRPr="002A54AF" w:rsidRDefault="00CF069D" w:rsidP="00CF069D">
            <w:pPr>
              <w:tabs>
                <w:tab w:val="left" w:pos="567"/>
              </w:tabs>
              <w:rPr>
                <w:szCs w:val="22"/>
                <w:lang w:val="pt-PT"/>
              </w:rPr>
            </w:pPr>
          </w:p>
        </w:tc>
        <w:tc>
          <w:tcPr>
            <w:tcW w:w="3330" w:type="dxa"/>
            <w:shd w:val="clear" w:color="auto" w:fill="auto"/>
          </w:tcPr>
          <w:p w14:paraId="79CD255E" w14:textId="77777777" w:rsidR="00CF069D" w:rsidRPr="002A54AF" w:rsidRDefault="00CF069D" w:rsidP="00CF069D">
            <w:pPr>
              <w:pStyle w:val="TableText"/>
              <w:keepN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Apesar de não ter sido estudado, é provável que o voriconazol aumente os níveis plasmáticos das sulfonilureias e cause hipoglicemia.</w:t>
            </w:r>
          </w:p>
        </w:tc>
        <w:tc>
          <w:tcPr>
            <w:tcW w:w="2790" w:type="dxa"/>
            <w:shd w:val="clear" w:color="auto" w:fill="auto"/>
          </w:tcPr>
          <w:p w14:paraId="4E1F804F" w14:textId="77777777" w:rsidR="00CF069D" w:rsidRPr="002A54AF" w:rsidRDefault="00CF069D" w:rsidP="00CF069D">
            <w:pPr>
              <w:tabs>
                <w:tab w:val="left" w:pos="567"/>
              </w:tabs>
              <w:rPr>
                <w:szCs w:val="22"/>
                <w:lang w:val="pt-PT"/>
              </w:rPr>
            </w:pPr>
            <w:r w:rsidRPr="002A54AF">
              <w:rPr>
                <w:szCs w:val="22"/>
                <w:lang w:val="pt-PT"/>
              </w:rPr>
              <w:t>Recomenda-se a monitorização cuidadosa da glicemia. Deve ser considerada a redução da dose das sulfonilureias.</w:t>
            </w:r>
          </w:p>
          <w:p w14:paraId="298A259A"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tc>
      </w:tr>
      <w:tr w:rsidR="00CF069D" w:rsidRPr="00376167" w14:paraId="5849E089" w14:textId="77777777" w:rsidTr="00DB5F00">
        <w:tc>
          <w:tcPr>
            <w:tcW w:w="2880" w:type="dxa"/>
            <w:shd w:val="clear" w:color="auto" w:fill="auto"/>
          </w:tcPr>
          <w:p w14:paraId="7DF8272F" w14:textId="32A62BE0"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sz w:val="22"/>
                <w:szCs w:val="22"/>
                <w:lang w:val="pt-PT"/>
              </w:rPr>
              <w:t>Alcalóides da Vinca (</w:t>
            </w:r>
            <w:r w:rsidR="00FC1C76" w:rsidRPr="00FC1C76">
              <w:rPr>
                <w:rFonts w:cs="Times New Roman"/>
                <w:sz w:val="22"/>
                <w:szCs w:val="22"/>
                <w:lang w:val="pt-PT"/>
              </w:rPr>
              <w:t>incluindo, mas não limitado a:</w:t>
            </w:r>
            <w:r w:rsidRPr="002A54AF">
              <w:rPr>
                <w:rFonts w:cs="Times New Roman"/>
                <w:sz w:val="22"/>
                <w:szCs w:val="22"/>
                <w:lang w:val="pt-PT"/>
              </w:rPr>
              <w:t xml:space="preserve"> vincristina e vinblastina)</w:t>
            </w:r>
            <w:r w:rsidRPr="002A54AF">
              <w:rPr>
                <w:rFonts w:cs="Times New Roman"/>
                <w:sz w:val="22"/>
                <w:szCs w:val="22"/>
                <w:lang w:val="pt-PT"/>
              </w:rPr>
              <w:br/>
            </w:r>
            <w:r w:rsidRPr="002A54AF">
              <w:rPr>
                <w:rFonts w:cs="Times New Roman"/>
                <w:i/>
                <w:sz w:val="22"/>
                <w:szCs w:val="22"/>
                <w:lang w:val="pt-PT"/>
              </w:rPr>
              <w:t>[substratos do CYP3A4]</w:t>
            </w:r>
          </w:p>
          <w:p w14:paraId="340440B1"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p>
          <w:p w14:paraId="2232A1A4" w14:textId="77777777" w:rsidR="00CF069D" w:rsidRPr="002A54AF" w:rsidRDefault="00CF069D" w:rsidP="00CF069D">
            <w:pPr>
              <w:tabs>
                <w:tab w:val="left" w:pos="567"/>
              </w:tabs>
              <w:rPr>
                <w:szCs w:val="22"/>
                <w:lang w:val="pt-PT"/>
              </w:rPr>
            </w:pPr>
          </w:p>
        </w:tc>
        <w:tc>
          <w:tcPr>
            <w:tcW w:w="3330" w:type="dxa"/>
            <w:shd w:val="clear" w:color="auto" w:fill="auto"/>
          </w:tcPr>
          <w:p w14:paraId="0B6FD42B" w14:textId="77777777" w:rsidR="00CF069D" w:rsidRPr="002A54AF" w:rsidRDefault="00CF069D" w:rsidP="00CF069D">
            <w:pPr>
              <w:pStyle w:val="TableText"/>
              <w:keepN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lastRenderedPageBreak/>
              <w:t xml:space="preserve">Apesar de tal não ter sido estudado, é provável que o voriconazol aumente as concentrações plasmáticas dos </w:t>
            </w:r>
            <w:r w:rsidRPr="002A54AF">
              <w:rPr>
                <w:rFonts w:cs="Times New Roman"/>
                <w:sz w:val="22"/>
                <w:szCs w:val="22"/>
                <w:lang w:val="pt-PT"/>
              </w:rPr>
              <w:lastRenderedPageBreak/>
              <w:t>alcalóides da vinca e cause neurotoxicidade.</w:t>
            </w:r>
          </w:p>
          <w:p w14:paraId="5C2B22F4" w14:textId="77777777" w:rsidR="00CF069D" w:rsidRPr="002A54AF" w:rsidRDefault="00CF069D" w:rsidP="00CF069D">
            <w:pPr>
              <w:pStyle w:val="TableText"/>
              <w:keepNext/>
              <w:tabs>
                <w:tab w:val="left" w:pos="216"/>
              </w:tabs>
              <w:overflowPunct w:val="0"/>
              <w:autoSpaceDE w:val="0"/>
              <w:autoSpaceDN w:val="0"/>
              <w:adjustRightInd w:val="0"/>
              <w:textAlignment w:val="baseline"/>
              <w:rPr>
                <w:rFonts w:cs="Times New Roman"/>
                <w:sz w:val="22"/>
                <w:szCs w:val="22"/>
                <w:lang w:val="pt-PT"/>
              </w:rPr>
            </w:pPr>
          </w:p>
        </w:tc>
        <w:tc>
          <w:tcPr>
            <w:tcW w:w="2790" w:type="dxa"/>
            <w:shd w:val="clear" w:color="auto" w:fill="auto"/>
          </w:tcPr>
          <w:p w14:paraId="7DE8C05B" w14:textId="77777777" w:rsidR="00CF069D" w:rsidRPr="002A54AF" w:rsidRDefault="00CF069D" w:rsidP="00CF069D">
            <w:pPr>
              <w:tabs>
                <w:tab w:val="left" w:pos="567"/>
              </w:tabs>
              <w:rPr>
                <w:szCs w:val="22"/>
                <w:lang w:val="pt-PT"/>
              </w:rPr>
            </w:pPr>
            <w:r w:rsidRPr="002A54AF">
              <w:rPr>
                <w:szCs w:val="22"/>
                <w:lang w:val="pt-PT"/>
              </w:rPr>
              <w:lastRenderedPageBreak/>
              <w:t>Deve ser considerada a redução da dose dos alcalóides da vinca.</w:t>
            </w:r>
          </w:p>
          <w:p w14:paraId="65285B77"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tc>
      </w:tr>
      <w:tr w:rsidR="00CF069D" w:rsidRPr="00376167" w14:paraId="76187F0D" w14:textId="77777777" w:rsidTr="00DB5F00">
        <w:tc>
          <w:tcPr>
            <w:tcW w:w="2880" w:type="dxa"/>
            <w:shd w:val="clear" w:color="auto" w:fill="auto"/>
          </w:tcPr>
          <w:p w14:paraId="2537CEB9" w14:textId="2BEDFE74"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bCs/>
                <w:sz w:val="22"/>
                <w:szCs w:val="22"/>
                <w:lang w:val="pt-PT"/>
              </w:rPr>
              <w:t>Outros inibidores da protease do VIH</w:t>
            </w:r>
            <w:r w:rsidRPr="002A54AF">
              <w:rPr>
                <w:rFonts w:cs="Times New Roman"/>
                <w:sz w:val="22"/>
                <w:szCs w:val="22"/>
                <w:lang w:val="pt-PT"/>
              </w:rPr>
              <w:t xml:space="preserve"> (</w:t>
            </w:r>
            <w:r w:rsidR="00FC1C76" w:rsidRPr="00FC1C76">
              <w:rPr>
                <w:rFonts w:cs="Times New Roman"/>
                <w:sz w:val="22"/>
                <w:szCs w:val="22"/>
                <w:lang w:val="pt-PT"/>
              </w:rPr>
              <w:t>incluindo, mas não limitado a:</w:t>
            </w:r>
            <w:r w:rsidRPr="002A54AF">
              <w:rPr>
                <w:rFonts w:cs="Times New Roman"/>
                <w:sz w:val="22"/>
                <w:szCs w:val="22"/>
                <w:lang w:val="pt-PT"/>
              </w:rPr>
              <w:t xml:space="preserve"> saquinavir, amprenavir e nelfinavir)</w:t>
            </w:r>
            <w:r w:rsidRPr="002A54AF">
              <w:rPr>
                <w:rFonts w:cs="Times New Roman"/>
                <w:sz w:val="22"/>
                <w:szCs w:val="22"/>
                <w:vertAlign w:val="superscript"/>
                <w:lang w:val="pt-PT"/>
              </w:rPr>
              <w:t>*</w:t>
            </w:r>
            <w:r w:rsidRPr="002A54AF">
              <w:rPr>
                <w:rFonts w:cs="Times New Roman"/>
                <w:sz w:val="22"/>
                <w:szCs w:val="22"/>
                <w:lang w:val="pt-PT"/>
              </w:rPr>
              <w:br/>
            </w:r>
            <w:r w:rsidRPr="002A54AF">
              <w:rPr>
                <w:rFonts w:cs="Times New Roman"/>
                <w:i/>
                <w:sz w:val="22"/>
                <w:szCs w:val="22"/>
                <w:lang w:val="pt-PT"/>
              </w:rPr>
              <w:t>[substratos e inibidores do CYP3A4]</w:t>
            </w:r>
          </w:p>
          <w:p w14:paraId="690258B6" w14:textId="77777777" w:rsidR="00CF069D" w:rsidRPr="002A54AF" w:rsidRDefault="00CF069D" w:rsidP="00CF069D">
            <w:pPr>
              <w:pStyle w:val="EndnoteText"/>
              <w:widowControl/>
              <w:suppressAutoHyphens/>
              <w:rPr>
                <w:szCs w:val="22"/>
              </w:rPr>
            </w:pPr>
          </w:p>
        </w:tc>
        <w:tc>
          <w:tcPr>
            <w:tcW w:w="3330" w:type="dxa"/>
            <w:shd w:val="clear" w:color="auto" w:fill="auto"/>
          </w:tcPr>
          <w:p w14:paraId="1A121F3A"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bCs/>
                <w:sz w:val="22"/>
                <w:szCs w:val="22"/>
                <w:lang w:val="pt-PT"/>
              </w:rPr>
            </w:pPr>
            <w:r w:rsidRPr="002A54AF">
              <w:rPr>
                <w:rFonts w:cs="Times New Roman"/>
                <w:bCs/>
                <w:sz w:val="22"/>
                <w:szCs w:val="22"/>
                <w:lang w:val="pt-PT"/>
              </w:rPr>
              <w:t xml:space="preserve">Não foi estudado clinicamente. Estudos </w:t>
            </w:r>
            <w:r w:rsidRPr="002A54AF">
              <w:rPr>
                <w:rFonts w:cs="Times New Roman"/>
                <w:bCs/>
                <w:i/>
                <w:sz w:val="22"/>
                <w:szCs w:val="22"/>
                <w:lang w:val="pt-PT"/>
              </w:rPr>
              <w:t>in vitro</w:t>
            </w:r>
            <w:r w:rsidRPr="002A54AF">
              <w:rPr>
                <w:rFonts w:cs="Times New Roman"/>
                <w:bCs/>
                <w:sz w:val="22"/>
                <w:szCs w:val="22"/>
                <w:lang w:val="pt-PT"/>
              </w:rPr>
              <w:t xml:space="preserve"> mostram que o voriconazol pode inibir o metabolismo dos inibidores da protease do VIH e que o metabolismo do voriconazol pode também ser inibido pelos inibidores da protease do VIH.</w:t>
            </w:r>
          </w:p>
          <w:p w14:paraId="4444B722"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tc>
        <w:tc>
          <w:tcPr>
            <w:tcW w:w="2790" w:type="dxa"/>
            <w:shd w:val="clear" w:color="auto" w:fill="auto"/>
          </w:tcPr>
          <w:p w14:paraId="1B325CA2"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bCs/>
                <w:sz w:val="22"/>
                <w:szCs w:val="22"/>
                <w:lang w:val="pt-PT"/>
              </w:rPr>
              <w:t>Pode ser necessário o ajuste da dose e a monitorização cuidadosa para qualquer ocorrência de toxicidade medicamentosa e/ou perda de eficácia.</w:t>
            </w:r>
          </w:p>
        </w:tc>
      </w:tr>
      <w:tr w:rsidR="00CF069D" w:rsidRPr="00376167" w14:paraId="49BCF96B" w14:textId="77777777" w:rsidTr="00DB5F00">
        <w:tc>
          <w:tcPr>
            <w:tcW w:w="2880" w:type="dxa"/>
            <w:shd w:val="clear" w:color="auto" w:fill="auto"/>
          </w:tcPr>
          <w:p w14:paraId="24CF0B83" w14:textId="644765F4" w:rsidR="00CF069D" w:rsidRPr="002A54AF" w:rsidRDefault="00CF069D" w:rsidP="00CF069D">
            <w:pPr>
              <w:pStyle w:val="TableText"/>
              <w:tabs>
                <w:tab w:val="left" w:pos="360"/>
              </w:tabs>
              <w:overflowPunct w:val="0"/>
              <w:autoSpaceDE w:val="0"/>
              <w:autoSpaceDN w:val="0"/>
              <w:adjustRightInd w:val="0"/>
              <w:textAlignment w:val="baseline"/>
              <w:rPr>
                <w:rFonts w:cs="Times New Roman"/>
                <w:i/>
                <w:sz w:val="22"/>
                <w:szCs w:val="22"/>
                <w:lang w:val="pt-PT"/>
              </w:rPr>
            </w:pPr>
            <w:r w:rsidRPr="002A54AF">
              <w:rPr>
                <w:rFonts w:cs="Times New Roman"/>
                <w:sz w:val="22"/>
                <w:szCs w:val="22"/>
                <w:lang w:val="pt-PT"/>
              </w:rPr>
              <w:t xml:space="preserve">Outros </w:t>
            </w:r>
            <w:r>
              <w:rPr>
                <w:rFonts w:cs="Times New Roman"/>
                <w:sz w:val="22"/>
                <w:szCs w:val="22"/>
                <w:lang w:val="pt-PT"/>
              </w:rPr>
              <w:t>i</w:t>
            </w:r>
            <w:r w:rsidRPr="002A54AF">
              <w:rPr>
                <w:rFonts w:cs="Times New Roman"/>
                <w:sz w:val="22"/>
                <w:szCs w:val="22"/>
                <w:lang w:val="pt-PT"/>
              </w:rPr>
              <w:t>nibidores da transcriptase reversa não-nucleósidos (ITRNN) (</w:t>
            </w:r>
            <w:r w:rsidR="00FC1C76" w:rsidRPr="00FC1C76">
              <w:rPr>
                <w:rFonts w:cs="Times New Roman"/>
                <w:sz w:val="22"/>
                <w:szCs w:val="22"/>
                <w:lang w:val="pt-PT"/>
              </w:rPr>
              <w:t>incluindo, mas não limitado a:</w:t>
            </w:r>
            <w:r w:rsidRPr="002A54AF">
              <w:rPr>
                <w:rFonts w:cs="Times New Roman"/>
                <w:sz w:val="22"/>
                <w:szCs w:val="22"/>
                <w:lang w:val="pt-PT"/>
              </w:rPr>
              <w:t xml:space="preserve"> delavirdina, nevirapina)</w:t>
            </w:r>
            <w:r w:rsidRPr="002A54AF">
              <w:rPr>
                <w:rFonts w:cs="Times New Roman"/>
                <w:sz w:val="22"/>
                <w:szCs w:val="22"/>
                <w:vertAlign w:val="superscript"/>
                <w:lang w:val="pt-PT"/>
              </w:rPr>
              <w:t>*</w:t>
            </w:r>
            <w:r w:rsidRPr="002A54AF">
              <w:rPr>
                <w:rFonts w:cs="Times New Roman"/>
                <w:sz w:val="22"/>
                <w:szCs w:val="22"/>
                <w:lang w:val="pt-PT"/>
              </w:rPr>
              <w:br/>
            </w:r>
            <w:r w:rsidRPr="002A54AF">
              <w:rPr>
                <w:rFonts w:cs="Times New Roman"/>
                <w:i/>
                <w:sz w:val="22"/>
                <w:szCs w:val="22"/>
                <w:lang w:val="pt-PT"/>
              </w:rPr>
              <w:t>[substratos do CYP3A4, inibidores ou indutores do CYP450]</w:t>
            </w:r>
          </w:p>
          <w:p w14:paraId="35F968BF" w14:textId="77777777" w:rsidR="00CF069D" w:rsidRPr="002A54AF" w:rsidRDefault="00CF069D" w:rsidP="00CF069D">
            <w:pPr>
              <w:tabs>
                <w:tab w:val="left" w:pos="567"/>
              </w:tabs>
              <w:suppressAutoHyphens/>
              <w:rPr>
                <w:szCs w:val="22"/>
                <w:lang w:val="pt-PT"/>
              </w:rPr>
            </w:pPr>
          </w:p>
        </w:tc>
        <w:tc>
          <w:tcPr>
            <w:tcW w:w="3330" w:type="dxa"/>
            <w:shd w:val="clear" w:color="auto" w:fill="auto"/>
          </w:tcPr>
          <w:p w14:paraId="3C343E27"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bCs/>
                <w:sz w:val="22"/>
                <w:szCs w:val="22"/>
                <w:lang w:val="pt-PT"/>
              </w:rPr>
              <w:t>Não foi estudado clinicamente.</w:t>
            </w:r>
          </w:p>
          <w:p w14:paraId="3B41450C"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bCs/>
                <w:sz w:val="22"/>
                <w:szCs w:val="22"/>
                <w:lang w:val="pt-PT"/>
              </w:rPr>
              <w:t xml:space="preserve">Estudos </w:t>
            </w:r>
            <w:r w:rsidRPr="002A54AF">
              <w:rPr>
                <w:rFonts w:cs="Times New Roman"/>
                <w:bCs/>
                <w:i/>
                <w:sz w:val="22"/>
                <w:szCs w:val="22"/>
                <w:lang w:val="pt-PT"/>
              </w:rPr>
              <w:t>in vitro</w:t>
            </w:r>
            <w:r w:rsidRPr="002A54AF">
              <w:rPr>
                <w:rFonts w:cs="Times New Roman"/>
                <w:bCs/>
                <w:sz w:val="22"/>
                <w:szCs w:val="22"/>
                <w:lang w:val="pt-PT"/>
              </w:rPr>
              <w:t xml:space="preserve"> mostram que o metabolismo do voriconazol pode ser inibido pelos ITRNN e o voriconazol pode inibir o metabolismo dos ITRNN. Os achados do efeito do efavirenz no voriconazol sugerem que o metabolismo de voriconazol pode ser induzido pelos ITRNN.</w:t>
            </w:r>
          </w:p>
        </w:tc>
        <w:tc>
          <w:tcPr>
            <w:tcW w:w="2790" w:type="dxa"/>
            <w:shd w:val="clear" w:color="auto" w:fill="auto"/>
          </w:tcPr>
          <w:p w14:paraId="52029FE5"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bCs/>
                <w:sz w:val="22"/>
                <w:szCs w:val="22"/>
                <w:lang w:val="pt-PT"/>
              </w:rPr>
              <w:t>Pode ser necessário o ajuste da dose e a monitorização cuidadosa para qualquer ocorrência de toxicidade medicamentosa e/ou perda de eficácia.</w:t>
            </w:r>
          </w:p>
        </w:tc>
      </w:tr>
      <w:tr w:rsidR="00D40865" w:rsidRPr="00376167" w14:paraId="1C8335F4" w14:textId="77777777" w:rsidTr="00DB5F00">
        <w:tc>
          <w:tcPr>
            <w:tcW w:w="2880" w:type="dxa"/>
            <w:shd w:val="clear" w:color="auto" w:fill="auto"/>
          </w:tcPr>
          <w:p w14:paraId="71B966EB" w14:textId="77777777" w:rsidR="00D40865" w:rsidRPr="00D40865" w:rsidRDefault="00D40865" w:rsidP="00D40865">
            <w:pPr>
              <w:pStyle w:val="TableText"/>
              <w:tabs>
                <w:tab w:val="left" w:pos="360"/>
              </w:tabs>
              <w:overflowPunct w:val="0"/>
              <w:autoSpaceDE w:val="0"/>
              <w:autoSpaceDN w:val="0"/>
              <w:adjustRightInd w:val="0"/>
              <w:textAlignment w:val="baseline"/>
              <w:rPr>
                <w:rFonts w:cs="Times New Roman"/>
                <w:sz w:val="22"/>
                <w:szCs w:val="22"/>
                <w:lang w:val="pt-PT"/>
              </w:rPr>
            </w:pPr>
            <w:r w:rsidRPr="00D40865">
              <w:rPr>
                <w:rFonts w:cs="Times New Roman"/>
                <w:sz w:val="22"/>
                <w:szCs w:val="22"/>
                <w:lang w:val="pt-PT"/>
              </w:rPr>
              <w:t>Tretinoína</w:t>
            </w:r>
          </w:p>
          <w:p w14:paraId="70AE3889" w14:textId="77777777" w:rsidR="00D40865" w:rsidRPr="00EF6A1B" w:rsidRDefault="00D40865" w:rsidP="00D40865">
            <w:pPr>
              <w:pStyle w:val="TableText"/>
              <w:tabs>
                <w:tab w:val="left" w:pos="360"/>
              </w:tabs>
              <w:overflowPunct w:val="0"/>
              <w:autoSpaceDE w:val="0"/>
              <w:autoSpaceDN w:val="0"/>
              <w:adjustRightInd w:val="0"/>
              <w:textAlignment w:val="baseline"/>
              <w:rPr>
                <w:rFonts w:cs="Times New Roman"/>
                <w:i/>
                <w:iCs/>
                <w:sz w:val="22"/>
                <w:szCs w:val="22"/>
                <w:lang w:val="pt-PT"/>
              </w:rPr>
            </w:pPr>
            <w:r w:rsidRPr="00EF6A1B">
              <w:rPr>
                <w:rFonts w:cs="Times New Roman"/>
                <w:i/>
                <w:iCs/>
                <w:sz w:val="22"/>
                <w:szCs w:val="22"/>
                <w:lang w:val="pt-PT"/>
              </w:rPr>
              <w:t>[substrato do CYP3A4]</w:t>
            </w:r>
          </w:p>
        </w:tc>
        <w:tc>
          <w:tcPr>
            <w:tcW w:w="3330" w:type="dxa"/>
            <w:shd w:val="clear" w:color="auto" w:fill="auto"/>
          </w:tcPr>
          <w:p w14:paraId="66BBC0A6" w14:textId="77777777" w:rsidR="00D40865" w:rsidRPr="00D40865" w:rsidRDefault="00D40865" w:rsidP="00D40865">
            <w:pPr>
              <w:pStyle w:val="TableText"/>
              <w:tabs>
                <w:tab w:val="left" w:pos="216"/>
              </w:tabs>
              <w:overflowPunct w:val="0"/>
              <w:autoSpaceDE w:val="0"/>
              <w:autoSpaceDN w:val="0"/>
              <w:adjustRightInd w:val="0"/>
              <w:textAlignment w:val="baseline"/>
              <w:rPr>
                <w:rFonts w:cs="Times New Roman"/>
                <w:bCs/>
                <w:sz w:val="22"/>
                <w:szCs w:val="22"/>
                <w:lang w:val="pt-PT"/>
              </w:rPr>
            </w:pPr>
            <w:r w:rsidRPr="00D40865">
              <w:rPr>
                <w:rFonts w:cs="Times New Roman"/>
                <w:bCs/>
                <w:sz w:val="22"/>
                <w:szCs w:val="22"/>
                <w:lang w:val="pt-PT"/>
              </w:rPr>
              <w:t>Embora não tenha sido estudado, o</w:t>
            </w:r>
            <w:r>
              <w:rPr>
                <w:rFonts w:cs="Times New Roman"/>
                <w:bCs/>
                <w:sz w:val="22"/>
                <w:szCs w:val="22"/>
                <w:lang w:val="pt-PT"/>
              </w:rPr>
              <w:t xml:space="preserve"> </w:t>
            </w:r>
            <w:r w:rsidRPr="00D40865">
              <w:rPr>
                <w:rFonts w:cs="Times New Roman"/>
                <w:bCs/>
                <w:sz w:val="22"/>
                <w:szCs w:val="22"/>
                <w:lang w:val="pt-PT"/>
              </w:rPr>
              <w:t>voriconazol poderá aumentar as</w:t>
            </w:r>
            <w:r>
              <w:rPr>
                <w:rFonts w:cs="Times New Roman"/>
                <w:bCs/>
                <w:sz w:val="22"/>
                <w:szCs w:val="22"/>
                <w:lang w:val="pt-PT"/>
              </w:rPr>
              <w:t xml:space="preserve"> </w:t>
            </w:r>
            <w:r w:rsidRPr="00D40865">
              <w:rPr>
                <w:rFonts w:cs="Times New Roman"/>
                <w:bCs/>
                <w:sz w:val="22"/>
                <w:szCs w:val="22"/>
                <w:lang w:val="pt-PT"/>
              </w:rPr>
              <w:t>concentrações de tretinoína e</w:t>
            </w:r>
            <w:r>
              <w:rPr>
                <w:rFonts w:cs="Times New Roman"/>
                <w:bCs/>
                <w:sz w:val="22"/>
                <w:szCs w:val="22"/>
                <w:lang w:val="pt-PT"/>
              </w:rPr>
              <w:t xml:space="preserve"> </w:t>
            </w:r>
            <w:r w:rsidRPr="00D40865">
              <w:rPr>
                <w:rFonts w:cs="Times New Roman"/>
                <w:bCs/>
                <w:sz w:val="22"/>
                <w:szCs w:val="22"/>
                <w:lang w:val="pt-PT"/>
              </w:rPr>
              <w:t>aumentar o risco de reações</w:t>
            </w:r>
            <w:r>
              <w:rPr>
                <w:rFonts w:cs="Times New Roman"/>
                <w:bCs/>
                <w:sz w:val="22"/>
                <w:szCs w:val="22"/>
                <w:lang w:val="pt-PT"/>
              </w:rPr>
              <w:t xml:space="preserve"> </w:t>
            </w:r>
            <w:r w:rsidRPr="00D40865">
              <w:rPr>
                <w:rFonts w:cs="Times New Roman"/>
                <w:bCs/>
                <w:sz w:val="22"/>
                <w:szCs w:val="22"/>
                <w:lang w:val="pt-PT"/>
              </w:rPr>
              <w:t>adversas</w:t>
            </w:r>
            <w:r>
              <w:rPr>
                <w:rFonts w:cs="Times New Roman"/>
                <w:bCs/>
                <w:sz w:val="22"/>
                <w:szCs w:val="22"/>
                <w:lang w:val="pt-PT"/>
              </w:rPr>
              <w:t xml:space="preserve"> </w:t>
            </w:r>
            <w:r w:rsidRPr="00D40865">
              <w:rPr>
                <w:rFonts w:cs="Times New Roman"/>
                <w:bCs/>
                <w:sz w:val="22"/>
                <w:szCs w:val="22"/>
                <w:lang w:val="pt-PT"/>
              </w:rPr>
              <w:t>(pseudotumor cerebral,</w:t>
            </w:r>
            <w:r>
              <w:rPr>
                <w:rFonts w:cs="Times New Roman"/>
                <w:bCs/>
                <w:sz w:val="22"/>
                <w:szCs w:val="22"/>
                <w:lang w:val="pt-PT"/>
              </w:rPr>
              <w:t xml:space="preserve"> </w:t>
            </w:r>
            <w:r w:rsidRPr="00D40865">
              <w:rPr>
                <w:rFonts w:cs="Times New Roman"/>
                <w:bCs/>
                <w:sz w:val="22"/>
                <w:szCs w:val="22"/>
                <w:lang w:val="pt-PT"/>
              </w:rPr>
              <w:t>hipercalcemia).</w:t>
            </w:r>
          </w:p>
        </w:tc>
        <w:tc>
          <w:tcPr>
            <w:tcW w:w="2790" w:type="dxa"/>
            <w:shd w:val="clear" w:color="auto" w:fill="auto"/>
          </w:tcPr>
          <w:p w14:paraId="4BDA9B43" w14:textId="77777777" w:rsidR="00D40865" w:rsidRPr="00D40865" w:rsidRDefault="00D40865" w:rsidP="00D40865">
            <w:pPr>
              <w:pStyle w:val="TableText"/>
              <w:overflowPunct w:val="0"/>
              <w:autoSpaceDE w:val="0"/>
              <w:autoSpaceDN w:val="0"/>
              <w:adjustRightInd w:val="0"/>
              <w:textAlignment w:val="baseline"/>
              <w:rPr>
                <w:rFonts w:cs="Times New Roman"/>
                <w:bCs/>
                <w:sz w:val="22"/>
                <w:szCs w:val="22"/>
                <w:lang w:val="pt-PT"/>
              </w:rPr>
            </w:pPr>
            <w:r w:rsidRPr="00D40865">
              <w:rPr>
                <w:rFonts w:cs="Times New Roman"/>
                <w:bCs/>
                <w:sz w:val="22"/>
                <w:szCs w:val="22"/>
                <w:lang w:val="pt-PT"/>
              </w:rPr>
              <w:t>Recomenda-se o ajuste da</w:t>
            </w:r>
            <w:r>
              <w:rPr>
                <w:rFonts w:cs="Times New Roman"/>
                <w:bCs/>
                <w:sz w:val="22"/>
                <w:szCs w:val="22"/>
                <w:lang w:val="pt-PT"/>
              </w:rPr>
              <w:t xml:space="preserve"> </w:t>
            </w:r>
            <w:r w:rsidRPr="00D40865">
              <w:rPr>
                <w:rFonts w:cs="Times New Roman"/>
                <w:bCs/>
                <w:sz w:val="22"/>
                <w:szCs w:val="22"/>
                <w:lang w:val="pt-PT"/>
              </w:rPr>
              <w:t>dose de tretinoína durante o</w:t>
            </w:r>
            <w:r>
              <w:rPr>
                <w:rFonts w:cs="Times New Roman"/>
                <w:bCs/>
                <w:sz w:val="22"/>
                <w:szCs w:val="22"/>
                <w:lang w:val="pt-PT"/>
              </w:rPr>
              <w:t xml:space="preserve"> </w:t>
            </w:r>
            <w:r w:rsidRPr="00D40865">
              <w:rPr>
                <w:rFonts w:cs="Times New Roman"/>
                <w:bCs/>
                <w:sz w:val="22"/>
                <w:szCs w:val="22"/>
                <w:lang w:val="pt-PT"/>
              </w:rPr>
              <w:t>tratamento com voriconazol</w:t>
            </w:r>
            <w:r>
              <w:rPr>
                <w:rFonts w:cs="Times New Roman"/>
                <w:bCs/>
                <w:sz w:val="22"/>
                <w:szCs w:val="22"/>
                <w:lang w:val="pt-PT"/>
              </w:rPr>
              <w:t xml:space="preserve"> </w:t>
            </w:r>
            <w:r w:rsidRPr="00D40865">
              <w:rPr>
                <w:rFonts w:cs="Times New Roman"/>
                <w:bCs/>
                <w:sz w:val="22"/>
                <w:szCs w:val="22"/>
                <w:lang w:val="pt-PT"/>
              </w:rPr>
              <w:t>e após a sua descontinuação.</w:t>
            </w:r>
          </w:p>
        </w:tc>
      </w:tr>
      <w:tr w:rsidR="00CF069D" w:rsidRPr="00376167" w14:paraId="67009DE8" w14:textId="77777777" w:rsidTr="00DB5F00">
        <w:tc>
          <w:tcPr>
            <w:tcW w:w="2880" w:type="dxa"/>
            <w:shd w:val="clear" w:color="auto" w:fill="auto"/>
          </w:tcPr>
          <w:p w14:paraId="70B99898" w14:textId="77777777" w:rsidR="00CF069D" w:rsidRPr="002A54AF" w:rsidRDefault="00CF069D" w:rsidP="00CF069D">
            <w:pPr>
              <w:pStyle w:val="TableText"/>
              <w:overflowPunct w:val="0"/>
              <w:autoSpaceDE w:val="0"/>
              <w:autoSpaceDN w:val="0"/>
              <w:adjustRightInd w:val="0"/>
              <w:textAlignment w:val="baseline"/>
              <w:rPr>
                <w:rFonts w:cs="Times New Roman"/>
                <w:i/>
                <w:sz w:val="22"/>
                <w:szCs w:val="22"/>
                <w:lang w:val="pt-PT"/>
              </w:rPr>
            </w:pPr>
            <w:r w:rsidRPr="002A54AF">
              <w:rPr>
                <w:rFonts w:cs="Times New Roman"/>
                <w:sz w:val="22"/>
                <w:szCs w:val="22"/>
                <w:lang w:val="pt-PT"/>
              </w:rPr>
              <w:t>Cimetidina (400 mg BID)</w:t>
            </w:r>
            <w:r w:rsidRPr="002A54AF">
              <w:rPr>
                <w:rFonts w:cs="Times New Roman"/>
                <w:sz w:val="22"/>
                <w:szCs w:val="22"/>
                <w:lang w:val="pt-PT"/>
              </w:rPr>
              <w:br/>
            </w:r>
            <w:r w:rsidRPr="002A54AF">
              <w:rPr>
                <w:rFonts w:cs="Times New Roman"/>
                <w:i/>
                <w:sz w:val="22"/>
                <w:szCs w:val="22"/>
                <w:lang w:val="pt-PT"/>
              </w:rPr>
              <w:t>[inibidor não específico do CYP450 e aumenta o pH gástrico]</w:t>
            </w:r>
          </w:p>
          <w:p w14:paraId="1B1FFFF3" w14:textId="77777777" w:rsidR="00CF069D" w:rsidRPr="002A54AF" w:rsidRDefault="00CF069D" w:rsidP="00CF069D">
            <w:pPr>
              <w:pStyle w:val="TableText"/>
              <w:overflowPunct w:val="0"/>
              <w:autoSpaceDE w:val="0"/>
              <w:autoSpaceDN w:val="0"/>
              <w:adjustRightInd w:val="0"/>
              <w:textAlignment w:val="baseline"/>
              <w:rPr>
                <w:rFonts w:cs="Times New Roman"/>
                <w:i/>
                <w:sz w:val="22"/>
                <w:szCs w:val="22"/>
                <w:u w:val="single"/>
                <w:lang w:val="pt-PT"/>
              </w:rPr>
            </w:pPr>
          </w:p>
        </w:tc>
        <w:tc>
          <w:tcPr>
            <w:tcW w:w="3330" w:type="dxa"/>
            <w:shd w:val="clear" w:color="auto" w:fill="auto"/>
          </w:tcPr>
          <w:p w14:paraId="35AAC327"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rPr>
            </w:pPr>
            <w:r w:rsidRPr="002A54AF">
              <w:rPr>
                <w:rFonts w:cs="Times New Roman"/>
                <w:sz w:val="22"/>
                <w:szCs w:val="22"/>
              </w:rPr>
              <w:t>Voriconazol C</w:t>
            </w:r>
            <w:r w:rsidRPr="002A54AF">
              <w:rPr>
                <w:rFonts w:cs="Times New Roman"/>
                <w:sz w:val="22"/>
                <w:szCs w:val="22"/>
                <w:vertAlign w:val="subscript"/>
              </w:rPr>
              <w:t>max</w:t>
            </w:r>
            <w:r w:rsidRPr="002A54AF">
              <w:rPr>
                <w:rFonts w:cs="Times New Roman"/>
                <w:sz w:val="22"/>
                <w:szCs w:val="22"/>
              </w:rPr>
              <w:t xml:space="preserve"> </w:t>
            </w:r>
            <w:r w:rsidRPr="002A54AF">
              <w:rPr>
                <w:rFonts w:cs="Times New Roman"/>
                <w:sz w:val="22"/>
                <w:szCs w:val="22"/>
                <w:lang w:val="en-GB"/>
              </w:rPr>
              <w:sym w:font="Symbol" w:char="F0AD"/>
            </w:r>
            <w:r w:rsidRPr="002A54AF">
              <w:rPr>
                <w:rFonts w:cs="Times New Roman"/>
                <w:sz w:val="22"/>
                <w:szCs w:val="22"/>
              </w:rPr>
              <w:t xml:space="preserve"> 18%</w:t>
            </w:r>
            <w:r w:rsidRPr="002A54AF">
              <w:rPr>
                <w:rFonts w:cs="Times New Roman"/>
                <w:sz w:val="22"/>
                <w:szCs w:val="22"/>
              </w:rPr>
              <w:br/>
              <w:t>Voriconazol AUC</w:t>
            </w:r>
            <w:r w:rsidRPr="002A54AF">
              <w:rPr>
                <w:rFonts w:cs="Times New Roman"/>
                <w:sz w:val="22"/>
                <w:szCs w:val="22"/>
                <w:vertAlign w:val="subscript"/>
              </w:rPr>
              <w:t>τ</w:t>
            </w:r>
            <w:r w:rsidRPr="002A54AF">
              <w:rPr>
                <w:rFonts w:cs="Times New Roman"/>
                <w:sz w:val="22"/>
                <w:szCs w:val="22"/>
              </w:rPr>
              <w:t xml:space="preserve"> </w:t>
            </w:r>
            <w:r w:rsidRPr="002A54AF">
              <w:rPr>
                <w:rFonts w:cs="Times New Roman"/>
                <w:sz w:val="22"/>
                <w:szCs w:val="22"/>
                <w:lang w:val="en-GB"/>
              </w:rPr>
              <w:sym w:font="Symbol" w:char="F0AD"/>
            </w:r>
            <w:r w:rsidRPr="002A54AF">
              <w:rPr>
                <w:rFonts w:cs="Times New Roman"/>
                <w:sz w:val="22"/>
                <w:szCs w:val="22"/>
              </w:rPr>
              <w:t xml:space="preserve"> 23%</w:t>
            </w:r>
          </w:p>
        </w:tc>
        <w:tc>
          <w:tcPr>
            <w:tcW w:w="2790" w:type="dxa"/>
            <w:shd w:val="clear" w:color="auto" w:fill="auto"/>
          </w:tcPr>
          <w:p w14:paraId="730D79A5"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Não é necessário ajuste de dose</w:t>
            </w:r>
          </w:p>
        </w:tc>
      </w:tr>
      <w:tr w:rsidR="00CF069D" w:rsidRPr="00376167" w14:paraId="7C46003C" w14:textId="77777777" w:rsidTr="00DB5F00">
        <w:tc>
          <w:tcPr>
            <w:tcW w:w="2880" w:type="dxa"/>
            <w:shd w:val="clear" w:color="auto" w:fill="auto"/>
          </w:tcPr>
          <w:p w14:paraId="1DB6CDEF"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Digoxina (0,25 mg OD)</w:t>
            </w:r>
            <w:r w:rsidRPr="002A54AF">
              <w:rPr>
                <w:rFonts w:cs="Times New Roman"/>
                <w:sz w:val="22"/>
                <w:szCs w:val="22"/>
                <w:lang w:val="pt-PT"/>
              </w:rPr>
              <w:br/>
            </w:r>
            <w:r w:rsidRPr="002A54AF">
              <w:rPr>
                <w:rFonts w:cs="Times New Roman"/>
                <w:i/>
                <w:sz w:val="22"/>
                <w:szCs w:val="22"/>
                <w:lang w:val="pt-PT"/>
              </w:rPr>
              <w:t>[substrato P-gp]</w:t>
            </w:r>
          </w:p>
        </w:tc>
        <w:tc>
          <w:tcPr>
            <w:tcW w:w="3330" w:type="dxa"/>
            <w:shd w:val="clear" w:color="auto" w:fill="auto"/>
          </w:tcPr>
          <w:p w14:paraId="09071EF2"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rPr>
            </w:pPr>
            <w:r w:rsidRPr="002A54AF">
              <w:rPr>
                <w:rFonts w:cs="Times New Roman"/>
                <w:sz w:val="22"/>
                <w:szCs w:val="22"/>
              </w:rPr>
              <w:t>Digoxina C</w:t>
            </w:r>
            <w:r w:rsidRPr="002A54AF">
              <w:rPr>
                <w:rFonts w:cs="Times New Roman"/>
                <w:sz w:val="22"/>
                <w:szCs w:val="22"/>
                <w:vertAlign w:val="subscript"/>
              </w:rPr>
              <w:t>max</w:t>
            </w:r>
            <w:r w:rsidRPr="002A54AF">
              <w:rPr>
                <w:rFonts w:cs="Times New Roman"/>
                <w:sz w:val="22"/>
                <w:szCs w:val="22"/>
              </w:rPr>
              <w:t xml:space="preserve"> ↔</w:t>
            </w:r>
            <w:r w:rsidRPr="002A54AF">
              <w:rPr>
                <w:rFonts w:cs="Times New Roman"/>
                <w:sz w:val="22"/>
                <w:szCs w:val="22"/>
              </w:rPr>
              <w:br/>
              <w:t>Digoxina AUC</w:t>
            </w:r>
            <w:r w:rsidRPr="002A54AF">
              <w:rPr>
                <w:rFonts w:cs="Times New Roman"/>
                <w:sz w:val="22"/>
                <w:szCs w:val="22"/>
                <w:vertAlign w:val="subscript"/>
              </w:rPr>
              <w:t>τ</w:t>
            </w:r>
            <w:r w:rsidRPr="002A54AF">
              <w:rPr>
                <w:rFonts w:cs="Times New Roman"/>
                <w:sz w:val="22"/>
                <w:szCs w:val="22"/>
              </w:rPr>
              <w:t xml:space="preserve">  ↔</w:t>
            </w:r>
          </w:p>
        </w:tc>
        <w:tc>
          <w:tcPr>
            <w:tcW w:w="2790" w:type="dxa"/>
            <w:shd w:val="clear" w:color="auto" w:fill="auto"/>
          </w:tcPr>
          <w:p w14:paraId="713AEA93"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Não é necessário ajuste de dose </w:t>
            </w:r>
          </w:p>
        </w:tc>
      </w:tr>
      <w:tr w:rsidR="00CF069D" w:rsidRPr="00376167" w14:paraId="723FC0E0" w14:textId="77777777" w:rsidTr="00DB5F00">
        <w:tc>
          <w:tcPr>
            <w:tcW w:w="2880" w:type="dxa"/>
            <w:shd w:val="clear" w:color="auto" w:fill="auto"/>
          </w:tcPr>
          <w:p w14:paraId="2484014C"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Indinavir (800 mg TID)</w:t>
            </w:r>
            <w:r w:rsidRPr="002A54AF">
              <w:rPr>
                <w:rFonts w:cs="Times New Roman"/>
                <w:sz w:val="22"/>
                <w:szCs w:val="22"/>
                <w:lang w:val="pt-PT"/>
              </w:rPr>
              <w:br/>
            </w:r>
            <w:r w:rsidRPr="002A54AF">
              <w:rPr>
                <w:rFonts w:cs="Times New Roman"/>
                <w:i/>
                <w:sz w:val="22"/>
                <w:szCs w:val="22"/>
                <w:lang w:val="pt-PT"/>
              </w:rPr>
              <w:t>[inibidor e substrato do            CYP3A4]</w:t>
            </w:r>
          </w:p>
        </w:tc>
        <w:tc>
          <w:tcPr>
            <w:tcW w:w="3330" w:type="dxa"/>
            <w:shd w:val="clear" w:color="auto" w:fill="auto"/>
          </w:tcPr>
          <w:p w14:paraId="7732920E"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Indinavir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pt-PT"/>
              </w:rPr>
              <w:br/>
              <w:t>Indinavir AUC</w:t>
            </w:r>
            <w:r w:rsidRPr="002A54AF">
              <w:rPr>
                <w:rFonts w:cs="Times New Roman"/>
                <w:sz w:val="22"/>
                <w:szCs w:val="22"/>
                <w:vertAlign w:val="subscript"/>
              </w:rPr>
              <w:t>τ</w:t>
            </w:r>
            <w:r w:rsidRPr="002A54AF">
              <w:rPr>
                <w:rFonts w:cs="Times New Roman"/>
                <w:sz w:val="22"/>
                <w:szCs w:val="22"/>
                <w:lang w:val="pt-PT"/>
              </w:rPr>
              <w:t xml:space="preserve">  ↔</w:t>
            </w:r>
          </w:p>
          <w:p w14:paraId="6A1A0DEE"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Voriconazol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pt-PT"/>
              </w:rPr>
              <w:br/>
              <w:t>Voriconazol AUC</w:t>
            </w:r>
            <w:r w:rsidRPr="002A54AF">
              <w:rPr>
                <w:rFonts w:cs="Times New Roman"/>
                <w:sz w:val="22"/>
                <w:szCs w:val="22"/>
                <w:vertAlign w:val="subscript"/>
              </w:rPr>
              <w:t>τ</w:t>
            </w:r>
            <w:r w:rsidRPr="002A54AF">
              <w:rPr>
                <w:rFonts w:cs="Times New Roman"/>
                <w:sz w:val="22"/>
                <w:szCs w:val="22"/>
                <w:lang w:val="pt-PT"/>
              </w:rPr>
              <w:t xml:space="preserve">  ↔</w:t>
            </w:r>
          </w:p>
        </w:tc>
        <w:tc>
          <w:tcPr>
            <w:tcW w:w="2790" w:type="dxa"/>
            <w:shd w:val="clear" w:color="auto" w:fill="auto"/>
          </w:tcPr>
          <w:p w14:paraId="04956491"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Não é necessário ajuste de dose </w:t>
            </w:r>
          </w:p>
        </w:tc>
      </w:tr>
      <w:tr w:rsidR="00CF069D" w:rsidRPr="00376167" w14:paraId="2E829DA9" w14:textId="77777777" w:rsidTr="00DB5F00">
        <w:tc>
          <w:tcPr>
            <w:tcW w:w="2880" w:type="dxa"/>
            <w:shd w:val="clear" w:color="auto" w:fill="auto"/>
          </w:tcPr>
          <w:p w14:paraId="12D7460B" w14:textId="77777777" w:rsidR="00CF069D" w:rsidRPr="002A54AF" w:rsidRDefault="00CF069D" w:rsidP="00CF069D">
            <w:pPr>
              <w:pStyle w:val="TableText"/>
              <w:tabs>
                <w:tab w:val="left" w:pos="360"/>
              </w:tabs>
              <w:overflowPunct w:val="0"/>
              <w:autoSpaceDE w:val="0"/>
              <w:autoSpaceDN w:val="0"/>
              <w:adjustRightInd w:val="0"/>
              <w:ind w:left="72" w:hanging="72"/>
              <w:textAlignment w:val="baseline"/>
              <w:rPr>
                <w:rFonts w:cs="Times New Roman"/>
                <w:sz w:val="22"/>
                <w:szCs w:val="22"/>
                <w:lang w:val="pt-PT"/>
              </w:rPr>
            </w:pPr>
            <w:r w:rsidRPr="002A54AF">
              <w:rPr>
                <w:rFonts w:cs="Times New Roman"/>
                <w:sz w:val="22"/>
                <w:szCs w:val="22"/>
                <w:lang w:val="pt-PT"/>
              </w:rPr>
              <w:t>Antibióticos macrólidos</w:t>
            </w:r>
          </w:p>
          <w:p w14:paraId="67A6C06D"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03310ACA"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Eritromicina (1 g BID)</w:t>
            </w:r>
            <w:r w:rsidRPr="002A54AF">
              <w:rPr>
                <w:rFonts w:cs="Times New Roman"/>
                <w:sz w:val="22"/>
                <w:szCs w:val="22"/>
                <w:lang w:val="pt-PT"/>
              </w:rPr>
              <w:br/>
            </w:r>
            <w:r w:rsidRPr="002A54AF">
              <w:rPr>
                <w:rFonts w:cs="Times New Roman"/>
                <w:i/>
                <w:sz w:val="22"/>
                <w:szCs w:val="22"/>
                <w:lang w:val="pt-PT"/>
              </w:rPr>
              <w:t>[inibidor do CYP3A4]</w:t>
            </w:r>
          </w:p>
          <w:p w14:paraId="0B779E29"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p>
          <w:p w14:paraId="06FB35E9" w14:textId="77777777" w:rsidR="00CF069D" w:rsidRPr="002A54AF" w:rsidRDefault="00CF069D" w:rsidP="00CF069D">
            <w:pPr>
              <w:pStyle w:val="TableText"/>
              <w:tabs>
                <w:tab w:val="left" w:pos="360"/>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Azitromicina (500 mg OD)</w:t>
            </w:r>
          </w:p>
          <w:p w14:paraId="6E4FD9CA"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tc>
        <w:tc>
          <w:tcPr>
            <w:tcW w:w="3330" w:type="dxa"/>
            <w:shd w:val="clear" w:color="auto" w:fill="auto"/>
          </w:tcPr>
          <w:p w14:paraId="08630723"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5A1573C0"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040662C6"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Voriconazol C</w:t>
            </w:r>
            <w:r w:rsidRPr="002A54AF">
              <w:rPr>
                <w:rFonts w:cs="Times New Roman"/>
                <w:sz w:val="22"/>
                <w:szCs w:val="22"/>
                <w:vertAlign w:val="subscript"/>
                <w:lang w:val="pt-PT"/>
              </w:rPr>
              <w:t>max</w:t>
            </w:r>
            <w:r w:rsidRPr="002A54AF">
              <w:rPr>
                <w:rFonts w:cs="Times New Roman"/>
                <w:sz w:val="22"/>
                <w:szCs w:val="22"/>
                <w:lang w:val="pt-PT"/>
              </w:rPr>
              <w:t xml:space="preserve"> e AUC</w:t>
            </w:r>
            <w:r w:rsidRPr="002A54AF">
              <w:rPr>
                <w:rFonts w:cs="Times New Roman"/>
                <w:sz w:val="22"/>
                <w:szCs w:val="22"/>
                <w:vertAlign w:val="subscript"/>
              </w:rPr>
              <w:t>τ</w:t>
            </w:r>
            <w:r w:rsidRPr="002A54AF">
              <w:rPr>
                <w:rFonts w:cs="Times New Roman"/>
                <w:sz w:val="22"/>
                <w:szCs w:val="22"/>
                <w:lang w:val="pt-PT"/>
              </w:rPr>
              <w:t xml:space="preserve">  ↔</w:t>
            </w:r>
          </w:p>
          <w:p w14:paraId="0407E720"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3E3A7C02"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64B43A35"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Voriconazol C</w:t>
            </w:r>
            <w:r w:rsidRPr="002A54AF">
              <w:rPr>
                <w:rFonts w:cs="Times New Roman"/>
                <w:sz w:val="22"/>
                <w:szCs w:val="22"/>
                <w:vertAlign w:val="subscript"/>
                <w:lang w:val="pt-PT"/>
              </w:rPr>
              <w:t>max</w:t>
            </w:r>
            <w:r w:rsidRPr="002A54AF">
              <w:rPr>
                <w:rFonts w:cs="Times New Roman"/>
                <w:sz w:val="22"/>
                <w:szCs w:val="22"/>
                <w:lang w:val="pt-PT"/>
              </w:rPr>
              <w:t xml:space="preserve"> e AUC</w:t>
            </w:r>
            <w:r w:rsidRPr="002A54AF">
              <w:rPr>
                <w:rFonts w:cs="Times New Roman"/>
                <w:sz w:val="22"/>
                <w:szCs w:val="22"/>
                <w:vertAlign w:val="subscript"/>
              </w:rPr>
              <w:t>τ</w:t>
            </w:r>
            <w:r w:rsidRPr="002A54AF">
              <w:rPr>
                <w:rFonts w:cs="Times New Roman"/>
                <w:sz w:val="22"/>
                <w:szCs w:val="22"/>
                <w:lang w:val="pt-PT"/>
              </w:rPr>
              <w:t xml:space="preserve">  ↔</w:t>
            </w:r>
          </w:p>
          <w:p w14:paraId="7129E927"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p>
          <w:p w14:paraId="6FE27E91"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Desconhece-se o efeito do voriconazol na eritromicina ou na azitromicina.</w:t>
            </w:r>
          </w:p>
        </w:tc>
        <w:tc>
          <w:tcPr>
            <w:tcW w:w="2790" w:type="dxa"/>
            <w:shd w:val="clear" w:color="auto" w:fill="auto"/>
          </w:tcPr>
          <w:p w14:paraId="5F1E7530"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Não é necessário ajuste de dose </w:t>
            </w:r>
          </w:p>
        </w:tc>
      </w:tr>
      <w:tr w:rsidR="00CF069D" w:rsidRPr="00376167" w14:paraId="472A9907" w14:textId="77777777" w:rsidTr="00DB5F00">
        <w:tc>
          <w:tcPr>
            <w:tcW w:w="2880" w:type="dxa"/>
            <w:shd w:val="clear" w:color="auto" w:fill="auto"/>
          </w:tcPr>
          <w:p w14:paraId="63E73376"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Ácido micofenólico (dose única de 1 g)  </w:t>
            </w:r>
          </w:p>
          <w:p w14:paraId="37AE1241"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i/>
                <w:sz w:val="22"/>
                <w:szCs w:val="22"/>
                <w:lang w:val="pt-PT"/>
              </w:rPr>
              <w:t>[substrato da UDP-glucorunil transferase]</w:t>
            </w:r>
          </w:p>
        </w:tc>
        <w:tc>
          <w:tcPr>
            <w:tcW w:w="3330" w:type="dxa"/>
            <w:shd w:val="clear" w:color="auto" w:fill="auto"/>
          </w:tcPr>
          <w:p w14:paraId="2BFF2008"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Ácido micofenólico C</w:t>
            </w:r>
            <w:r w:rsidRPr="002A54AF">
              <w:rPr>
                <w:rFonts w:cs="Times New Roman"/>
                <w:sz w:val="22"/>
                <w:szCs w:val="22"/>
                <w:vertAlign w:val="subscript"/>
                <w:lang w:val="pt-PT"/>
              </w:rPr>
              <w:t>max</w:t>
            </w:r>
            <w:r w:rsidRPr="002A54AF">
              <w:rPr>
                <w:rFonts w:cs="Times New Roman"/>
                <w:sz w:val="22"/>
                <w:szCs w:val="22"/>
                <w:lang w:val="pt-PT"/>
              </w:rPr>
              <w:t xml:space="preserve"> ↔</w:t>
            </w:r>
            <w:r w:rsidRPr="002A54AF">
              <w:rPr>
                <w:rFonts w:cs="Times New Roman"/>
                <w:sz w:val="22"/>
                <w:szCs w:val="22"/>
                <w:lang w:val="pt-PT"/>
              </w:rPr>
              <w:br/>
              <w:t>Ácido micofenólico AUC</w:t>
            </w:r>
            <w:r w:rsidRPr="002A54AF">
              <w:rPr>
                <w:rFonts w:cs="Times New Roman"/>
                <w:sz w:val="22"/>
                <w:szCs w:val="22"/>
                <w:vertAlign w:val="subscript"/>
                <w:lang w:val="pt-PT"/>
              </w:rPr>
              <w:t>t</w:t>
            </w:r>
            <w:r w:rsidRPr="002A54AF">
              <w:rPr>
                <w:rFonts w:cs="Times New Roman"/>
                <w:sz w:val="22"/>
                <w:szCs w:val="22"/>
                <w:lang w:val="pt-PT"/>
              </w:rPr>
              <w:t xml:space="preserve"> ↔</w:t>
            </w:r>
          </w:p>
        </w:tc>
        <w:tc>
          <w:tcPr>
            <w:tcW w:w="2790" w:type="dxa"/>
            <w:shd w:val="clear" w:color="auto" w:fill="auto"/>
          </w:tcPr>
          <w:p w14:paraId="757C9344"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Não é necessário ajuste de dose </w:t>
            </w:r>
          </w:p>
        </w:tc>
      </w:tr>
      <w:tr w:rsidR="00CF069D" w:rsidRPr="00376167" w14:paraId="565BB47B" w14:textId="77777777" w:rsidTr="00DB5F00">
        <w:tc>
          <w:tcPr>
            <w:tcW w:w="2880" w:type="dxa"/>
            <w:shd w:val="clear" w:color="auto" w:fill="auto"/>
          </w:tcPr>
          <w:p w14:paraId="483D8F2A" w14:textId="77777777" w:rsidR="00CF069D" w:rsidRDefault="00CF069D" w:rsidP="00CF069D">
            <w:pPr>
              <w:pStyle w:val="TableText"/>
              <w:overflowPunct w:val="0"/>
              <w:autoSpaceDE w:val="0"/>
              <w:autoSpaceDN w:val="0"/>
              <w:adjustRightInd w:val="0"/>
              <w:textAlignment w:val="baseline"/>
              <w:rPr>
                <w:rFonts w:cs="Times New Roman"/>
                <w:sz w:val="22"/>
                <w:szCs w:val="22"/>
                <w:lang w:val="pt-PT"/>
              </w:rPr>
            </w:pPr>
            <w:r>
              <w:rPr>
                <w:rFonts w:cs="Times New Roman"/>
                <w:sz w:val="22"/>
                <w:szCs w:val="22"/>
                <w:lang w:val="pt-PT"/>
              </w:rPr>
              <w:t>Corticosteroides</w:t>
            </w:r>
          </w:p>
          <w:p w14:paraId="7CAA0E21"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Prednisolona (dose única de 60 mg) </w:t>
            </w:r>
            <w:r w:rsidRPr="002A54AF">
              <w:rPr>
                <w:rFonts w:cs="Times New Roman"/>
                <w:sz w:val="22"/>
                <w:szCs w:val="22"/>
                <w:lang w:val="pt-PT"/>
              </w:rPr>
              <w:br/>
            </w:r>
            <w:r w:rsidRPr="002A54AF">
              <w:rPr>
                <w:rFonts w:cs="Times New Roman"/>
                <w:i/>
                <w:sz w:val="22"/>
                <w:szCs w:val="22"/>
                <w:lang w:val="pt-PT"/>
              </w:rPr>
              <w:t>[substrato do CYP3A4]</w:t>
            </w:r>
          </w:p>
        </w:tc>
        <w:tc>
          <w:tcPr>
            <w:tcW w:w="3330" w:type="dxa"/>
            <w:shd w:val="clear" w:color="auto" w:fill="auto"/>
          </w:tcPr>
          <w:p w14:paraId="22ECF9F5" w14:textId="77777777" w:rsidR="00CF069D" w:rsidRPr="00ED57C2" w:rsidRDefault="00CF069D" w:rsidP="00CF069D">
            <w:pPr>
              <w:pStyle w:val="TableText"/>
              <w:tabs>
                <w:tab w:val="left" w:pos="216"/>
              </w:tabs>
              <w:overflowPunct w:val="0"/>
              <w:autoSpaceDE w:val="0"/>
              <w:autoSpaceDN w:val="0"/>
              <w:adjustRightInd w:val="0"/>
              <w:textAlignment w:val="baseline"/>
              <w:rPr>
                <w:rFonts w:cs="Times New Roman"/>
                <w:sz w:val="22"/>
                <w:szCs w:val="22"/>
                <w:lang w:val="pt-PT"/>
              </w:rPr>
            </w:pPr>
          </w:p>
          <w:p w14:paraId="783DEA1E" w14:textId="77777777" w:rsidR="00CF069D" w:rsidRPr="002A54AF" w:rsidRDefault="00CF069D" w:rsidP="00CF069D">
            <w:pPr>
              <w:pStyle w:val="TableText"/>
              <w:tabs>
                <w:tab w:val="left" w:pos="216"/>
              </w:tabs>
              <w:overflowPunct w:val="0"/>
              <w:autoSpaceDE w:val="0"/>
              <w:autoSpaceDN w:val="0"/>
              <w:adjustRightInd w:val="0"/>
              <w:textAlignment w:val="baseline"/>
              <w:rPr>
                <w:rFonts w:cs="Times New Roman"/>
                <w:sz w:val="22"/>
                <w:szCs w:val="22"/>
              </w:rPr>
            </w:pPr>
            <w:r w:rsidRPr="002A54AF">
              <w:rPr>
                <w:rFonts w:cs="Times New Roman"/>
                <w:sz w:val="22"/>
                <w:szCs w:val="22"/>
              </w:rPr>
              <w:t>Prednisolona C</w:t>
            </w:r>
            <w:r w:rsidRPr="002A54AF">
              <w:rPr>
                <w:rFonts w:cs="Times New Roman"/>
                <w:sz w:val="22"/>
                <w:szCs w:val="22"/>
                <w:vertAlign w:val="subscript"/>
              </w:rPr>
              <w:t>max</w:t>
            </w:r>
            <w:r w:rsidRPr="002A54AF">
              <w:rPr>
                <w:rFonts w:cs="Times New Roman"/>
                <w:sz w:val="22"/>
                <w:szCs w:val="22"/>
              </w:rPr>
              <w:t xml:space="preserve"> </w:t>
            </w:r>
            <w:r w:rsidRPr="002A54AF">
              <w:rPr>
                <w:rFonts w:cs="Times New Roman"/>
                <w:sz w:val="22"/>
                <w:szCs w:val="22"/>
                <w:lang w:val="en-GB"/>
              </w:rPr>
              <w:sym w:font="Symbol" w:char="F0AD"/>
            </w:r>
            <w:r w:rsidRPr="002A54AF">
              <w:rPr>
                <w:rFonts w:cs="Times New Roman"/>
                <w:sz w:val="22"/>
                <w:szCs w:val="22"/>
              </w:rPr>
              <w:t xml:space="preserve"> 11%</w:t>
            </w:r>
            <w:r w:rsidRPr="002A54AF">
              <w:rPr>
                <w:rFonts w:cs="Times New Roman"/>
                <w:sz w:val="22"/>
                <w:szCs w:val="22"/>
              </w:rPr>
              <w:br/>
              <w:t>Prednisolona AUC</w:t>
            </w:r>
            <w:r w:rsidRPr="00CD5831">
              <w:rPr>
                <w:sz w:val="22"/>
                <w:szCs w:val="22"/>
                <w:vertAlign w:val="subscript"/>
                <w:lang w:val="sv-SE"/>
              </w:rPr>
              <w:t>0-</w:t>
            </w:r>
            <w:r w:rsidRPr="00CD5831">
              <w:rPr>
                <w:sz w:val="22"/>
                <w:szCs w:val="22"/>
                <w:vertAlign w:val="subscript"/>
                <w:lang w:val="sv-SE"/>
              </w:rPr>
              <w:sym w:font="Symbol" w:char="F0A5"/>
            </w:r>
            <w:r w:rsidRPr="002A54AF">
              <w:rPr>
                <w:rFonts w:cs="Times New Roman"/>
                <w:sz w:val="22"/>
                <w:szCs w:val="22"/>
              </w:rPr>
              <w:t xml:space="preserve"> </w:t>
            </w:r>
            <w:r w:rsidRPr="002A54AF">
              <w:rPr>
                <w:rFonts w:cs="Times New Roman"/>
                <w:sz w:val="22"/>
                <w:szCs w:val="22"/>
                <w:lang w:val="en-GB"/>
              </w:rPr>
              <w:sym w:font="Symbol" w:char="F0AD"/>
            </w:r>
            <w:r w:rsidRPr="002A54AF">
              <w:rPr>
                <w:rFonts w:cs="Times New Roman"/>
                <w:sz w:val="22"/>
                <w:szCs w:val="22"/>
              </w:rPr>
              <w:t xml:space="preserve"> 34%</w:t>
            </w:r>
          </w:p>
        </w:tc>
        <w:tc>
          <w:tcPr>
            <w:tcW w:w="2790" w:type="dxa"/>
            <w:shd w:val="clear" w:color="auto" w:fill="auto"/>
          </w:tcPr>
          <w:p w14:paraId="7A4B70FD" w14:textId="77777777" w:rsidR="006A6203" w:rsidRDefault="006A6203" w:rsidP="00CF069D">
            <w:pPr>
              <w:pStyle w:val="TableText"/>
              <w:overflowPunct w:val="0"/>
              <w:autoSpaceDE w:val="0"/>
              <w:autoSpaceDN w:val="0"/>
              <w:adjustRightInd w:val="0"/>
              <w:textAlignment w:val="baseline"/>
              <w:rPr>
                <w:rFonts w:cs="Times New Roman"/>
                <w:sz w:val="22"/>
                <w:szCs w:val="22"/>
                <w:lang w:val="pt-PT"/>
              </w:rPr>
            </w:pPr>
          </w:p>
          <w:p w14:paraId="3B3A8FEC" w14:textId="77777777" w:rsidR="00CF069D"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Não é necessário ajuste de dose </w:t>
            </w:r>
          </w:p>
          <w:p w14:paraId="50B02DDF" w14:textId="77777777" w:rsidR="006A6203" w:rsidRDefault="006A6203" w:rsidP="00CF069D">
            <w:pPr>
              <w:pStyle w:val="TableText"/>
              <w:overflowPunct w:val="0"/>
              <w:autoSpaceDE w:val="0"/>
              <w:autoSpaceDN w:val="0"/>
              <w:adjustRightInd w:val="0"/>
              <w:textAlignment w:val="baseline"/>
              <w:rPr>
                <w:rFonts w:cs="Times New Roman"/>
                <w:sz w:val="22"/>
                <w:szCs w:val="22"/>
                <w:lang w:val="pt-PT"/>
              </w:rPr>
            </w:pPr>
          </w:p>
          <w:p w14:paraId="11DC9563" w14:textId="77777777" w:rsidR="006A6203" w:rsidRPr="002A54AF" w:rsidRDefault="006A6203" w:rsidP="006A6203">
            <w:pPr>
              <w:pStyle w:val="TableText"/>
              <w:overflowPunct w:val="0"/>
              <w:autoSpaceDE w:val="0"/>
              <w:autoSpaceDN w:val="0"/>
              <w:adjustRightInd w:val="0"/>
              <w:textAlignment w:val="baseline"/>
              <w:rPr>
                <w:rFonts w:cs="Times New Roman"/>
                <w:sz w:val="22"/>
                <w:szCs w:val="22"/>
                <w:lang w:val="pt-PT"/>
              </w:rPr>
            </w:pPr>
            <w:r w:rsidRPr="006A6203">
              <w:rPr>
                <w:rFonts w:cs="Times New Roman"/>
                <w:sz w:val="22"/>
                <w:szCs w:val="22"/>
                <w:lang w:val="pt-PT"/>
              </w:rPr>
              <w:lastRenderedPageBreak/>
              <w:t>Os doentes em tratamento de</w:t>
            </w:r>
            <w:r>
              <w:rPr>
                <w:rFonts w:cs="Times New Roman"/>
                <w:sz w:val="22"/>
                <w:szCs w:val="22"/>
                <w:lang w:val="pt-PT"/>
              </w:rPr>
              <w:t xml:space="preserve"> </w:t>
            </w:r>
            <w:r w:rsidRPr="006A6203">
              <w:rPr>
                <w:rFonts w:cs="Times New Roman"/>
                <w:sz w:val="22"/>
                <w:szCs w:val="22"/>
                <w:lang w:val="pt-PT"/>
              </w:rPr>
              <w:t>longa duração com</w:t>
            </w:r>
            <w:r>
              <w:rPr>
                <w:rFonts w:cs="Times New Roman"/>
                <w:sz w:val="22"/>
                <w:szCs w:val="22"/>
                <w:lang w:val="pt-PT"/>
              </w:rPr>
              <w:t xml:space="preserve"> </w:t>
            </w:r>
            <w:r w:rsidRPr="006A6203">
              <w:rPr>
                <w:rFonts w:cs="Times New Roman"/>
                <w:sz w:val="22"/>
                <w:szCs w:val="22"/>
                <w:lang w:val="pt-PT"/>
              </w:rPr>
              <w:t>voriconazol e corticosteroides</w:t>
            </w:r>
            <w:r>
              <w:rPr>
                <w:rFonts w:cs="Times New Roman"/>
                <w:sz w:val="22"/>
                <w:szCs w:val="22"/>
                <w:lang w:val="pt-PT"/>
              </w:rPr>
              <w:t xml:space="preserve"> </w:t>
            </w:r>
            <w:r w:rsidRPr="006A6203">
              <w:rPr>
                <w:rFonts w:cs="Times New Roman"/>
                <w:sz w:val="22"/>
                <w:szCs w:val="22"/>
                <w:lang w:val="pt-PT"/>
              </w:rPr>
              <w:t>(incluindo corticosteroides</w:t>
            </w:r>
            <w:r>
              <w:rPr>
                <w:rFonts w:cs="Times New Roman"/>
                <w:sz w:val="22"/>
                <w:szCs w:val="22"/>
                <w:lang w:val="pt-PT"/>
              </w:rPr>
              <w:t xml:space="preserve"> </w:t>
            </w:r>
            <w:r w:rsidRPr="006A6203">
              <w:rPr>
                <w:rFonts w:cs="Times New Roman"/>
                <w:sz w:val="22"/>
                <w:szCs w:val="22"/>
                <w:lang w:val="pt-PT"/>
              </w:rPr>
              <w:t>inalados, por exemplo,</w:t>
            </w:r>
            <w:r>
              <w:rPr>
                <w:rFonts w:cs="Times New Roman"/>
                <w:sz w:val="22"/>
                <w:szCs w:val="22"/>
                <w:lang w:val="pt-PT"/>
              </w:rPr>
              <w:t xml:space="preserve"> </w:t>
            </w:r>
            <w:r w:rsidRPr="006A6203">
              <w:rPr>
                <w:rFonts w:cs="Times New Roman"/>
                <w:sz w:val="22"/>
                <w:szCs w:val="22"/>
                <w:lang w:val="pt-PT"/>
              </w:rPr>
              <w:t>budesonida e corticosteroides</w:t>
            </w:r>
            <w:r>
              <w:rPr>
                <w:rFonts w:cs="Times New Roman"/>
                <w:sz w:val="22"/>
                <w:szCs w:val="22"/>
                <w:lang w:val="pt-PT"/>
              </w:rPr>
              <w:t xml:space="preserve"> </w:t>
            </w:r>
            <w:r w:rsidRPr="006A6203">
              <w:rPr>
                <w:rFonts w:cs="Times New Roman"/>
                <w:sz w:val="22"/>
                <w:szCs w:val="22"/>
                <w:lang w:val="pt-PT"/>
              </w:rPr>
              <w:t>intranasais) devem ser</w:t>
            </w:r>
            <w:r>
              <w:rPr>
                <w:rFonts w:cs="Times New Roman"/>
                <w:sz w:val="22"/>
                <w:szCs w:val="22"/>
                <w:lang w:val="pt-PT"/>
              </w:rPr>
              <w:t xml:space="preserve"> </w:t>
            </w:r>
            <w:r w:rsidRPr="006A6203">
              <w:rPr>
                <w:rFonts w:cs="Times New Roman"/>
                <w:sz w:val="22"/>
                <w:szCs w:val="22"/>
                <w:lang w:val="pt-PT"/>
              </w:rPr>
              <w:t>cuidadosamente monitorizados</w:t>
            </w:r>
            <w:r>
              <w:rPr>
                <w:rFonts w:cs="Times New Roman"/>
                <w:sz w:val="22"/>
                <w:szCs w:val="22"/>
                <w:lang w:val="pt-PT"/>
              </w:rPr>
              <w:t xml:space="preserve"> </w:t>
            </w:r>
            <w:r w:rsidRPr="006A6203">
              <w:rPr>
                <w:rFonts w:cs="Times New Roman"/>
                <w:sz w:val="22"/>
                <w:szCs w:val="22"/>
                <w:lang w:val="pt-PT"/>
              </w:rPr>
              <w:t>quanto à disfunção do córtex</w:t>
            </w:r>
            <w:r>
              <w:rPr>
                <w:rFonts w:cs="Times New Roman"/>
                <w:sz w:val="22"/>
                <w:szCs w:val="22"/>
                <w:lang w:val="pt-PT"/>
              </w:rPr>
              <w:t xml:space="preserve"> </w:t>
            </w:r>
            <w:r w:rsidRPr="006A6203">
              <w:rPr>
                <w:rFonts w:cs="Times New Roman"/>
                <w:sz w:val="22"/>
                <w:szCs w:val="22"/>
                <w:lang w:val="pt-PT"/>
              </w:rPr>
              <w:t>adrenal durante o tratamento e</w:t>
            </w:r>
            <w:r>
              <w:rPr>
                <w:rFonts w:cs="Times New Roman"/>
                <w:sz w:val="22"/>
                <w:szCs w:val="22"/>
                <w:lang w:val="pt-PT"/>
              </w:rPr>
              <w:t xml:space="preserve"> </w:t>
            </w:r>
            <w:r w:rsidRPr="006A6203">
              <w:rPr>
                <w:rFonts w:cs="Times New Roman"/>
                <w:sz w:val="22"/>
                <w:szCs w:val="22"/>
                <w:lang w:val="pt-PT"/>
              </w:rPr>
              <w:t>quando o voriconazol é</w:t>
            </w:r>
            <w:r>
              <w:rPr>
                <w:rFonts w:cs="Times New Roman"/>
                <w:sz w:val="22"/>
                <w:szCs w:val="22"/>
                <w:lang w:val="pt-PT"/>
              </w:rPr>
              <w:t xml:space="preserve"> </w:t>
            </w:r>
            <w:r w:rsidRPr="006A6203">
              <w:rPr>
                <w:rFonts w:cs="Times New Roman"/>
                <w:sz w:val="22"/>
                <w:szCs w:val="22"/>
                <w:lang w:val="pt-PT"/>
              </w:rPr>
              <w:t>descontinuado (ver</w:t>
            </w:r>
            <w:r>
              <w:rPr>
                <w:rFonts w:cs="Times New Roman"/>
                <w:sz w:val="22"/>
                <w:szCs w:val="22"/>
                <w:lang w:val="pt-PT"/>
              </w:rPr>
              <w:t xml:space="preserve"> </w:t>
            </w:r>
            <w:r w:rsidRPr="006A6203">
              <w:rPr>
                <w:rFonts w:cs="Times New Roman"/>
                <w:sz w:val="22"/>
                <w:szCs w:val="22"/>
                <w:lang w:val="pt-PT"/>
              </w:rPr>
              <w:t>secção 4.4).</w:t>
            </w:r>
          </w:p>
        </w:tc>
      </w:tr>
      <w:tr w:rsidR="00CF069D" w:rsidRPr="00376167" w14:paraId="198EA766" w14:textId="77777777" w:rsidTr="00DB5F00">
        <w:tc>
          <w:tcPr>
            <w:tcW w:w="2880" w:type="dxa"/>
            <w:shd w:val="clear" w:color="auto" w:fill="auto"/>
          </w:tcPr>
          <w:p w14:paraId="1727B165" w14:textId="77777777" w:rsidR="00CF069D" w:rsidRPr="002A54AF" w:rsidRDefault="00CF069D" w:rsidP="00CF069D">
            <w:pPr>
              <w:pStyle w:val="TableText"/>
              <w:overflowPunct w:val="0"/>
              <w:autoSpaceDE w:val="0"/>
              <w:autoSpaceDN w:val="0"/>
              <w:adjustRightInd w:val="0"/>
              <w:textAlignment w:val="baseline"/>
              <w:rPr>
                <w:rFonts w:cs="Times New Roman"/>
                <w:i/>
                <w:sz w:val="22"/>
                <w:szCs w:val="22"/>
                <w:lang w:val="pt-PT"/>
              </w:rPr>
            </w:pPr>
            <w:r w:rsidRPr="002A54AF">
              <w:rPr>
                <w:rFonts w:cs="Times New Roman"/>
                <w:sz w:val="22"/>
                <w:szCs w:val="22"/>
                <w:lang w:val="pt-PT"/>
              </w:rPr>
              <w:lastRenderedPageBreak/>
              <w:t>Ranitidina (150 mg BID)</w:t>
            </w:r>
            <w:r w:rsidRPr="002A54AF">
              <w:rPr>
                <w:rFonts w:cs="Times New Roman"/>
                <w:sz w:val="22"/>
                <w:szCs w:val="22"/>
                <w:lang w:val="pt-PT"/>
              </w:rPr>
              <w:br/>
            </w:r>
            <w:r w:rsidRPr="002A54AF">
              <w:rPr>
                <w:rFonts w:cs="Times New Roman"/>
                <w:i/>
                <w:sz w:val="22"/>
                <w:szCs w:val="22"/>
                <w:lang w:val="pt-PT"/>
              </w:rPr>
              <w:t>[aumento do pH gástrico]</w:t>
            </w:r>
          </w:p>
        </w:tc>
        <w:tc>
          <w:tcPr>
            <w:tcW w:w="3330" w:type="dxa"/>
            <w:shd w:val="clear" w:color="auto" w:fill="auto"/>
          </w:tcPr>
          <w:p w14:paraId="68CD39F1"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rPr>
            </w:pPr>
            <w:r w:rsidRPr="002A54AF">
              <w:rPr>
                <w:rFonts w:cs="Times New Roman"/>
                <w:sz w:val="22"/>
                <w:szCs w:val="22"/>
              </w:rPr>
              <w:t>Voriconazol C</w:t>
            </w:r>
            <w:r w:rsidRPr="002A54AF">
              <w:rPr>
                <w:rFonts w:cs="Times New Roman"/>
                <w:sz w:val="22"/>
                <w:szCs w:val="22"/>
                <w:vertAlign w:val="subscript"/>
              </w:rPr>
              <w:t>max</w:t>
            </w:r>
            <w:r w:rsidRPr="002A54AF">
              <w:rPr>
                <w:rFonts w:cs="Times New Roman"/>
                <w:sz w:val="22"/>
                <w:szCs w:val="22"/>
              </w:rPr>
              <w:t xml:space="preserve"> and AUCτ ↔</w:t>
            </w:r>
          </w:p>
        </w:tc>
        <w:tc>
          <w:tcPr>
            <w:tcW w:w="2790" w:type="dxa"/>
            <w:shd w:val="clear" w:color="auto" w:fill="auto"/>
          </w:tcPr>
          <w:p w14:paraId="2434D2FB" w14:textId="77777777" w:rsidR="00CF069D" w:rsidRPr="002A54AF" w:rsidRDefault="00CF069D" w:rsidP="00CF069D">
            <w:pPr>
              <w:pStyle w:val="TableText"/>
              <w:overflowPunct w:val="0"/>
              <w:autoSpaceDE w:val="0"/>
              <w:autoSpaceDN w:val="0"/>
              <w:adjustRightInd w:val="0"/>
              <w:textAlignment w:val="baseline"/>
              <w:rPr>
                <w:rFonts w:cs="Times New Roman"/>
                <w:sz w:val="22"/>
                <w:szCs w:val="22"/>
                <w:lang w:val="pt-PT"/>
              </w:rPr>
            </w:pPr>
            <w:r w:rsidRPr="002A54AF">
              <w:rPr>
                <w:rFonts w:cs="Times New Roman"/>
                <w:sz w:val="22"/>
                <w:szCs w:val="22"/>
                <w:lang w:val="pt-PT"/>
              </w:rPr>
              <w:t xml:space="preserve">Não é necessário ajuste de dose </w:t>
            </w:r>
          </w:p>
        </w:tc>
      </w:tr>
      <w:tr w:rsidR="00C83AE3" w:rsidRPr="00C83AE3" w14:paraId="02D5D791" w14:textId="77777777" w:rsidTr="00DB5F00">
        <w:tc>
          <w:tcPr>
            <w:tcW w:w="2880" w:type="dxa"/>
            <w:shd w:val="clear" w:color="auto" w:fill="auto"/>
          </w:tcPr>
          <w:p w14:paraId="799E3779" w14:textId="77777777" w:rsidR="00C83AE3" w:rsidRPr="00C83AE3" w:rsidRDefault="00C83AE3" w:rsidP="00C83AE3">
            <w:pPr>
              <w:pStyle w:val="TableText"/>
              <w:overflowPunct w:val="0"/>
              <w:autoSpaceDE w:val="0"/>
              <w:autoSpaceDN w:val="0"/>
              <w:adjustRightInd w:val="0"/>
              <w:textAlignment w:val="baseline"/>
              <w:rPr>
                <w:rFonts w:cs="Times New Roman"/>
                <w:sz w:val="22"/>
                <w:szCs w:val="22"/>
                <w:lang w:val="pt-PT"/>
              </w:rPr>
            </w:pPr>
            <w:r w:rsidRPr="00C83AE3">
              <w:rPr>
                <w:rFonts w:cs="Times New Roman"/>
                <w:sz w:val="22"/>
                <w:szCs w:val="22"/>
                <w:lang w:val="pt-PT"/>
              </w:rPr>
              <w:t>Flucloxacillina</w:t>
            </w:r>
          </w:p>
          <w:p w14:paraId="07068041" w14:textId="45C315D1" w:rsidR="00C83AE3" w:rsidRPr="002A54AF" w:rsidRDefault="00C83AE3" w:rsidP="00C83AE3">
            <w:pPr>
              <w:pStyle w:val="TableText"/>
              <w:overflowPunct w:val="0"/>
              <w:autoSpaceDE w:val="0"/>
              <w:autoSpaceDN w:val="0"/>
              <w:adjustRightInd w:val="0"/>
              <w:textAlignment w:val="baseline"/>
              <w:rPr>
                <w:rFonts w:cs="Times New Roman"/>
                <w:sz w:val="22"/>
                <w:szCs w:val="22"/>
                <w:lang w:val="pt-PT"/>
              </w:rPr>
            </w:pPr>
            <w:r w:rsidRPr="00C83AE3">
              <w:rPr>
                <w:rFonts w:cs="Times New Roman"/>
                <w:sz w:val="22"/>
                <w:szCs w:val="22"/>
                <w:lang w:val="pt-PT"/>
              </w:rPr>
              <w:t>[Indutor do CYP450]</w:t>
            </w:r>
          </w:p>
        </w:tc>
        <w:tc>
          <w:tcPr>
            <w:tcW w:w="3330" w:type="dxa"/>
            <w:shd w:val="clear" w:color="auto" w:fill="auto"/>
          </w:tcPr>
          <w:p w14:paraId="1F72F8E2" w14:textId="5DB304C8" w:rsidR="00C83AE3" w:rsidRPr="00F96CAC" w:rsidRDefault="00C83AE3" w:rsidP="00C83AE3">
            <w:pPr>
              <w:pStyle w:val="TableText"/>
              <w:overflowPunct w:val="0"/>
              <w:autoSpaceDE w:val="0"/>
              <w:autoSpaceDN w:val="0"/>
              <w:adjustRightInd w:val="0"/>
              <w:textAlignment w:val="baseline"/>
              <w:rPr>
                <w:rFonts w:cs="Times New Roman"/>
                <w:sz w:val="22"/>
                <w:szCs w:val="22"/>
                <w:lang w:val="pt-PT"/>
              </w:rPr>
            </w:pPr>
            <w:r w:rsidRPr="00C83AE3">
              <w:rPr>
                <w:rFonts w:cs="Times New Roman"/>
                <w:sz w:val="22"/>
                <w:szCs w:val="22"/>
                <w:lang w:val="pt-PT"/>
              </w:rPr>
              <w:t>Foram notificadas</w:t>
            </w:r>
            <w:r>
              <w:rPr>
                <w:rFonts w:cs="Times New Roman"/>
                <w:sz w:val="22"/>
                <w:szCs w:val="22"/>
                <w:lang w:val="pt-PT"/>
              </w:rPr>
              <w:t xml:space="preserve"> </w:t>
            </w:r>
            <w:r w:rsidRPr="00C83AE3">
              <w:rPr>
                <w:rFonts w:cs="Times New Roman"/>
                <w:sz w:val="22"/>
                <w:szCs w:val="22"/>
                <w:lang w:val="pt-PT"/>
              </w:rPr>
              <w:t>concentrações plasmáticas de</w:t>
            </w:r>
            <w:r>
              <w:rPr>
                <w:rFonts w:cs="Times New Roman"/>
                <w:sz w:val="22"/>
                <w:szCs w:val="22"/>
                <w:lang w:val="pt-PT"/>
              </w:rPr>
              <w:t xml:space="preserve"> </w:t>
            </w:r>
            <w:r w:rsidRPr="00C83AE3">
              <w:rPr>
                <w:rFonts w:cs="Times New Roman"/>
                <w:sz w:val="22"/>
                <w:szCs w:val="22"/>
                <w:lang w:val="pt-PT"/>
              </w:rPr>
              <w:t>voriconazol significativamente</w:t>
            </w:r>
            <w:r>
              <w:rPr>
                <w:rFonts w:cs="Times New Roman"/>
                <w:sz w:val="22"/>
                <w:szCs w:val="22"/>
                <w:lang w:val="pt-PT"/>
              </w:rPr>
              <w:t xml:space="preserve"> </w:t>
            </w:r>
            <w:r w:rsidRPr="00C83AE3">
              <w:rPr>
                <w:rFonts w:cs="Times New Roman"/>
                <w:sz w:val="22"/>
                <w:szCs w:val="22"/>
                <w:lang w:val="pt-PT"/>
              </w:rPr>
              <w:t>reduzidas.</w:t>
            </w:r>
          </w:p>
        </w:tc>
        <w:tc>
          <w:tcPr>
            <w:tcW w:w="2790" w:type="dxa"/>
            <w:shd w:val="clear" w:color="auto" w:fill="auto"/>
          </w:tcPr>
          <w:p w14:paraId="4DC9F361" w14:textId="2767462C" w:rsidR="00C83AE3" w:rsidRPr="00C83AE3" w:rsidRDefault="00C83AE3" w:rsidP="00C83AE3">
            <w:pPr>
              <w:pStyle w:val="TableText"/>
              <w:overflowPunct w:val="0"/>
              <w:autoSpaceDE w:val="0"/>
              <w:autoSpaceDN w:val="0"/>
              <w:adjustRightInd w:val="0"/>
              <w:textAlignment w:val="baseline"/>
              <w:rPr>
                <w:rFonts w:cs="Times New Roman"/>
                <w:sz w:val="22"/>
                <w:szCs w:val="22"/>
                <w:lang w:val="pt-PT"/>
              </w:rPr>
            </w:pPr>
            <w:r w:rsidRPr="00C83AE3">
              <w:rPr>
                <w:rFonts w:cs="Times New Roman"/>
                <w:sz w:val="22"/>
                <w:szCs w:val="22"/>
                <w:lang w:val="pt-PT"/>
              </w:rPr>
              <w:t>Se a administração</w:t>
            </w:r>
            <w:r>
              <w:rPr>
                <w:rFonts w:cs="Times New Roman"/>
                <w:sz w:val="22"/>
                <w:szCs w:val="22"/>
                <w:lang w:val="pt-PT"/>
              </w:rPr>
              <w:t xml:space="preserve"> </w:t>
            </w:r>
            <w:r w:rsidRPr="00C83AE3">
              <w:rPr>
                <w:rFonts w:cs="Times New Roman"/>
                <w:sz w:val="22"/>
                <w:szCs w:val="22"/>
                <w:lang w:val="pt-PT"/>
              </w:rPr>
              <w:t>concomitante de voriconazol</w:t>
            </w:r>
            <w:r>
              <w:rPr>
                <w:rFonts w:cs="Times New Roman"/>
                <w:sz w:val="22"/>
                <w:szCs w:val="22"/>
                <w:lang w:val="pt-PT"/>
              </w:rPr>
              <w:t xml:space="preserve"> </w:t>
            </w:r>
            <w:r w:rsidRPr="00C83AE3">
              <w:rPr>
                <w:rFonts w:cs="Times New Roman"/>
                <w:sz w:val="22"/>
                <w:szCs w:val="22"/>
                <w:lang w:val="pt-PT"/>
              </w:rPr>
              <w:t>com flucloxacilina não puder</w:t>
            </w:r>
            <w:r>
              <w:rPr>
                <w:rFonts w:cs="Times New Roman"/>
                <w:sz w:val="22"/>
                <w:szCs w:val="22"/>
                <w:lang w:val="pt-PT"/>
              </w:rPr>
              <w:t xml:space="preserve"> </w:t>
            </w:r>
            <w:r w:rsidRPr="00C83AE3">
              <w:rPr>
                <w:rFonts w:cs="Times New Roman"/>
                <w:sz w:val="22"/>
                <w:szCs w:val="22"/>
                <w:lang w:val="pt-PT"/>
              </w:rPr>
              <w:t>ser evitada, monitorizar</w:t>
            </w:r>
            <w:r>
              <w:rPr>
                <w:rFonts w:cs="Times New Roman"/>
                <w:sz w:val="22"/>
                <w:szCs w:val="22"/>
                <w:lang w:val="pt-PT"/>
              </w:rPr>
              <w:t xml:space="preserve"> </w:t>
            </w:r>
            <w:r w:rsidRPr="00C83AE3">
              <w:rPr>
                <w:rFonts w:cs="Times New Roman"/>
                <w:sz w:val="22"/>
                <w:szCs w:val="22"/>
                <w:lang w:val="pt-PT"/>
              </w:rPr>
              <w:t>quanto à</w:t>
            </w:r>
            <w:r>
              <w:rPr>
                <w:rFonts w:cs="Times New Roman"/>
                <w:sz w:val="22"/>
                <w:szCs w:val="22"/>
                <w:lang w:val="pt-PT"/>
              </w:rPr>
              <w:t xml:space="preserve"> </w:t>
            </w:r>
            <w:r w:rsidRPr="00C83AE3">
              <w:rPr>
                <w:rFonts w:cs="Times New Roman"/>
                <w:sz w:val="22"/>
                <w:szCs w:val="22"/>
                <w:lang w:val="pt-PT"/>
              </w:rPr>
              <w:t>potencial perda de</w:t>
            </w:r>
            <w:r>
              <w:rPr>
                <w:rFonts w:cs="Times New Roman"/>
                <w:sz w:val="22"/>
                <w:szCs w:val="22"/>
                <w:lang w:val="pt-PT"/>
              </w:rPr>
              <w:t xml:space="preserve"> </w:t>
            </w:r>
            <w:r w:rsidRPr="00C83AE3">
              <w:rPr>
                <w:rFonts w:cs="Times New Roman"/>
                <w:sz w:val="22"/>
                <w:szCs w:val="22"/>
                <w:lang w:val="pt-PT"/>
              </w:rPr>
              <w:t>eficácia do voriconazol (p. ex.,</w:t>
            </w:r>
            <w:r>
              <w:rPr>
                <w:rFonts w:cs="Times New Roman"/>
                <w:sz w:val="22"/>
                <w:szCs w:val="22"/>
                <w:lang w:val="pt-PT"/>
              </w:rPr>
              <w:t xml:space="preserve"> </w:t>
            </w:r>
            <w:r w:rsidRPr="00C83AE3">
              <w:rPr>
                <w:rFonts w:cs="Times New Roman"/>
                <w:sz w:val="22"/>
                <w:szCs w:val="22"/>
                <w:lang w:val="pt-PT"/>
              </w:rPr>
              <w:t>através da monitorização</w:t>
            </w:r>
            <w:r>
              <w:rPr>
                <w:rFonts w:cs="Times New Roman"/>
                <w:sz w:val="22"/>
                <w:szCs w:val="22"/>
                <w:lang w:val="pt-PT"/>
              </w:rPr>
              <w:t xml:space="preserve"> </w:t>
            </w:r>
            <w:r w:rsidRPr="00C83AE3">
              <w:rPr>
                <w:rFonts w:cs="Times New Roman"/>
                <w:sz w:val="22"/>
                <w:szCs w:val="22"/>
                <w:lang w:val="pt-PT"/>
              </w:rPr>
              <w:t>terapêutica de fármacos);</w:t>
            </w:r>
            <w:r>
              <w:rPr>
                <w:rFonts w:cs="Times New Roman"/>
                <w:sz w:val="22"/>
                <w:szCs w:val="22"/>
                <w:lang w:val="pt-PT"/>
              </w:rPr>
              <w:t xml:space="preserve"> </w:t>
            </w:r>
            <w:r w:rsidRPr="00C83AE3">
              <w:rPr>
                <w:rFonts w:cs="Times New Roman"/>
                <w:sz w:val="22"/>
                <w:szCs w:val="22"/>
                <w:lang w:val="pt-PT"/>
              </w:rPr>
              <w:t>poderá ser necessário</w:t>
            </w:r>
            <w:r>
              <w:rPr>
                <w:rFonts w:cs="Times New Roman"/>
                <w:sz w:val="22"/>
                <w:szCs w:val="22"/>
                <w:lang w:val="pt-PT"/>
              </w:rPr>
              <w:t xml:space="preserve"> </w:t>
            </w:r>
            <w:r w:rsidRPr="00C83AE3">
              <w:rPr>
                <w:rFonts w:cs="Times New Roman"/>
                <w:sz w:val="22"/>
                <w:szCs w:val="22"/>
                <w:lang w:val="pt-PT"/>
              </w:rPr>
              <w:t>aumentar a dose de</w:t>
            </w:r>
          </w:p>
          <w:p w14:paraId="18C2C395" w14:textId="578A9C97" w:rsidR="00C83AE3" w:rsidRPr="00C83AE3" w:rsidRDefault="00C83AE3" w:rsidP="00C83AE3">
            <w:pPr>
              <w:pStyle w:val="TableText"/>
              <w:overflowPunct w:val="0"/>
              <w:autoSpaceDE w:val="0"/>
              <w:autoSpaceDN w:val="0"/>
              <w:adjustRightInd w:val="0"/>
              <w:textAlignment w:val="baseline"/>
              <w:rPr>
                <w:rFonts w:cs="Times New Roman"/>
                <w:sz w:val="22"/>
                <w:szCs w:val="22"/>
                <w:lang w:val="pt-PT"/>
              </w:rPr>
            </w:pPr>
            <w:r w:rsidRPr="00C83AE3">
              <w:rPr>
                <w:rFonts w:cs="Times New Roman"/>
                <w:sz w:val="22"/>
                <w:szCs w:val="22"/>
                <w:lang w:val="pt-PT"/>
              </w:rPr>
              <w:t>voriconazol.</w:t>
            </w:r>
          </w:p>
        </w:tc>
      </w:tr>
    </w:tbl>
    <w:p w14:paraId="10B8C116" w14:textId="77777777" w:rsidR="00011577" w:rsidRPr="002A54AF" w:rsidRDefault="00011577" w:rsidP="00011577">
      <w:pPr>
        <w:pStyle w:val="EndnoteText"/>
        <w:widowControl/>
        <w:suppressAutoHyphens/>
        <w:rPr>
          <w:szCs w:val="22"/>
        </w:rPr>
      </w:pPr>
    </w:p>
    <w:p w14:paraId="1AD411FB" w14:textId="77777777" w:rsidR="00011577" w:rsidRPr="002A54AF" w:rsidRDefault="00011577" w:rsidP="00011577">
      <w:pPr>
        <w:numPr>
          <w:ilvl w:val="1"/>
          <w:numId w:val="3"/>
        </w:numPr>
        <w:tabs>
          <w:tab w:val="clear" w:pos="570"/>
          <w:tab w:val="left" w:pos="567"/>
        </w:tabs>
        <w:suppressAutoHyphens/>
        <w:ind w:left="0" w:firstLine="0"/>
        <w:rPr>
          <w:b/>
          <w:szCs w:val="22"/>
          <w:lang w:val="pt-PT"/>
        </w:rPr>
      </w:pPr>
      <w:r w:rsidRPr="002A54AF">
        <w:rPr>
          <w:b/>
          <w:szCs w:val="22"/>
          <w:lang w:val="pt-PT"/>
        </w:rPr>
        <w:t>Fertilidade, gravidez e aleitamento</w:t>
      </w:r>
    </w:p>
    <w:p w14:paraId="54C28B5F" w14:textId="77777777" w:rsidR="00011577" w:rsidRPr="002A54AF" w:rsidRDefault="00011577" w:rsidP="00011577">
      <w:pPr>
        <w:pStyle w:val="Heading5"/>
        <w:keepNext w:val="0"/>
        <w:tabs>
          <w:tab w:val="left" w:pos="567"/>
        </w:tabs>
        <w:rPr>
          <w:szCs w:val="22"/>
        </w:rPr>
      </w:pPr>
    </w:p>
    <w:p w14:paraId="46699666" w14:textId="77777777" w:rsidR="00011577" w:rsidRDefault="00011577" w:rsidP="00011577">
      <w:pPr>
        <w:pStyle w:val="Heading5"/>
        <w:keepNext w:val="0"/>
        <w:tabs>
          <w:tab w:val="left" w:pos="567"/>
        </w:tabs>
        <w:rPr>
          <w:b w:val="0"/>
          <w:szCs w:val="22"/>
          <w:u w:val="single"/>
        </w:rPr>
      </w:pPr>
      <w:r w:rsidRPr="002A54AF">
        <w:rPr>
          <w:b w:val="0"/>
          <w:szCs w:val="22"/>
          <w:u w:val="single"/>
        </w:rPr>
        <w:t>Gravidez</w:t>
      </w:r>
    </w:p>
    <w:p w14:paraId="5BBBAD8E" w14:textId="77777777" w:rsidR="00155E2F" w:rsidRPr="00CB39F3" w:rsidRDefault="00155E2F" w:rsidP="00CB39F3">
      <w:pPr>
        <w:rPr>
          <w:lang w:val="pt-PT"/>
        </w:rPr>
      </w:pPr>
    </w:p>
    <w:p w14:paraId="49FE0D02" w14:textId="77777777" w:rsidR="00011577" w:rsidRPr="002A54AF" w:rsidRDefault="00011577" w:rsidP="00011577">
      <w:pPr>
        <w:tabs>
          <w:tab w:val="left" w:pos="567"/>
        </w:tabs>
        <w:suppressAutoHyphens/>
        <w:rPr>
          <w:szCs w:val="22"/>
          <w:lang w:val="pt-PT"/>
        </w:rPr>
      </w:pPr>
      <w:r w:rsidRPr="002A54AF">
        <w:rPr>
          <w:szCs w:val="22"/>
          <w:lang w:val="pt-PT"/>
        </w:rPr>
        <w:t xml:space="preserve">Não </w:t>
      </w:r>
      <w:r w:rsidR="00CA5BC4" w:rsidRPr="002A54AF">
        <w:rPr>
          <w:szCs w:val="22"/>
          <w:lang w:val="pt-PT"/>
        </w:rPr>
        <w:t xml:space="preserve">existem dados adequados </w:t>
      </w:r>
      <w:r w:rsidRPr="002A54AF">
        <w:rPr>
          <w:szCs w:val="22"/>
          <w:lang w:val="pt-PT"/>
        </w:rPr>
        <w:t>sobre a utilização de voriconazol na mulher grávida.</w:t>
      </w:r>
    </w:p>
    <w:p w14:paraId="3245D933" w14:textId="77777777" w:rsidR="00011577" w:rsidRPr="002A54AF" w:rsidRDefault="00011577" w:rsidP="00011577">
      <w:pPr>
        <w:tabs>
          <w:tab w:val="left" w:pos="567"/>
        </w:tabs>
        <w:suppressAutoHyphens/>
        <w:rPr>
          <w:szCs w:val="22"/>
          <w:lang w:val="pt-PT"/>
        </w:rPr>
      </w:pPr>
    </w:p>
    <w:p w14:paraId="3CAA3A57" w14:textId="77777777" w:rsidR="00011577" w:rsidRPr="002A54AF" w:rsidRDefault="00011577" w:rsidP="00011577">
      <w:pPr>
        <w:tabs>
          <w:tab w:val="left" w:pos="567"/>
        </w:tabs>
        <w:suppressAutoHyphens/>
        <w:rPr>
          <w:szCs w:val="22"/>
          <w:lang w:val="pt-PT"/>
        </w:rPr>
      </w:pPr>
      <w:r w:rsidRPr="002A54AF">
        <w:rPr>
          <w:szCs w:val="22"/>
          <w:lang w:val="pt-PT"/>
        </w:rPr>
        <w:t>Estudos em animais revelaram toxicidade reprodutiva (ver secção</w:t>
      </w:r>
      <w:r w:rsidR="0017325D" w:rsidRPr="002A54AF">
        <w:rPr>
          <w:szCs w:val="22"/>
          <w:lang w:val="pt-PT"/>
        </w:rPr>
        <w:t> </w:t>
      </w:r>
      <w:r w:rsidRPr="002A54AF">
        <w:rPr>
          <w:szCs w:val="22"/>
          <w:lang w:val="pt-PT"/>
        </w:rPr>
        <w:t>5.3). Desconhece-se o risco potencial para o ser humano.</w:t>
      </w:r>
    </w:p>
    <w:p w14:paraId="698CFA03" w14:textId="77777777" w:rsidR="00011577" w:rsidRPr="002A54AF" w:rsidRDefault="00011577" w:rsidP="00011577">
      <w:pPr>
        <w:tabs>
          <w:tab w:val="left" w:pos="567"/>
        </w:tabs>
        <w:suppressAutoHyphens/>
        <w:rPr>
          <w:szCs w:val="22"/>
          <w:lang w:val="pt-PT"/>
        </w:rPr>
      </w:pPr>
    </w:p>
    <w:p w14:paraId="60604032" w14:textId="77777777" w:rsidR="00E72BDD" w:rsidRPr="002A54AF" w:rsidRDefault="00011577" w:rsidP="00011577">
      <w:pPr>
        <w:tabs>
          <w:tab w:val="left" w:pos="567"/>
        </w:tabs>
        <w:suppressAutoHyphens/>
        <w:rPr>
          <w:szCs w:val="22"/>
          <w:lang w:val="pt-PT"/>
        </w:rPr>
      </w:pPr>
      <w:r w:rsidRPr="002A54AF">
        <w:rPr>
          <w:szCs w:val="22"/>
          <w:lang w:val="pt-PT"/>
        </w:rPr>
        <w:t xml:space="preserve">Voriconazol Accord não </w:t>
      </w:r>
      <w:r w:rsidR="003C075F">
        <w:rPr>
          <w:lang w:val="pt-PT"/>
        </w:rPr>
        <w:t>pode</w:t>
      </w:r>
      <w:r w:rsidRPr="002A54AF">
        <w:rPr>
          <w:szCs w:val="22"/>
          <w:lang w:val="pt-PT"/>
        </w:rPr>
        <w:t xml:space="preserve"> ser utilizado durante a gravidez, exceto quando o benefício para a mãe compense claramente o risco potencial para o feto.</w:t>
      </w:r>
    </w:p>
    <w:p w14:paraId="678BA8B6" w14:textId="77777777" w:rsidR="00E72BDD" w:rsidRPr="002A54AF" w:rsidRDefault="00E72BDD" w:rsidP="00011577">
      <w:pPr>
        <w:tabs>
          <w:tab w:val="left" w:pos="567"/>
        </w:tabs>
        <w:suppressAutoHyphens/>
        <w:rPr>
          <w:szCs w:val="22"/>
          <w:lang w:val="pt-PT"/>
        </w:rPr>
      </w:pPr>
    </w:p>
    <w:p w14:paraId="73D43331" w14:textId="77777777" w:rsidR="00011577" w:rsidRDefault="00011577" w:rsidP="00011577">
      <w:pPr>
        <w:pStyle w:val="Heading5"/>
        <w:keepNext w:val="0"/>
        <w:tabs>
          <w:tab w:val="left" w:pos="567"/>
        </w:tabs>
        <w:rPr>
          <w:b w:val="0"/>
          <w:szCs w:val="22"/>
          <w:u w:val="single"/>
        </w:rPr>
      </w:pPr>
      <w:r w:rsidRPr="002A54AF">
        <w:rPr>
          <w:b w:val="0"/>
          <w:szCs w:val="22"/>
          <w:u w:val="single"/>
        </w:rPr>
        <w:t>Mulheres com potencial para engravidar</w:t>
      </w:r>
    </w:p>
    <w:p w14:paraId="2EBCE047" w14:textId="77777777" w:rsidR="00155E2F" w:rsidRPr="00CB39F3" w:rsidRDefault="00155E2F" w:rsidP="00CB39F3">
      <w:pPr>
        <w:rPr>
          <w:lang w:val="pt-PT"/>
        </w:rPr>
      </w:pPr>
    </w:p>
    <w:p w14:paraId="1EF4D8D7" w14:textId="77777777" w:rsidR="00011577" w:rsidRPr="002A54AF" w:rsidRDefault="00011577" w:rsidP="00011577">
      <w:pPr>
        <w:pStyle w:val="BodyText2"/>
        <w:tabs>
          <w:tab w:val="left" w:pos="567"/>
        </w:tabs>
        <w:rPr>
          <w:szCs w:val="22"/>
        </w:rPr>
      </w:pPr>
      <w:r w:rsidRPr="002A54AF">
        <w:rPr>
          <w:szCs w:val="22"/>
        </w:rPr>
        <w:t>As mulheres com potencial para engravidar deverão utilizar sempre um método contracetivo eficaz durante o tratamento.</w:t>
      </w:r>
    </w:p>
    <w:p w14:paraId="322F69CD" w14:textId="77777777" w:rsidR="00072FC0" w:rsidRPr="002A54AF" w:rsidRDefault="00072FC0" w:rsidP="00072FC0">
      <w:pPr>
        <w:rPr>
          <w:szCs w:val="22"/>
          <w:lang w:val="pt-PT"/>
        </w:rPr>
      </w:pPr>
    </w:p>
    <w:p w14:paraId="5FFAB211" w14:textId="77777777" w:rsidR="00011577" w:rsidRDefault="00011577" w:rsidP="00011577">
      <w:pPr>
        <w:pStyle w:val="Heading5"/>
        <w:keepNext w:val="0"/>
        <w:tabs>
          <w:tab w:val="left" w:pos="567"/>
        </w:tabs>
        <w:rPr>
          <w:b w:val="0"/>
          <w:szCs w:val="22"/>
          <w:u w:val="single"/>
        </w:rPr>
      </w:pPr>
      <w:r w:rsidRPr="002A54AF">
        <w:rPr>
          <w:b w:val="0"/>
          <w:szCs w:val="22"/>
          <w:u w:val="single"/>
        </w:rPr>
        <w:t>Amamentação</w:t>
      </w:r>
    </w:p>
    <w:p w14:paraId="2F8E12CA" w14:textId="77777777" w:rsidR="00155E2F" w:rsidRPr="00CB39F3" w:rsidRDefault="00155E2F" w:rsidP="00CB39F3">
      <w:pPr>
        <w:rPr>
          <w:lang w:val="pt-PT"/>
        </w:rPr>
      </w:pPr>
    </w:p>
    <w:p w14:paraId="78739656" w14:textId="77777777" w:rsidR="00011577" w:rsidRPr="002A54AF" w:rsidRDefault="00011577" w:rsidP="00011577">
      <w:pPr>
        <w:tabs>
          <w:tab w:val="left" w:pos="567"/>
        </w:tabs>
        <w:suppressAutoHyphens/>
        <w:rPr>
          <w:szCs w:val="22"/>
          <w:lang w:val="pt-PT"/>
        </w:rPr>
      </w:pPr>
      <w:r w:rsidRPr="002A54AF">
        <w:rPr>
          <w:szCs w:val="22"/>
          <w:lang w:val="pt-PT"/>
        </w:rPr>
        <w:t>A excreção do voriconazol no leite materno não foi investigada. Deverá interromper-se a amamentação aquando da iniciação do tratamento com Voriconazol Accord.</w:t>
      </w:r>
    </w:p>
    <w:p w14:paraId="055B61F9" w14:textId="77777777" w:rsidR="00011577" w:rsidRPr="002A54AF" w:rsidRDefault="00011577" w:rsidP="00011577">
      <w:pPr>
        <w:tabs>
          <w:tab w:val="left" w:pos="567"/>
        </w:tabs>
        <w:suppressAutoHyphens/>
        <w:rPr>
          <w:szCs w:val="22"/>
          <w:lang w:val="pt-PT"/>
        </w:rPr>
      </w:pPr>
    </w:p>
    <w:p w14:paraId="1DCA4355" w14:textId="77777777" w:rsidR="00011577" w:rsidRDefault="00011577" w:rsidP="00011577">
      <w:pPr>
        <w:tabs>
          <w:tab w:val="left" w:pos="567"/>
        </w:tabs>
        <w:suppressAutoHyphens/>
        <w:rPr>
          <w:szCs w:val="22"/>
          <w:u w:val="single"/>
          <w:lang w:val="pt-PT"/>
        </w:rPr>
      </w:pPr>
      <w:r w:rsidRPr="002A54AF">
        <w:rPr>
          <w:szCs w:val="22"/>
          <w:u w:val="single"/>
          <w:lang w:val="pt-PT"/>
        </w:rPr>
        <w:t>Fertilidade</w:t>
      </w:r>
    </w:p>
    <w:p w14:paraId="7385DE5B" w14:textId="77777777" w:rsidR="00155E2F" w:rsidRPr="002A54AF" w:rsidRDefault="00155E2F" w:rsidP="00011577">
      <w:pPr>
        <w:tabs>
          <w:tab w:val="left" w:pos="567"/>
        </w:tabs>
        <w:suppressAutoHyphens/>
        <w:rPr>
          <w:szCs w:val="22"/>
          <w:u w:val="single"/>
          <w:lang w:val="pt-PT"/>
        </w:rPr>
      </w:pPr>
    </w:p>
    <w:p w14:paraId="71B03806" w14:textId="77777777" w:rsidR="00011577" w:rsidRPr="002A54AF" w:rsidRDefault="00011577" w:rsidP="00011577">
      <w:pPr>
        <w:tabs>
          <w:tab w:val="left" w:pos="567"/>
        </w:tabs>
        <w:suppressAutoHyphens/>
        <w:rPr>
          <w:szCs w:val="22"/>
          <w:lang w:val="pt-PT"/>
        </w:rPr>
      </w:pPr>
      <w:r w:rsidRPr="002A54AF">
        <w:rPr>
          <w:szCs w:val="22"/>
          <w:lang w:val="pt-PT"/>
        </w:rPr>
        <w:t>Num estudo em animais, não foi demonstrada redução na fertilidade em ratos macho e fêmea (ver secção</w:t>
      </w:r>
      <w:r w:rsidR="0017325D" w:rsidRPr="002A54AF">
        <w:rPr>
          <w:szCs w:val="22"/>
          <w:lang w:val="pt-PT"/>
        </w:rPr>
        <w:t> </w:t>
      </w:r>
      <w:r w:rsidRPr="002A54AF">
        <w:rPr>
          <w:szCs w:val="22"/>
          <w:lang w:val="pt-PT"/>
        </w:rPr>
        <w:t>5.3).</w:t>
      </w:r>
    </w:p>
    <w:p w14:paraId="10623ED6" w14:textId="77777777" w:rsidR="00011577" w:rsidRPr="002A54AF" w:rsidRDefault="00011577" w:rsidP="00011577">
      <w:pPr>
        <w:tabs>
          <w:tab w:val="left" w:pos="567"/>
        </w:tabs>
        <w:suppressAutoHyphens/>
        <w:rPr>
          <w:szCs w:val="22"/>
          <w:lang w:val="pt-PT"/>
        </w:rPr>
      </w:pPr>
    </w:p>
    <w:p w14:paraId="24114693" w14:textId="77777777" w:rsidR="00011577" w:rsidRPr="002A54AF" w:rsidRDefault="00011577" w:rsidP="00011577">
      <w:pPr>
        <w:keepNext/>
        <w:numPr>
          <w:ilvl w:val="1"/>
          <w:numId w:val="3"/>
        </w:numPr>
        <w:tabs>
          <w:tab w:val="clear" w:pos="570"/>
          <w:tab w:val="left" w:pos="567"/>
        </w:tabs>
        <w:suppressAutoHyphens/>
        <w:ind w:left="0" w:firstLine="0"/>
        <w:rPr>
          <w:b/>
          <w:szCs w:val="22"/>
          <w:lang w:val="pt-PT"/>
        </w:rPr>
      </w:pPr>
      <w:r w:rsidRPr="002A54AF">
        <w:rPr>
          <w:b/>
          <w:szCs w:val="22"/>
          <w:lang w:val="pt-PT"/>
        </w:rPr>
        <w:lastRenderedPageBreak/>
        <w:t>Efeitos sobre a capacidade de conduzir e utilizar máquinas</w:t>
      </w:r>
    </w:p>
    <w:p w14:paraId="45CD3D09" w14:textId="77777777" w:rsidR="00011577" w:rsidRPr="002A54AF" w:rsidRDefault="00011577" w:rsidP="00011577">
      <w:pPr>
        <w:pStyle w:val="EndnoteText"/>
        <w:keepNext/>
        <w:widowControl/>
        <w:suppressAutoHyphens/>
        <w:rPr>
          <w:bCs/>
          <w:szCs w:val="22"/>
        </w:rPr>
      </w:pPr>
    </w:p>
    <w:p w14:paraId="6DAB4E9E" w14:textId="77777777" w:rsidR="00011577" w:rsidRPr="002A54AF" w:rsidRDefault="00011577" w:rsidP="00011577">
      <w:pPr>
        <w:pStyle w:val="BodyText2"/>
        <w:keepNext/>
        <w:tabs>
          <w:tab w:val="left" w:pos="567"/>
        </w:tabs>
        <w:rPr>
          <w:szCs w:val="22"/>
        </w:rPr>
      </w:pPr>
      <w:r w:rsidRPr="002A54AF">
        <w:rPr>
          <w:szCs w:val="22"/>
        </w:rPr>
        <w:t>Voriconazol Accord tem uma influência moderada na capacidade de conduzir e utilizar máquinas. Pode causar alterações transitórias e reversíveis na visão, incluindo visão turva, perceção visual alterada/aumentada e/ou fotofobia. Os doentes devem evitar tarefas potencialmente perigosas como conduzir ou utilizar maquinaria enquanto estes sintomas se manifestarem.</w:t>
      </w:r>
    </w:p>
    <w:p w14:paraId="5FF4071F" w14:textId="77777777" w:rsidR="00011577" w:rsidRPr="002A54AF" w:rsidRDefault="00011577" w:rsidP="00011577">
      <w:pPr>
        <w:tabs>
          <w:tab w:val="left" w:pos="567"/>
        </w:tabs>
        <w:suppressAutoHyphens/>
        <w:rPr>
          <w:szCs w:val="22"/>
          <w:lang w:val="pt-PT"/>
        </w:rPr>
      </w:pPr>
    </w:p>
    <w:p w14:paraId="2FC216B1" w14:textId="77777777" w:rsidR="00011577" w:rsidRPr="002A54AF" w:rsidRDefault="00011577" w:rsidP="00011577">
      <w:pPr>
        <w:numPr>
          <w:ilvl w:val="1"/>
          <w:numId w:val="3"/>
        </w:numPr>
        <w:tabs>
          <w:tab w:val="clear" w:pos="570"/>
          <w:tab w:val="left" w:pos="567"/>
        </w:tabs>
        <w:suppressAutoHyphens/>
        <w:ind w:left="0" w:firstLine="0"/>
        <w:rPr>
          <w:b/>
          <w:szCs w:val="22"/>
          <w:lang w:val="pt-PT"/>
        </w:rPr>
      </w:pPr>
      <w:r w:rsidRPr="002A54AF">
        <w:rPr>
          <w:b/>
          <w:szCs w:val="22"/>
          <w:lang w:val="pt-PT"/>
        </w:rPr>
        <w:t>Efeitos indesejáveis</w:t>
      </w:r>
    </w:p>
    <w:p w14:paraId="43ED4364" w14:textId="77777777" w:rsidR="00011577" w:rsidRPr="002A54AF" w:rsidRDefault="00011577" w:rsidP="00011577">
      <w:pPr>
        <w:tabs>
          <w:tab w:val="left" w:pos="567"/>
        </w:tabs>
        <w:suppressAutoHyphens/>
        <w:rPr>
          <w:szCs w:val="22"/>
          <w:lang w:val="pt-PT"/>
        </w:rPr>
      </w:pPr>
    </w:p>
    <w:p w14:paraId="003F2AEC" w14:textId="77777777" w:rsidR="00011577" w:rsidRDefault="00011577" w:rsidP="00011577">
      <w:pPr>
        <w:tabs>
          <w:tab w:val="left" w:pos="567"/>
        </w:tabs>
        <w:rPr>
          <w:szCs w:val="22"/>
          <w:u w:val="single"/>
          <w:lang w:val="pt-PT"/>
        </w:rPr>
      </w:pPr>
      <w:r w:rsidRPr="002A54AF">
        <w:rPr>
          <w:szCs w:val="22"/>
          <w:u w:val="single"/>
          <w:lang w:val="pt-PT"/>
        </w:rPr>
        <w:t>Resumo do perfil de segurança</w:t>
      </w:r>
    </w:p>
    <w:p w14:paraId="125E602D" w14:textId="77777777" w:rsidR="00155E2F" w:rsidRPr="002A54AF" w:rsidRDefault="00155E2F" w:rsidP="00011577">
      <w:pPr>
        <w:tabs>
          <w:tab w:val="left" w:pos="567"/>
        </w:tabs>
        <w:rPr>
          <w:szCs w:val="22"/>
          <w:u w:val="single"/>
          <w:lang w:val="pt-PT"/>
        </w:rPr>
      </w:pPr>
    </w:p>
    <w:p w14:paraId="499C59EB" w14:textId="77777777" w:rsidR="00011577" w:rsidRPr="002A54AF" w:rsidRDefault="00011577" w:rsidP="00011577">
      <w:pPr>
        <w:tabs>
          <w:tab w:val="left" w:pos="567"/>
        </w:tabs>
        <w:rPr>
          <w:szCs w:val="22"/>
          <w:lang w:val="pt-PT"/>
        </w:rPr>
      </w:pPr>
      <w:r w:rsidRPr="002A54AF">
        <w:rPr>
          <w:szCs w:val="22"/>
          <w:lang w:val="pt-PT"/>
        </w:rPr>
        <w:t xml:space="preserve">O perfil de segurança do voriconazol </w:t>
      </w:r>
      <w:r w:rsidR="00F246AF" w:rsidRPr="002A54AF">
        <w:rPr>
          <w:szCs w:val="22"/>
          <w:lang w:val="pt-PT"/>
        </w:rPr>
        <w:t xml:space="preserve">em adultos </w:t>
      </w:r>
      <w:r w:rsidRPr="002A54AF">
        <w:rPr>
          <w:szCs w:val="22"/>
          <w:lang w:val="pt-PT"/>
        </w:rPr>
        <w:t>é suportado por uma base integrada de dados de segurança de mais de 2000 indivíduos (</w:t>
      </w:r>
      <w:r w:rsidR="00CA5BC4" w:rsidRPr="002A54AF">
        <w:rPr>
          <w:szCs w:val="22"/>
          <w:lang w:val="pt-PT"/>
        </w:rPr>
        <w:t xml:space="preserve">incluindo </w:t>
      </w:r>
      <w:r w:rsidRPr="002A54AF">
        <w:rPr>
          <w:szCs w:val="22"/>
          <w:lang w:val="pt-PT"/>
        </w:rPr>
        <w:t>16</w:t>
      </w:r>
      <w:r w:rsidR="00F246AF" w:rsidRPr="002A54AF">
        <w:rPr>
          <w:szCs w:val="22"/>
          <w:lang w:val="pt-PT"/>
        </w:rPr>
        <w:t>03</w:t>
      </w:r>
      <w:r w:rsidRPr="002A54AF">
        <w:rPr>
          <w:szCs w:val="22"/>
          <w:lang w:val="pt-PT"/>
        </w:rPr>
        <w:t> doentes em ensaios terapêuticos</w:t>
      </w:r>
      <w:r w:rsidR="00F246AF" w:rsidRPr="002A54AF">
        <w:rPr>
          <w:szCs w:val="22"/>
          <w:lang w:val="pt-PT"/>
        </w:rPr>
        <w:t>)</w:t>
      </w:r>
      <w:r w:rsidR="00CA5BC4" w:rsidRPr="002A54AF">
        <w:rPr>
          <w:szCs w:val="22"/>
          <w:lang w:val="pt-PT"/>
        </w:rPr>
        <w:t xml:space="preserve"> e 27</w:t>
      </w:r>
      <w:r w:rsidR="00F246AF" w:rsidRPr="002A54AF">
        <w:rPr>
          <w:szCs w:val="22"/>
          <w:lang w:val="pt-PT"/>
        </w:rPr>
        <w:t>0 adultos adicionais</w:t>
      </w:r>
      <w:r w:rsidR="00CA5BC4" w:rsidRPr="002A54AF">
        <w:rPr>
          <w:szCs w:val="22"/>
          <w:lang w:val="pt-PT"/>
        </w:rPr>
        <w:t xml:space="preserve"> em ensaios profiláticos</w:t>
      </w:r>
      <w:r w:rsidRPr="002A54AF">
        <w:rPr>
          <w:szCs w:val="22"/>
          <w:lang w:val="pt-PT"/>
        </w:rPr>
        <w:t xml:space="preserve">. Esta representa uma população heterogénea, contendo indivíduos com doença hematológica maligna, doentes infetados com VIH com candidíase esofágica e infeções fúngicas refractárias, doentes não-neutropénicos com candidemia ou aspergilose e voluntários saudáveis. </w:t>
      </w:r>
    </w:p>
    <w:p w14:paraId="0E325DBA" w14:textId="77777777" w:rsidR="00011577" w:rsidRPr="002A54AF" w:rsidRDefault="00011577" w:rsidP="00011577">
      <w:pPr>
        <w:tabs>
          <w:tab w:val="left" w:pos="567"/>
        </w:tabs>
        <w:rPr>
          <w:szCs w:val="22"/>
          <w:lang w:val="pt-PT"/>
        </w:rPr>
      </w:pPr>
    </w:p>
    <w:p w14:paraId="3D426DF4" w14:textId="77777777" w:rsidR="00011577" w:rsidRPr="002A54AF" w:rsidRDefault="00011577" w:rsidP="00011577">
      <w:pPr>
        <w:tabs>
          <w:tab w:val="left" w:pos="567"/>
        </w:tabs>
        <w:rPr>
          <w:szCs w:val="22"/>
          <w:lang w:val="pt-PT"/>
        </w:rPr>
      </w:pPr>
      <w:r w:rsidRPr="002A54AF">
        <w:rPr>
          <w:szCs w:val="22"/>
          <w:lang w:val="pt-PT"/>
        </w:rPr>
        <w:t xml:space="preserve">As reações adversas mais frequentemente notificadas incluiram </w:t>
      </w:r>
      <w:r w:rsidR="00F246AF" w:rsidRPr="002A54AF">
        <w:rPr>
          <w:szCs w:val="22"/>
          <w:lang w:val="pt-PT"/>
        </w:rPr>
        <w:t>compromisso visual</w:t>
      </w:r>
      <w:r w:rsidRPr="002A54AF">
        <w:rPr>
          <w:szCs w:val="22"/>
          <w:lang w:val="pt-PT"/>
        </w:rPr>
        <w:t>, pirexia, erupção cutânea, vómitos, náuseas, diarreia, cefaleias, edema periférico</w:t>
      </w:r>
      <w:r w:rsidR="00CA5BC4" w:rsidRPr="002A54AF">
        <w:rPr>
          <w:szCs w:val="22"/>
          <w:lang w:val="pt-PT"/>
        </w:rPr>
        <w:t>, parâmetros da função hepática anómalos, dificuldade respiratória</w:t>
      </w:r>
      <w:r w:rsidRPr="002A54AF">
        <w:rPr>
          <w:szCs w:val="22"/>
          <w:lang w:val="pt-PT"/>
        </w:rPr>
        <w:t xml:space="preserve"> e dor abdominal. </w:t>
      </w:r>
    </w:p>
    <w:p w14:paraId="38810B20" w14:textId="77777777" w:rsidR="00011577" w:rsidRPr="002A54AF" w:rsidRDefault="00011577" w:rsidP="00011577">
      <w:pPr>
        <w:tabs>
          <w:tab w:val="left" w:pos="567"/>
        </w:tabs>
        <w:rPr>
          <w:szCs w:val="22"/>
          <w:lang w:val="pt-PT"/>
        </w:rPr>
      </w:pPr>
    </w:p>
    <w:p w14:paraId="49948A2A" w14:textId="77777777" w:rsidR="00011577" w:rsidRPr="002A54AF" w:rsidRDefault="00011577" w:rsidP="00011577">
      <w:pPr>
        <w:tabs>
          <w:tab w:val="left" w:pos="567"/>
        </w:tabs>
        <w:rPr>
          <w:szCs w:val="22"/>
          <w:lang w:val="pt-PT"/>
        </w:rPr>
      </w:pPr>
      <w:r w:rsidRPr="002A54AF">
        <w:rPr>
          <w:szCs w:val="22"/>
          <w:lang w:val="pt-PT"/>
        </w:rPr>
        <w:t>Em geral, as reações adversas apresentaram uma gravidade ligeira a moderada. Não foram observadas diferenças clinicamente significativas quando os dados de segurança foram analisados por idade, raça ou sexo.</w:t>
      </w:r>
    </w:p>
    <w:p w14:paraId="6285484B" w14:textId="77777777" w:rsidR="00011577" w:rsidRPr="002A54AF" w:rsidRDefault="00011577" w:rsidP="00011577">
      <w:pPr>
        <w:tabs>
          <w:tab w:val="left" w:pos="567"/>
        </w:tabs>
        <w:rPr>
          <w:szCs w:val="22"/>
          <w:lang w:val="pt-PT"/>
        </w:rPr>
      </w:pPr>
    </w:p>
    <w:p w14:paraId="2E3359B0" w14:textId="77777777" w:rsidR="00011577" w:rsidRDefault="00011577" w:rsidP="00011577">
      <w:pPr>
        <w:tabs>
          <w:tab w:val="left" w:pos="567"/>
        </w:tabs>
        <w:rPr>
          <w:szCs w:val="22"/>
          <w:u w:val="single"/>
          <w:lang w:val="pt-PT"/>
        </w:rPr>
      </w:pPr>
      <w:r w:rsidRPr="002A54AF">
        <w:rPr>
          <w:szCs w:val="22"/>
          <w:u w:val="single"/>
          <w:lang w:val="pt-PT"/>
        </w:rPr>
        <w:t>Lista tabelar de reações adversas</w:t>
      </w:r>
    </w:p>
    <w:p w14:paraId="030472C2" w14:textId="77777777" w:rsidR="00155E2F" w:rsidRPr="002A54AF" w:rsidRDefault="00155E2F" w:rsidP="00011577">
      <w:pPr>
        <w:tabs>
          <w:tab w:val="left" w:pos="567"/>
        </w:tabs>
        <w:rPr>
          <w:szCs w:val="22"/>
          <w:u w:val="single"/>
          <w:lang w:val="pt-PT"/>
        </w:rPr>
      </w:pPr>
    </w:p>
    <w:p w14:paraId="5CB32A55" w14:textId="77777777" w:rsidR="00011577" w:rsidRDefault="00011577" w:rsidP="00011577">
      <w:pPr>
        <w:tabs>
          <w:tab w:val="left" w:pos="567"/>
        </w:tabs>
        <w:rPr>
          <w:szCs w:val="22"/>
          <w:lang w:val="pt-PT"/>
        </w:rPr>
      </w:pPr>
      <w:r w:rsidRPr="002A54AF">
        <w:rPr>
          <w:szCs w:val="22"/>
          <w:lang w:val="pt-PT"/>
        </w:rPr>
        <w:t>Atendendo a que a maioria dos estudos não apresentavam ocultação, todas as reações adversas com uma possível relação causal com o fármaco em estudo</w:t>
      </w:r>
      <w:r w:rsidR="00F246AF" w:rsidRPr="002A54AF">
        <w:rPr>
          <w:szCs w:val="22"/>
          <w:lang w:val="pt-PT"/>
        </w:rPr>
        <w:t xml:space="preserve"> e as suas categorias de frequênc</w:t>
      </w:r>
      <w:r w:rsidR="00313D53" w:rsidRPr="002A54AF">
        <w:rPr>
          <w:szCs w:val="22"/>
          <w:lang w:val="pt-PT"/>
        </w:rPr>
        <w:t>ia</w:t>
      </w:r>
      <w:r w:rsidR="00F246AF" w:rsidRPr="002A54AF">
        <w:rPr>
          <w:szCs w:val="22"/>
          <w:lang w:val="pt-PT"/>
        </w:rPr>
        <w:t xml:space="preserve"> em 1.873 adultos</w:t>
      </w:r>
      <w:r w:rsidR="00313D53" w:rsidRPr="002A54AF">
        <w:rPr>
          <w:szCs w:val="22"/>
          <w:lang w:val="pt-PT"/>
        </w:rPr>
        <w:t>,</w:t>
      </w:r>
      <w:r w:rsidR="00F246AF" w:rsidRPr="002A54AF">
        <w:rPr>
          <w:szCs w:val="22"/>
          <w:lang w:val="pt-PT"/>
        </w:rPr>
        <w:t xml:space="preserve"> de estudos terapêuticos (1,603) e profiláticos (270) agrupados</w:t>
      </w:r>
      <w:r w:rsidRPr="002A54AF">
        <w:rPr>
          <w:szCs w:val="22"/>
          <w:lang w:val="pt-PT"/>
        </w:rPr>
        <w:t xml:space="preserve">, estão listadas, por classe de sistemas de órgãos, na tabela abaixo. </w:t>
      </w:r>
    </w:p>
    <w:p w14:paraId="606BDF03" w14:textId="77777777" w:rsidR="009561EC" w:rsidRPr="002A54AF" w:rsidRDefault="009561EC" w:rsidP="00011577">
      <w:pPr>
        <w:tabs>
          <w:tab w:val="left" w:pos="567"/>
        </w:tabs>
        <w:rPr>
          <w:szCs w:val="22"/>
          <w:lang w:val="pt-PT"/>
        </w:rPr>
      </w:pPr>
    </w:p>
    <w:p w14:paraId="255768A8" w14:textId="77777777" w:rsidR="00011577" w:rsidRPr="002A54AF" w:rsidRDefault="00011577" w:rsidP="00011577">
      <w:pPr>
        <w:tabs>
          <w:tab w:val="left" w:pos="567"/>
        </w:tabs>
        <w:rPr>
          <w:szCs w:val="22"/>
          <w:lang w:val="pt-PT"/>
        </w:rPr>
      </w:pPr>
      <w:r w:rsidRPr="002A54AF">
        <w:rPr>
          <w:szCs w:val="22"/>
          <w:lang w:val="pt-PT"/>
        </w:rPr>
        <w:t>As categorias de frequência são expressas como: Muito frequentes ( ≥1/10); Frequentes ( ≥ 1/100 e &lt;1/10); Pouco frequentes ( ≥1/1000 e &lt;1/100); Raros ( ≥1/10000 e &lt; 1/1000); Muito raros &lt;1/10000); Desconhecido (não pode ser calculado a partir dos dados disponíveis).</w:t>
      </w:r>
    </w:p>
    <w:p w14:paraId="2556C475" w14:textId="77777777" w:rsidR="00011577" w:rsidRPr="002A54AF" w:rsidRDefault="00011577" w:rsidP="00011577">
      <w:pPr>
        <w:tabs>
          <w:tab w:val="left" w:pos="567"/>
        </w:tabs>
        <w:rPr>
          <w:szCs w:val="22"/>
          <w:lang w:val="pt-PT"/>
        </w:rPr>
      </w:pPr>
    </w:p>
    <w:p w14:paraId="0CBB84AA" w14:textId="77777777" w:rsidR="00011577" w:rsidRPr="002A54AF" w:rsidRDefault="00011577" w:rsidP="00011577">
      <w:pPr>
        <w:tabs>
          <w:tab w:val="left" w:pos="567"/>
        </w:tabs>
        <w:rPr>
          <w:szCs w:val="22"/>
          <w:lang w:val="pt-PT"/>
        </w:rPr>
      </w:pPr>
      <w:r w:rsidRPr="002A54AF">
        <w:rPr>
          <w:szCs w:val="22"/>
          <w:lang w:val="pt-PT"/>
        </w:rPr>
        <w:t xml:space="preserve">Os efeitos indesejáveis são apresentados por ordem decrescente de gravidade dentro de cada classe de frequência. </w:t>
      </w:r>
    </w:p>
    <w:p w14:paraId="10DD1E2A" w14:textId="77777777" w:rsidR="00011577" w:rsidRPr="002A54AF" w:rsidRDefault="00011577" w:rsidP="00011577">
      <w:pPr>
        <w:pStyle w:val="Heading1"/>
        <w:spacing w:before="0" w:after="0" w:line="240" w:lineRule="auto"/>
        <w:rPr>
          <w:rFonts w:ascii="Times New Roman" w:hAnsi="Times New Roman"/>
          <w:b w:val="0"/>
          <w:sz w:val="22"/>
          <w:szCs w:val="22"/>
        </w:rPr>
      </w:pPr>
      <w:r w:rsidRPr="002A54AF">
        <w:rPr>
          <w:rFonts w:ascii="Times New Roman" w:hAnsi="Times New Roman"/>
          <w:b w:val="0"/>
          <w:sz w:val="22"/>
          <w:szCs w:val="22"/>
        </w:rPr>
        <w:t>Efeitos indesejáveis notificados em indivíduos que receberam voriconazol:</w:t>
      </w: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562"/>
        <w:gridCol w:w="1908"/>
        <w:gridCol w:w="1860"/>
        <w:gridCol w:w="1418"/>
        <w:gridCol w:w="1492"/>
      </w:tblGrid>
      <w:tr w:rsidR="00F246AF" w:rsidRPr="00376167" w14:paraId="1C04DC0E" w14:textId="77777777" w:rsidTr="00DF1C0F">
        <w:trPr>
          <w:trHeight w:val="1000"/>
          <w:tblHeader/>
        </w:trPr>
        <w:tc>
          <w:tcPr>
            <w:tcW w:w="1474" w:type="dxa"/>
          </w:tcPr>
          <w:p w14:paraId="0DDAF1C6" w14:textId="77777777" w:rsidR="00F246AF" w:rsidRPr="002A54AF" w:rsidRDefault="00660A02" w:rsidP="00F246AF">
            <w:pPr>
              <w:keepNext/>
              <w:keepLines/>
              <w:jc w:val="center"/>
              <w:rPr>
                <w:b/>
                <w:szCs w:val="22"/>
                <w:lang w:val="pt-PT"/>
              </w:rPr>
            </w:pPr>
            <w:r w:rsidRPr="002A54AF">
              <w:rPr>
                <w:b/>
                <w:szCs w:val="22"/>
                <w:lang w:val="pt-PT"/>
              </w:rPr>
              <w:t>Classe</w:t>
            </w:r>
            <w:r w:rsidR="00131DF4" w:rsidRPr="002A54AF">
              <w:rPr>
                <w:b/>
                <w:szCs w:val="22"/>
                <w:lang w:val="pt-PT"/>
              </w:rPr>
              <w:t>s</w:t>
            </w:r>
            <w:r w:rsidRPr="002A54AF">
              <w:rPr>
                <w:b/>
                <w:szCs w:val="22"/>
                <w:lang w:val="pt-PT"/>
              </w:rPr>
              <w:t xml:space="preserve"> de sistemas de órgãos</w:t>
            </w:r>
          </w:p>
        </w:tc>
        <w:tc>
          <w:tcPr>
            <w:tcW w:w="1562" w:type="dxa"/>
          </w:tcPr>
          <w:p w14:paraId="2379FB78" w14:textId="77777777" w:rsidR="00F246AF" w:rsidRPr="002A54AF" w:rsidRDefault="00F246AF" w:rsidP="00AB600C">
            <w:pPr>
              <w:jc w:val="center"/>
              <w:rPr>
                <w:b/>
                <w:szCs w:val="22"/>
              </w:rPr>
            </w:pPr>
            <w:r w:rsidRPr="002A54AF">
              <w:rPr>
                <w:b/>
                <w:szCs w:val="22"/>
              </w:rPr>
              <w:t>Muito frequentes</w:t>
            </w:r>
          </w:p>
          <w:p w14:paraId="19B0E976" w14:textId="77777777" w:rsidR="00F246AF" w:rsidRPr="002A54AF" w:rsidRDefault="00D40E2F" w:rsidP="00AB600C">
            <w:pPr>
              <w:jc w:val="center"/>
              <w:rPr>
                <w:b/>
                <w:szCs w:val="22"/>
              </w:rPr>
            </w:pPr>
            <w:r w:rsidRPr="002A54AF">
              <w:rPr>
                <w:b/>
                <w:szCs w:val="22"/>
              </w:rPr>
              <w:t>≥ </w:t>
            </w:r>
            <w:r w:rsidR="00F246AF" w:rsidRPr="002A54AF">
              <w:rPr>
                <w:b/>
                <w:szCs w:val="22"/>
              </w:rPr>
              <w:t>1/10</w:t>
            </w:r>
          </w:p>
          <w:p w14:paraId="32F9168E" w14:textId="77777777" w:rsidR="00F246AF" w:rsidRPr="002A54AF" w:rsidRDefault="00F246AF" w:rsidP="00AB600C">
            <w:pPr>
              <w:jc w:val="center"/>
              <w:rPr>
                <w:szCs w:val="22"/>
              </w:rPr>
            </w:pPr>
          </w:p>
        </w:tc>
        <w:tc>
          <w:tcPr>
            <w:tcW w:w="1908" w:type="dxa"/>
          </w:tcPr>
          <w:p w14:paraId="18E31264" w14:textId="77777777" w:rsidR="00F246AF" w:rsidRPr="002A54AF" w:rsidRDefault="00F246AF" w:rsidP="00AB600C">
            <w:pPr>
              <w:jc w:val="center"/>
              <w:rPr>
                <w:b/>
                <w:szCs w:val="22"/>
              </w:rPr>
            </w:pPr>
            <w:r w:rsidRPr="002A54AF">
              <w:rPr>
                <w:b/>
                <w:szCs w:val="22"/>
              </w:rPr>
              <w:t>Frequentes</w:t>
            </w:r>
          </w:p>
          <w:p w14:paraId="5A4540C5" w14:textId="77777777" w:rsidR="00F246AF" w:rsidRPr="002A54AF" w:rsidRDefault="00D40E2F" w:rsidP="00AB600C">
            <w:pPr>
              <w:jc w:val="center"/>
              <w:rPr>
                <w:b/>
                <w:szCs w:val="22"/>
              </w:rPr>
            </w:pPr>
            <w:r w:rsidRPr="002A54AF">
              <w:rPr>
                <w:b/>
                <w:szCs w:val="22"/>
              </w:rPr>
              <w:t>≥ </w:t>
            </w:r>
            <w:r w:rsidR="00F246AF" w:rsidRPr="002A54AF">
              <w:rPr>
                <w:b/>
                <w:szCs w:val="22"/>
              </w:rPr>
              <w:t>1/100</w:t>
            </w:r>
            <w:r w:rsidRPr="002A54AF">
              <w:rPr>
                <w:b/>
                <w:szCs w:val="22"/>
              </w:rPr>
              <w:t>,</w:t>
            </w:r>
            <w:r w:rsidR="00F246AF" w:rsidRPr="002A54AF">
              <w:rPr>
                <w:b/>
                <w:szCs w:val="22"/>
              </w:rPr>
              <w:t xml:space="preserve"> &lt;</w:t>
            </w:r>
            <w:r w:rsidRPr="002A54AF">
              <w:rPr>
                <w:b/>
                <w:szCs w:val="22"/>
              </w:rPr>
              <w:t> </w:t>
            </w:r>
            <w:r w:rsidR="00F246AF" w:rsidRPr="002A54AF">
              <w:rPr>
                <w:b/>
                <w:szCs w:val="22"/>
              </w:rPr>
              <w:t>1/10</w:t>
            </w:r>
          </w:p>
          <w:p w14:paraId="2DD2B97B" w14:textId="77777777" w:rsidR="00F246AF" w:rsidRPr="002A54AF" w:rsidRDefault="00F246AF" w:rsidP="00AB600C">
            <w:pPr>
              <w:jc w:val="center"/>
              <w:rPr>
                <w:b/>
                <w:szCs w:val="22"/>
              </w:rPr>
            </w:pPr>
          </w:p>
        </w:tc>
        <w:tc>
          <w:tcPr>
            <w:tcW w:w="1860" w:type="dxa"/>
          </w:tcPr>
          <w:p w14:paraId="08227D74" w14:textId="77777777" w:rsidR="00F246AF" w:rsidRPr="002A54AF" w:rsidRDefault="00D40E2F" w:rsidP="00AB600C">
            <w:pPr>
              <w:jc w:val="center"/>
              <w:rPr>
                <w:b/>
                <w:szCs w:val="22"/>
              </w:rPr>
            </w:pPr>
            <w:r w:rsidRPr="002A54AF">
              <w:rPr>
                <w:b/>
                <w:szCs w:val="22"/>
              </w:rPr>
              <w:t>Pouco frequentes</w:t>
            </w:r>
          </w:p>
          <w:p w14:paraId="2E336F7B" w14:textId="77777777" w:rsidR="00F246AF" w:rsidRPr="002A54AF" w:rsidRDefault="00D40E2F" w:rsidP="00AB600C">
            <w:pPr>
              <w:jc w:val="center"/>
              <w:rPr>
                <w:b/>
                <w:szCs w:val="22"/>
              </w:rPr>
            </w:pPr>
            <w:r w:rsidRPr="002A54AF">
              <w:rPr>
                <w:b/>
                <w:szCs w:val="22"/>
              </w:rPr>
              <w:t>≥ </w:t>
            </w:r>
            <w:r w:rsidR="00F246AF" w:rsidRPr="002A54AF">
              <w:rPr>
                <w:b/>
                <w:szCs w:val="22"/>
              </w:rPr>
              <w:t>1/1</w:t>
            </w:r>
            <w:r w:rsidRPr="002A54AF">
              <w:rPr>
                <w:b/>
                <w:szCs w:val="22"/>
              </w:rPr>
              <w:t>.</w:t>
            </w:r>
            <w:r w:rsidR="00F246AF" w:rsidRPr="002A54AF">
              <w:rPr>
                <w:b/>
                <w:szCs w:val="22"/>
              </w:rPr>
              <w:t>000</w:t>
            </w:r>
            <w:r w:rsidRPr="002A54AF">
              <w:rPr>
                <w:b/>
                <w:szCs w:val="22"/>
              </w:rPr>
              <w:t>,</w:t>
            </w:r>
            <w:r w:rsidR="00F246AF" w:rsidRPr="002A54AF">
              <w:rPr>
                <w:b/>
                <w:szCs w:val="22"/>
              </w:rPr>
              <w:t xml:space="preserve"> &lt;</w:t>
            </w:r>
            <w:r w:rsidRPr="002A54AF">
              <w:rPr>
                <w:b/>
                <w:szCs w:val="22"/>
              </w:rPr>
              <w:t> </w:t>
            </w:r>
            <w:r w:rsidR="00F246AF" w:rsidRPr="002A54AF">
              <w:rPr>
                <w:b/>
                <w:szCs w:val="22"/>
              </w:rPr>
              <w:t>1/100</w:t>
            </w:r>
          </w:p>
          <w:p w14:paraId="06489F33" w14:textId="77777777" w:rsidR="00F246AF" w:rsidRPr="002A54AF" w:rsidRDefault="00F246AF" w:rsidP="00AB600C">
            <w:pPr>
              <w:jc w:val="center"/>
              <w:rPr>
                <w:b/>
                <w:szCs w:val="22"/>
              </w:rPr>
            </w:pPr>
          </w:p>
        </w:tc>
        <w:tc>
          <w:tcPr>
            <w:tcW w:w="1418" w:type="dxa"/>
          </w:tcPr>
          <w:p w14:paraId="2B100F04" w14:textId="77777777" w:rsidR="00F246AF" w:rsidRPr="002A54AF" w:rsidRDefault="00D40E2F" w:rsidP="00AB600C">
            <w:pPr>
              <w:jc w:val="center"/>
              <w:rPr>
                <w:b/>
                <w:szCs w:val="22"/>
              </w:rPr>
            </w:pPr>
            <w:r w:rsidRPr="002A54AF">
              <w:rPr>
                <w:b/>
                <w:szCs w:val="22"/>
              </w:rPr>
              <w:t>Raros</w:t>
            </w:r>
          </w:p>
          <w:p w14:paraId="221CDBBB" w14:textId="77777777" w:rsidR="00F246AF" w:rsidRPr="002A54AF" w:rsidRDefault="00D40E2F" w:rsidP="00AB600C">
            <w:pPr>
              <w:jc w:val="center"/>
              <w:rPr>
                <w:b/>
                <w:szCs w:val="22"/>
              </w:rPr>
            </w:pPr>
            <w:r w:rsidRPr="002A54AF">
              <w:rPr>
                <w:b/>
                <w:szCs w:val="22"/>
              </w:rPr>
              <w:t>≥ 1/10.</w:t>
            </w:r>
            <w:r w:rsidR="00F246AF" w:rsidRPr="002A54AF">
              <w:rPr>
                <w:b/>
                <w:szCs w:val="22"/>
              </w:rPr>
              <w:t>000</w:t>
            </w:r>
            <w:r w:rsidRPr="002A54AF">
              <w:rPr>
                <w:b/>
                <w:szCs w:val="22"/>
              </w:rPr>
              <w:t>,</w:t>
            </w:r>
            <w:r w:rsidR="00F246AF" w:rsidRPr="002A54AF">
              <w:rPr>
                <w:b/>
                <w:szCs w:val="22"/>
              </w:rPr>
              <w:t xml:space="preserve"> &lt;</w:t>
            </w:r>
            <w:r w:rsidRPr="002A54AF">
              <w:rPr>
                <w:b/>
                <w:szCs w:val="22"/>
              </w:rPr>
              <w:t> </w:t>
            </w:r>
            <w:r w:rsidR="00F246AF" w:rsidRPr="002A54AF">
              <w:rPr>
                <w:b/>
                <w:szCs w:val="22"/>
              </w:rPr>
              <w:t>1/1</w:t>
            </w:r>
            <w:r w:rsidRPr="002A54AF">
              <w:rPr>
                <w:b/>
                <w:szCs w:val="22"/>
              </w:rPr>
              <w:t>.</w:t>
            </w:r>
            <w:r w:rsidR="00F246AF" w:rsidRPr="002A54AF">
              <w:rPr>
                <w:b/>
                <w:szCs w:val="22"/>
              </w:rPr>
              <w:t>000</w:t>
            </w:r>
          </w:p>
          <w:p w14:paraId="48264F27" w14:textId="77777777" w:rsidR="00F246AF" w:rsidRPr="002A54AF" w:rsidRDefault="00F246AF" w:rsidP="00AB600C">
            <w:pPr>
              <w:jc w:val="center"/>
              <w:rPr>
                <w:b/>
                <w:szCs w:val="22"/>
              </w:rPr>
            </w:pPr>
          </w:p>
        </w:tc>
        <w:tc>
          <w:tcPr>
            <w:tcW w:w="1492" w:type="dxa"/>
          </w:tcPr>
          <w:p w14:paraId="00B76A2E" w14:textId="77777777" w:rsidR="00F246AF" w:rsidRPr="002A54AF" w:rsidRDefault="00D40E2F" w:rsidP="00AB600C">
            <w:pPr>
              <w:jc w:val="center"/>
              <w:rPr>
                <w:b/>
                <w:szCs w:val="22"/>
                <w:lang w:val="pt-PT"/>
              </w:rPr>
            </w:pPr>
            <w:r w:rsidRPr="002A54AF">
              <w:rPr>
                <w:b/>
                <w:szCs w:val="22"/>
                <w:lang w:val="pt-PT"/>
              </w:rPr>
              <w:t>Frequê</w:t>
            </w:r>
            <w:r w:rsidR="00F246AF" w:rsidRPr="002A54AF">
              <w:rPr>
                <w:b/>
                <w:szCs w:val="22"/>
                <w:lang w:val="pt-PT"/>
              </w:rPr>
              <w:t>nc</w:t>
            </w:r>
            <w:r w:rsidRPr="002A54AF">
              <w:rPr>
                <w:b/>
                <w:szCs w:val="22"/>
                <w:lang w:val="pt-PT"/>
              </w:rPr>
              <w:t>ia</w:t>
            </w:r>
          </w:p>
          <w:p w14:paraId="1771267A" w14:textId="77777777" w:rsidR="00F246AF" w:rsidRPr="002A54AF" w:rsidRDefault="00D40E2F" w:rsidP="00AB600C">
            <w:pPr>
              <w:jc w:val="center"/>
              <w:rPr>
                <w:b/>
                <w:szCs w:val="22"/>
                <w:lang w:val="pt-PT"/>
              </w:rPr>
            </w:pPr>
            <w:r w:rsidRPr="002A54AF">
              <w:rPr>
                <w:b/>
                <w:szCs w:val="22"/>
                <w:lang w:val="pt-PT"/>
              </w:rPr>
              <w:t>desconhecida</w:t>
            </w:r>
          </w:p>
          <w:p w14:paraId="6ADDDFE6" w14:textId="77777777" w:rsidR="00F246AF" w:rsidRPr="002A54AF" w:rsidRDefault="00D40E2F" w:rsidP="00D40E2F">
            <w:pPr>
              <w:jc w:val="center"/>
              <w:rPr>
                <w:b/>
                <w:szCs w:val="22"/>
                <w:lang w:val="pt-PT"/>
              </w:rPr>
            </w:pPr>
            <w:r w:rsidRPr="002A54AF">
              <w:rPr>
                <w:b/>
                <w:szCs w:val="22"/>
                <w:lang w:val="pt-PT"/>
              </w:rPr>
              <w:t>(não pode ser calculado a partir dos dados disponíveis)</w:t>
            </w:r>
          </w:p>
          <w:p w14:paraId="5CE36E21" w14:textId="77777777" w:rsidR="00F246AF" w:rsidRPr="002A54AF" w:rsidRDefault="00F246AF" w:rsidP="00AB600C">
            <w:pPr>
              <w:jc w:val="center"/>
              <w:rPr>
                <w:b/>
                <w:szCs w:val="22"/>
                <w:lang w:val="pt-PT"/>
              </w:rPr>
            </w:pPr>
          </w:p>
        </w:tc>
      </w:tr>
      <w:tr w:rsidR="00F246AF" w:rsidRPr="002A54AF" w14:paraId="1431B9C8" w14:textId="77777777" w:rsidTr="00DF1C0F">
        <w:trPr>
          <w:trHeight w:val="745"/>
        </w:trPr>
        <w:tc>
          <w:tcPr>
            <w:tcW w:w="1474" w:type="dxa"/>
          </w:tcPr>
          <w:p w14:paraId="017AC66D" w14:textId="77777777" w:rsidR="00F246AF" w:rsidRPr="002A54AF" w:rsidRDefault="00660A02" w:rsidP="00AB600C">
            <w:pPr>
              <w:keepNext/>
              <w:keepLines/>
              <w:rPr>
                <w:szCs w:val="22"/>
              </w:rPr>
            </w:pPr>
            <w:r w:rsidRPr="002A54AF">
              <w:rPr>
                <w:noProof/>
                <w:szCs w:val="22"/>
                <w:lang w:val="pt-PT"/>
              </w:rPr>
              <w:t>Infe</w:t>
            </w:r>
            <w:r w:rsidR="00D40E2F" w:rsidRPr="002A54AF">
              <w:rPr>
                <w:noProof/>
                <w:szCs w:val="22"/>
                <w:lang w:val="pt-PT"/>
              </w:rPr>
              <w:t>ções e infestações</w:t>
            </w:r>
          </w:p>
        </w:tc>
        <w:tc>
          <w:tcPr>
            <w:tcW w:w="1562" w:type="dxa"/>
          </w:tcPr>
          <w:p w14:paraId="5E1B060F" w14:textId="77777777" w:rsidR="00F246AF" w:rsidRPr="002A54AF" w:rsidRDefault="00F246AF" w:rsidP="00AB600C">
            <w:pPr>
              <w:rPr>
                <w:szCs w:val="22"/>
              </w:rPr>
            </w:pPr>
          </w:p>
        </w:tc>
        <w:tc>
          <w:tcPr>
            <w:tcW w:w="1908" w:type="dxa"/>
          </w:tcPr>
          <w:p w14:paraId="4DC44BB6" w14:textId="77777777" w:rsidR="00F246AF" w:rsidRPr="002A54AF" w:rsidRDefault="00660A02" w:rsidP="00AB600C">
            <w:pPr>
              <w:rPr>
                <w:szCs w:val="22"/>
              </w:rPr>
            </w:pPr>
            <w:r w:rsidRPr="002A54AF">
              <w:rPr>
                <w:szCs w:val="22"/>
              </w:rPr>
              <w:t>s</w:t>
            </w:r>
            <w:r w:rsidR="00F246AF" w:rsidRPr="002A54AF">
              <w:rPr>
                <w:szCs w:val="22"/>
              </w:rPr>
              <w:t>inusit</w:t>
            </w:r>
            <w:r w:rsidRPr="002A54AF">
              <w:rPr>
                <w:szCs w:val="22"/>
              </w:rPr>
              <w:t>e</w:t>
            </w:r>
          </w:p>
        </w:tc>
        <w:tc>
          <w:tcPr>
            <w:tcW w:w="1860" w:type="dxa"/>
          </w:tcPr>
          <w:p w14:paraId="7E995763" w14:textId="77777777" w:rsidR="00F246AF" w:rsidRPr="002A54AF" w:rsidRDefault="00660A02" w:rsidP="00660A02">
            <w:pPr>
              <w:rPr>
                <w:szCs w:val="22"/>
              </w:rPr>
            </w:pPr>
            <w:r w:rsidRPr="002A54AF">
              <w:rPr>
                <w:rStyle w:val="TableText12"/>
                <w:sz w:val="22"/>
                <w:szCs w:val="22"/>
              </w:rPr>
              <w:t>colite pseudomembranosa</w:t>
            </w:r>
          </w:p>
        </w:tc>
        <w:tc>
          <w:tcPr>
            <w:tcW w:w="1418" w:type="dxa"/>
          </w:tcPr>
          <w:p w14:paraId="5BBA5BBC" w14:textId="77777777" w:rsidR="00F246AF" w:rsidRPr="002A54AF" w:rsidRDefault="00F246AF" w:rsidP="00AB600C">
            <w:pPr>
              <w:rPr>
                <w:szCs w:val="22"/>
              </w:rPr>
            </w:pPr>
          </w:p>
        </w:tc>
        <w:tc>
          <w:tcPr>
            <w:tcW w:w="1492" w:type="dxa"/>
          </w:tcPr>
          <w:p w14:paraId="175E355C" w14:textId="77777777" w:rsidR="00F246AF" w:rsidRPr="002A54AF" w:rsidRDefault="00F246AF" w:rsidP="00AB600C">
            <w:pPr>
              <w:rPr>
                <w:szCs w:val="22"/>
              </w:rPr>
            </w:pPr>
          </w:p>
        </w:tc>
      </w:tr>
      <w:tr w:rsidR="00F246AF" w:rsidRPr="00376167" w14:paraId="04437461" w14:textId="77777777" w:rsidTr="00DF1C0F">
        <w:trPr>
          <w:trHeight w:val="1000"/>
        </w:trPr>
        <w:tc>
          <w:tcPr>
            <w:tcW w:w="1474" w:type="dxa"/>
          </w:tcPr>
          <w:p w14:paraId="52B0D957" w14:textId="77777777" w:rsidR="00F246AF" w:rsidRPr="00CB39F3" w:rsidRDefault="00D40E2F" w:rsidP="00AB600C">
            <w:pPr>
              <w:rPr>
                <w:szCs w:val="22"/>
                <w:lang w:val="pt-PT"/>
              </w:rPr>
            </w:pPr>
            <w:r w:rsidRPr="002A54AF">
              <w:rPr>
                <w:noProof/>
                <w:szCs w:val="22"/>
                <w:lang w:val="pt-PT"/>
              </w:rPr>
              <w:t xml:space="preserve">Neoplasias benignas malignas e não especificadas </w:t>
            </w:r>
            <w:r w:rsidRPr="002A54AF">
              <w:rPr>
                <w:noProof/>
                <w:szCs w:val="22"/>
                <w:lang w:val="pt-PT"/>
              </w:rPr>
              <w:lastRenderedPageBreak/>
              <w:t>(incl.quistos e polipos)</w:t>
            </w:r>
          </w:p>
        </w:tc>
        <w:tc>
          <w:tcPr>
            <w:tcW w:w="1562" w:type="dxa"/>
          </w:tcPr>
          <w:p w14:paraId="658EB479" w14:textId="77777777" w:rsidR="00F246AF" w:rsidRPr="00CB39F3" w:rsidRDefault="00F246AF" w:rsidP="00AB600C">
            <w:pPr>
              <w:rPr>
                <w:szCs w:val="22"/>
                <w:lang w:val="pt-PT"/>
              </w:rPr>
            </w:pPr>
          </w:p>
        </w:tc>
        <w:tc>
          <w:tcPr>
            <w:tcW w:w="1908" w:type="dxa"/>
          </w:tcPr>
          <w:p w14:paraId="2EAE65F1" w14:textId="643042A9" w:rsidR="00F246AF" w:rsidRPr="00CB39F3" w:rsidRDefault="00FC1C76" w:rsidP="00AB600C">
            <w:pPr>
              <w:rPr>
                <w:szCs w:val="22"/>
                <w:lang w:val="pt-PT"/>
              </w:rPr>
            </w:pPr>
            <w:r w:rsidRPr="006D2A27">
              <w:rPr>
                <w:rStyle w:val="TableText12"/>
                <w:sz w:val="22"/>
                <w:szCs w:val="22"/>
                <w:lang w:val="pt-PT"/>
              </w:rPr>
              <w:t>carcinoma espinocelular</w:t>
            </w:r>
            <w:r>
              <w:rPr>
                <w:rStyle w:val="TableText12"/>
                <w:sz w:val="22"/>
                <w:szCs w:val="22"/>
                <w:lang w:val="pt-PT"/>
              </w:rPr>
              <w:t xml:space="preserve"> </w:t>
            </w:r>
            <w:r w:rsidRPr="006D2A27">
              <w:rPr>
                <w:rStyle w:val="TableText12"/>
                <w:sz w:val="22"/>
                <w:szCs w:val="22"/>
                <w:lang w:val="pt-PT"/>
              </w:rPr>
              <w:t>(</w:t>
            </w:r>
            <w:r w:rsidRPr="00ED57C2">
              <w:rPr>
                <w:rStyle w:val="TableText12"/>
                <w:sz w:val="22"/>
                <w:szCs w:val="22"/>
                <w:lang w:val="pt-PT"/>
              </w:rPr>
              <w:t xml:space="preserve">incluindo CEC cutâneo </w:t>
            </w:r>
            <w:r w:rsidRPr="006D2A27">
              <w:rPr>
                <w:rStyle w:val="TableText12"/>
                <w:i/>
                <w:iCs/>
                <w:sz w:val="22"/>
                <w:szCs w:val="22"/>
                <w:lang w:val="pt-PT"/>
              </w:rPr>
              <w:t>in situ</w:t>
            </w:r>
            <w:r w:rsidRPr="00ED57C2">
              <w:rPr>
                <w:rStyle w:val="TableText12"/>
                <w:sz w:val="22"/>
                <w:szCs w:val="22"/>
                <w:lang w:val="pt-PT"/>
              </w:rPr>
              <w:t xml:space="preserve"> ou doença de Bowen)</w:t>
            </w:r>
            <w:r w:rsidRPr="006D2A27">
              <w:rPr>
                <w:rStyle w:val="TableText12"/>
                <w:sz w:val="22"/>
                <w:szCs w:val="22"/>
                <w:lang w:val="pt-PT"/>
              </w:rPr>
              <w:t>*</w:t>
            </w:r>
          </w:p>
        </w:tc>
        <w:tc>
          <w:tcPr>
            <w:tcW w:w="1860" w:type="dxa"/>
          </w:tcPr>
          <w:p w14:paraId="73899C2C" w14:textId="77777777" w:rsidR="00F246AF" w:rsidRPr="00CB39F3" w:rsidRDefault="00F246AF" w:rsidP="00AB600C">
            <w:pPr>
              <w:rPr>
                <w:szCs w:val="22"/>
                <w:lang w:val="pt-PT"/>
              </w:rPr>
            </w:pPr>
          </w:p>
        </w:tc>
        <w:tc>
          <w:tcPr>
            <w:tcW w:w="1418" w:type="dxa"/>
          </w:tcPr>
          <w:p w14:paraId="01394B16" w14:textId="77777777" w:rsidR="00F246AF" w:rsidRPr="00CB39F3" w:rsidRDefault="00F246AF" w:rsidP="00AB600C">
            <w:pPr>
              <w:rPr>
                <w:szCs w:val="22"/>
                <w:lang w:val="pt-PT"/>
              </w:rPr>
            </w:pPr>
          </w:p>
        </w:tc>
        <w:tc>
          <w:tcPr>
            <w:tcW w:w="1492" w:type="dxa"/>
          </w:tcPr>
          <w:p w14:paraId="0E022B4A" w14:textId="523A92E4" w:rsidR="00F246AF" w:rsidRPr="006D2A27" w:rsidRDefault="00F246AF" w:rsidP="00463242">
            <w:pPr>
              <w:rPr>
                <w:szCs w:val="22"/>
                <w:lang w:val="pt-PT"/>
              </w:rPr>
            </w:pPr>
          </w:p>
        </w:tc>
      </w:tr>
      <w:tr w:rsidR="00C4073A" w:rsidRPr="002A54AF" w14:paraId="1AC9846A" w14:textId="77777777" w:rsidTr="00DF1C0F">
        <w:trPr>
          <w:trHeight w:val="1601"/>
        </w:trPr>
        <w:tc>
          <w:tcPr>
            <w:tcW w:w="1474" w:type="dxa"/>
          </w:tcPr>
          <w:p w14:paraId="2AD45896" w14:textId="77777777" w:rsidR="00C4073A" w:rsidRPr="00CB39F3" w:rsidRDefault="00C4073A" w:rsidP="00AB600C">
            <w:pPr>
              <w:rPr>
                <w:szCs w:val="22"/>
                <w:lang w:val="pt-PT"/>
              </w:rPr>
            </w:pPr>
            <w:r w:rsidRPr="002A54AF">
              <w:rPr>
                <w:noProof/>
                <w:szCs w:val="22"/>
                <w:lang w:val="pt-PT"/>
              </w:rPr>
              <w:t>Doenças do sangue e do sistema linfático</w:t>
            </w:r>
          </w:p>
        </w:tc>
        <w:tc>
          <w:tcPr>
            <w:tcW w:w="1562" w:type="dxa"/>
          </w:tcPr>
          <w:p w14:paraId="2F573C2F" w14:textId="77777777" w:rsidR="00C4073A" w:rsidRPr="00CB39F3" w:rsidRDefault="00C4073A" w:rsidP="00AB600C">
            <w:pPr>
              <w:rPr>
                <w:szCs w:val="22"/>
                <w:lang w:val="pt-PT"/>
              </w:rPr>
            </w:pPr>
          </w:p>
        </w:tc>
        <w:tc>
          <w:tcPr>
            <w:tcW w:w="1908" w:type="dxa"/>
          </w:tcPr>
          <w:p w14:paraId="40ACB66C" w14:textId="77777777" w:rsidR="00C4073A" w:rsidRPr="002A54AF" w:rsidRDefault="00C4073A" w:rsidP="00660A02">
            <w:pPr>
              <w:pStyle w:val="TableText"/>
              <w:rPr>
                <w:rFonts w:cs="Times New Roman"/>
                <w:sz w:val="22"/>
                <w:szCs w:val="22"/>
                <w:lang w:val="pt-PT"/>
              </w:rPr>
            </w:pPr>
            <w:r w:rsidRPr="002A54AF">
              <w:rPr>
                <w:rStyle w:val="TableText12"/>
                <w:rFonts w:cs="Times New Roman"/>
                <w:sz w:val="22"/>
                <w:szCs w:val="22"/>
                <w:lang w:val="pt-PT"/>
              </w:rPr>
              <w:t>agranulocitose</w:t>
            </w:r>
            <w:r w:rsidRPr="002A54AF">
              <w:rPr>
                <w:rStyle w:val="TableText12"/>
                <w:rFonts w:cs="Times New Roman"/>
                <w:sz w:val="22"/>
                <w:szCs w:val="22"/>
                <w:vertAlign w:val="superscript"/>
                <w:lang w:val="pt-PT"/>
              </w:rPr>
              <w:t>1</w:t>
            </w:r>
            <w:r w:rsidRPr="002A54AF">
              <w:rPr>
                <w:rStyle w:val="TableText12"/>
                <w:rFonts w:cs="Times New Roman"/>
                <w:sz w:val="22"/>
                <w:szCs w:val="22"/>
                <w:lang w:val="pt-PT"/>
              </w:rPr>
              <w:t>, pancitopenia, trombocitopenia</w:t>
            </w:r>
            <w:r w:rsidRPr="002A54AF">
              <w:rPr>
                <w:rStyle w:val="TableText12"/>
                <w:rFonts w:cs="Times New Roman"/>
                <w:sz w:val="22"/>
                <w:szCs w:val="22"/>
                <w:vertAlign w:val="superscript"/>
                <w:lang w:val="pt-PT"/>
              </w:rPr>
              <w:t>2</w:t>
            </w:r>
            <w:r w:rsidRPr="002A54AF">
              <w:rPr>
                <w:rStyle w:val="TableText12"/>
                <w:rFonts w:cs="Times New Roman"/>
                <w:sz w:val="22"/>
                <w:szCs w:val="22"/>
                <w:lang w:val="pt-PT"/>
              </w:rPr>
              <w:t>, leucopenia, anemia</w:t>
            </w:r>
          </w:p>
        </w:tc>
        <w:tc>
          <w:tcPr>
            <w:tcW w:w="1860" w:type="dxa"/>
          </w:tcPr>
          <w:p w14:paraId="3CDF192D" w14:textId="77777777" w:rsidR="00C4073A" w:rsidRPr="00CB39F3" w:rsidRDefault="00C4073A" w:rsidP="00C4073A">
            <w:pPr>
              <w:pStyle w:val="TableText"/>
              <w:rPr>
                <w:rFonts w:cs="Times New Roman"/>
                <w:sz w:val="22"/>
                <w:szCs w:val="22"/>
                <w:lang w:val="pt-PT"/>
              </w:rPr>
            </w:pPr>
            <w:r w:rsidRPr="002A54AF">
              <w:rPr>
                <w:rStyle w:val="TableText12"/>
                <w:rFonts w:cs="Times New Roman"/>
                <w:sz w:val="22"/>
                <w:szCs w:val="22"/>
                <w:lang w:val="pt-PT"/>
              </w:rPr>
              <w:t>insuficiência da medula óssea, linfoadenopatia, eosinofilia</w:t>
            </w:r>
          </w:p>
        </w:tc>
        <w:tc>
          <w:tcPr>
            <w:tcW w:w="1418" w:type="dxa"/>
          </w:tcPr>
          <w:p w14:paraId="55D59D87" w14:textId="77777777" w:rsidR="00C4073A" w:rsidRPr="002A54AF" w:rsidRDefault="00C4073A" w:rsidP="00660A02">
            <w:pPr>
              <w:pStyle w:val="TableText"/>
              <w:rPr>
                <w:rFonts w:cs="Times New Roman"/>
                <w:sz w:val="22"/>
                <w:szCs w:val="22"/>
              </w:rPr>
            </w:pPr>
            <w:r w:rsidRPr="002A54AF">
              <w:rPr>
                <w:rStyle w:val="TableText12"/>
                <w:rFonts w:cs="Times New Roman"/>
                <w:sz w:val="22"/>
                <w:szCs w:val="22"/>
                <w:lang w:val="pt-PT"/>
              </w:rPr>
              <w:t xml:space="preserve">coagulação intravascular </w:t>
            </w:r>
            <w:r w:rsidRPr="002A54AF">
              <w:rPr>
                <w:rStyle w:val="TableText12"/>
                <w:rFonts w:cs="Times New Roman"/>
                <w:sz w:val="22"/>
                <w:szCs w:val="22"/>
              </w:rPr>
              <w:t>disseminada</w:t>
            </w:r>
          </w:p>
        </w:tc>
        <w:tc>
          <w:tcPr>
            <w:tcW w:w="1492" w:type="dxa"/>
          </w:tcPr>
          <w:p w14:paraId="7F091723" w14:textId="77777777" w:rsidR="00C4073A" w:rsidRPr="002A54AF" w:rsidRDefault="00C4073A" w:rsidP="00AB600C">
            <w:pPr>
              <w:rPr>
                <w:szCs w:val="22"/>
              </w:rPr>
            </w:pPr>
          </w:p>
        </w:tc>
      </w:tr>
      <w:tr w:rsidR="00C4073A" w:rsidRPr="002A54AF" w14:paraId="542063E7" w14:textId="77777777" w:rsidTr="00DF1C0F">
        <w:trPr>
          <w:trHeight w:val="1000"/>
        </w:trPr>
        <w:tc>
          <w:tcPr>
            <w:tcW w:w="1474" w:type="dxa"/>
          </w:tcPr>
          <w:p w14:paraId="3FE9A329" w14:textId="77777777" w:rsidR="00C4073A" w:rsidRPr="002A54AF" w:rsidRDefault="00C4073A" w:rsidP="00AB600C">
            <w:pPr>
              <w:rPr>
                <w:szCs w:val="22"/>
              </w:rPr>
            </w:pPr>
            <w:r w:rsidRPr="002A54AF">
              <w:rPr>
                <w:noProof/>
                <w:szCs w:val="22"/>
                <w:lang w:val="pt-PT"/>
              </w:rPr>
              <w:t>Doenças do sistema imunitário</w:t>
            </w:r>
          </w:p>
        </w:tc>
        <w:tc>
          <w:tcPr>
            <w:tcW w:w="1562" w:type="dxa"/>
          </w:tcPr>
          <w:p w14:paraId="01252EC5" w14:textId="77777777" w:rsidR="00C4073A" w:rsidRPr="002A54AF" w:rsidRDefault="00C4073A" w:rsidP="00AB600C">
            <w:pPr>
              <w:rPr>
                <w:szCs w:val="22"/>
              </w:rPr>
            </w:pPr>
          </w:p>
        </w:tc>
        <w:tc>
          <w:tcPr>
            <w:tcW w:w="1908" w:type="dxa"/>
          </w:tcPr>
          <w:p w14:paraId="0A7FEB00" w14:textId="77777777" w:rsidR="00C4073A" w:rsidRPr="002A54AF" w:rsidRDefault="00C4073A" w:rsidP="00AB600C">
            <w:pPr>
              <w:rPr>
                <w:szCs w:val="22"/>
              </w:rPr>
            </w:pPr>
          </w:p>
        </w:tc>
        <w:tc>
          <w:tcPr>
            <w:tcW w:w="1860" w:type="dxa"/>
          </w:tcPr>
          <w:p w14:paraId="686711A7" w14:textId="77777777" w:rsidR="00C4073A" w:rsidRPr="002A54AF" w:rsidRDefault="00C4073A" w:rsidP="00660A02">
            <w:pPr>
              <w:pStyle w:val="TableText"/>
              <w:rPr>
                <w:rFonts w:cs="Times New Roman"/>
                <w:sz w:val="22"/>
                <w:szCs w:val="22"/>
              </w:rPr>
            </w:pPr>
            <w:r w:rsidRPr="002A54AF">
              <w:rPr>
                <w:rStyle w:val="TableText12"/>
                <w:rFonts w:cs="Times New Roman"/>
                <w:sz w:val="22"/>
                <w:szCs w:val="22"/>
              </w:rPr>
              <w:t>hipersensibilidade</w:t>
            </w:r>
          </w:p>
        </w:tc>
        <w:tc>
          <w:tcPr>
            <w:tcW w:w="1418" w:type="dxa"/>
          </w:tcPr>
          <w:p w14:paraId="551D10EA" w14:textId="77777777" w:rsidR="00C4073A" w:rsidRPr="002A54AF" w:rsidRDefault="00C4073A" w:rsidP="00660A02">
            <w:pPr>
              <w:pStyle w:val="TableText"/>
              <w:rPr>
                <w:rFonts w:cs="Times New Roman"/>
                <w:sz w:val="22"/>
                <w:szCs w:val="22"/>
              </w:rPr>
            </w:pPr>
            <w:r w:rsidRPr="002A54AF">
              <w:rPr>
                <w:rStyle w:val="TableText12"/>
                <w:rFonts w:cs="Times New Roman"/>
                <w:sz w:val="22"/>
                <w:szCs w:val="22"/>
              </w:rPr>
              <w:t>reação anafilactoide</w:t>
            </w:r>
          </w:p>
        </w:tc>
        <w:tc>
          <w:tcPr>
            <w:tcW w:w="1492" w:type="dxa"/>
          </w:tcPr>
          <w:p w14:paraId="571ED00D" w14:textId="77777777" w:rsidR="00C4073A" w:rsidRPr="002A54AF" w:rsidRDefault="00C4073A" w:rsidP="00AB600C">
            <w:pPr>
              <w:rPr>
                <w:szCs w:val="22"/>
              </w:rPr>
            </w:pPr>
          </w:p>
        </w:tc>
      </w:tr>
      <w:tr w:rsidR="00C4073A" w:rsidRPr="002A54AF" w14:paraId="57C93F0D" w14:textId="77777777" w:rsidTr="00DF1C0F">
        <w:trPr>
          <w:trHeight w:val="1000"/>
        </w:trPr>
        <w:tc>
          <w:tcPr>
            <w:tcW w:w="1474" w:type="dxa"/>
          </w:tcPr>
          <w:p w14:paraId="79A5854F" w14:textId="77777777" w:rsidR="00C4073A" w:rsidRPr="002A54AF" w:rsidRDefault="00C4073A" w:rsidP="00AB600C">
            <w:pPr>
              <w:rPr>
                <w:szCs w:val="22"/>
              </w:rPr>
            </w:pPr>
            <w:r w:rsidRPr="002A54AF">
              <w:rPr>
                <w:noProof/>
                <w:szCs w:val="22"/>
                <w:lang w:val="pt-PT"/>
              </w:rPr>
              <w:t>Doenças endócrinas</w:t>
            </w:r>
          </w:p>
        </w:tc>
        <w:tc>
          <w:tcPr>
            <w:tcW w:w="1562" w:type="dxa"/>
          </w:tcPr>
          <w:p w14:paraId="5DF81338" w14:textId="77777777" w:rsidR="00C4073A" w:rsidRPr="002A54AF" w:rsidRDefault="00C4073A" w:rsidP="00AB600C">
            <w:pPr>
              <w:rPr>
                <w:szCs w:val="22"/>
              </w:rPr>
            </w:pPr>
          </w:p>
        </w:tc>
        <w:tc>
          <w:tcPr>
            <w:tcW w:w="1908" w:type="dxa"/>
          </w:tcPr>
          <w:p w14:paraId="11063E5D" w14:textId="77777777" w:rsidR="00C4073A" w:rsidRPr="002A54AF" w:rsidRDefault="00C4073A" w:rsidP="00AB600C">
            <w:pPr>
              <w:rPr>
                <w:szCs w:val="22"/>
              </w:rPr>
            </w:pPr>
          </w:p>
        </w:tc>
        <w:tc>
          <w:tcPr>
            <w:tcW w:w="1860" w:type="dxa"/>
          </w:tcPr>
          <w:p w14:paraId="3793224B" w14:textId="77777777" w:rsidR="00C4073A" w:rsidRPr="002A54AF" w:rsidRDefault="00C4073A" w:rsidP="00660A02">
            <w:pPr>
              <w:pStyle w:val="TableText"/>
              <w:rPr>
                <w:rFonts w:cs="Times New Roman"/>
                <w:sz w:val="22"/>
                <w:szCs w:val="22"/>
              </w:rPr>
            </w:pPr>
            <w:r w:rsidRPr="002A54AF">
              <w:rPr>
                <w:rStyle w:val="TableText12"/>
                <w:rFonts w:cs="Times New Roman"/>
                <w:sz w:val="22"/>
                <w:szCs w:val="22"/>
              </w:rPr>
              <w:t>insuficiência suprarrenal, hipotiroidismo</w:t>
            </w:r>
          </w:p>
        </w:tc>
        <w:tc>
          <w:tcPr>
            <w:tcW w:w="1418" w:type="dxa"/>
          </w:tcPr>
          <w:p w14:paraId="22976D0B" w14:textId="77777777" w:rsidR="00C4073A" w:rsidRPr="002A54AF" w:rsidRDefault="00C4073A" w:rsidP="00660A02">
            <w:pPr>
              <w:rPr>
                <w:szCs w:val="22"/>
              </w:rPr>
            </w:pPr>
            <w:r w:rsidRPr="002A54AF">
              <w:rPr>
                <w:szCs w:val="22"/>
              </w:rPr>
              <w:t>hipertiroidismo</w:t>
            </w:r>
          </w:p>
        </w:tc>
        <w:tc>
          <w:tcPr>
            <w:tcW w:w="1492" w:type="dxa"/>
          </w:tcPr>
          <w:p w14:paraId="263EF1A6" w14:textId="77777777" w:rsidR="00C4073A" w:rsidRPr="002A54AF" w:rsidRDefault="00C4073A" w:rsidP="00AB600C">
            <w:pPr>
              <w:rPr>
                <w:szCs w:val="22"/>
              </w:rPr>
            </w:pPr>
          </w:p>
        </w:tc>
      </w:tr>
      <w:tr w:rsidR="00C4073A" w:rsidRPr="002A54AF" w14:paraId="7F4A7ABE" w14:textId="77777777" w:rsidTr="00DF1C0F">
        <w:trPr>
          <w:trHeight w:val="1000"/>
        </w:trPr>
        <w:tc>
          <w:tcPr>
            <w:tcW w:w="1474" w:type="dxa"/>
          </w:tcPr>
          <w:p w14:paraId="5E84B614" w14:textId="77777777" w:rsidR="00C4073A" w:rsidRPr="00CB39F3" w:rsidRDefault="00C4073A" w:rsidP="00AB600C">
            <w:pPr>
              <w:rPr>
                <w:szCs w:val="22"/>
                <w:lang w:val="pt-PT"/>
              </w:rPr>
            </w:pPr>
            <w:r w:rsidRPr="002A54AF">
              <w:rPr>
                <w:noProof/>
                <w:szCs w:val="22"/>
                <w:lang w:val="pt-PT"/>
              </w:rPr>
              <w:t>Doenças do metabolismo e da nutrição</w:t>
            </w:r>
          </w:p>
        </w:tc>
        <w:tc>
          <w:tcPr>
            <w:tcW w:w="1562" w:type="dxa"/>
          </w:tcPr>
          <w:p w14:paraId="244A0DBC" w14:textId="77777777" w:rsidR="00C4073A" w:rsidRPr="002A54AF" w:rsidRDefault="00C4073A" w:rsidP="00463242">
            <w:pPr>
              <w:rPr>
                <w:szCs w:val="22"/>
              </w:rPr>
            </w:pPr>
            <w:r w:rsidRPr="002A54AF">
              <w:rPr>
                <w:szCs w:val="22"/>
              </w:rPr>
              <w:t>edema periférico</w:t>
            </w:r>
          </w:p>
        </w:tc>
        <w:tc>
          <w:tcPr>
            <w:tcW w:w="1908" w:type="dxa"/>
          </w:tcPr>
          <w:p w14:paraId="47FDB16D" w14:textId="77777777" w:rsidR="00C4073A" w:rsidRPr="002A54AF" w:rsidRDefault="00C4073A" w:rsidP="00660A02">
            <w:pPr>
              <w:pStyle w:val="TableText"/>
              <w:rPr>
                <w:rFonts w:cs="Times New Roman"/>
                <w:sz w:val="22"/>
                <w:szCs w:val="22"/>
              </w:rPr>
            </w:pPr>
            <w:r w:rsidRPr="002A54AF">
              <w:rPr>
                <w:rStyle w:val="TableText12"/>
                <w:rFonts w:cs="Times New Roman"/>
                <w:sz w:val="22"/>
                <w:szCs w:val="22"/>
              </w:rPr>
              <w:t>hipoglicemia, hipocaliemia, hiponatremia</w:t>
            </w:r>
          </w:p>
        </w:tc>
        <w:tc>
          <w:tcPr>
            <w:tcW w:w="1860" w:type="dxa"/>
          </w:tcPr>
          <w:p w14:paraId="6A8C6B0D" w14:textId="77777777" w:rsidR="00C4073A" w:rsidRPr="002A54AF" w:rsidRDefault="00C4073A" w:rsidP="00AB600C">
            <w:pPr>
              <w:rPr>
                <w:szCs w:val="22"/>
              </w:rPr>
            </w:pPr>
          </w:p>
        </w:tc>
        <w:tc>
          <w:tcPr>
            <w:tcW w:w="1418" w:type="dxa"/>
          </w:tcPr>
          <w:p w14:paraId="27F3C45D" w14:textId="77777777" w:rsidR="00C4073A" w:rsidRPr="002A54AF" w:rsidRDefault="00C4073A" w:rsidP="00AB600C">
            <w:pPr>
              <w:rPr>
                <w:szCs w:val="22"/>
              </w:rPr>
            </w:pPr>
          </w:p>
        </w:tc>
        <w:tc>
          <w:tcPr>
            <w:tcW w:w="1492" w:type="dxa"/>
          </w:tcPr>
          <w:p w14:paraId="4DC0FA2D" w14:textId="77777777" w:rsidR="00C4073A" w:rsidRPr="002A54AF" w:rsidRDefault="00C4073A" w:rsidP="00AB600C">
            <w:pPr>
              <w:rPr>
                <w:szCs w:val="22"/>
              </w:rPr>
            </w:pPr>
          </w:p>
        </w:tc>
      </w:tr>
      <w:tr w:rsidR="00C4073A" w:rsidRPr="00376167" w14:paraId="1EBE5543" w14:textId="77777777" w:rsidTr="00DF1C0F">
        <w:trPr>
          <w:trHeight w:val="609"/>
        </w:trPr>
        <w:tc>
          <w:tcPr>
            <w:tcW w:w="1474" w:type="dxa"/>
          </w:tcPr>
          <w:p w14:paraId="6753C887" w14:textId="77777777" w:rsidR="00C4073A" w:rsidRPr="002A54AF" w:rsidRDefault="00C4073A" w:rsidP="00AB600C">
            <w:pPr>
              <w:rPr>
                <w:szCs w:val="22"/>
              </w:rPr>
            </w:pPr>
            <w:r w:rsidRPr="002A54AF">
              <w:rPr>
                <w:noProof/>
                <w:szCs w:val="22"/>
                <w:lang w:val="pt-PT"/>
              </w:rPr>
              <w:t>Perturbações do foro psiquiátrico</w:t>
            </w:r>
          </w:p>
        </w:tc>
        <w:tc>
          <w:tcPr>
            <w:tcW w:w="1562" w:type="dxa"/>
          </w:tcPr>
          <w:p w14:paraId="1440C67A" w14:textId="77777777" w:rsidR="00C4073A" w:rsidRPr="002A54AF" w:rsidRDefault="00C4073A" w:rsidP="00AB600C">
            <w:pPr>
              <w:rPr>
                <w:szCs w:val="22"/>
              </w:rPr>
            </w:pPr>
          </w:p>
        </w:tc>
        <w:tc>
          <w:tcPr>
            <w:tcW w:w="1908" w:type="dxa"/>
          </w:tcPr>
          <w:p w14:paraId="140AEB39" w14:textId="77777777" w:rsidR="00C4073A" w:rsidRPr="00CB39F3" w:rsidRDefault="00C4073A" w:rsidP="00C4073A">
            <w:pPr>
              <w:rPr>
                <w:szCs w:val="22"/>
                <w:lang w:val="pt-PT"/>
              </w:rPr>
            </w:pPr>
            <w:r w:rsidRPr="002A54AF">
              <w:rPr>
                <w:szCs w:val="22"/>
                <w:lang w:val="pt-PT"/>
              </w:rPr>
              <w:t>depressão, alucinações, ansiedade, insónias, agitação, estado confusional</w:t>
            </w:r>
          </w:p>
        </w:tc>
        <w:tc>
          <w:tcPr>
            <w:tcW w:w="1860" w:type="dxa"/>
          </w:tcPr>
          <w:p w14:paraId="01EEA654" w14:textId="77777777" w:rsidR="00C4073A" w:rsidRPr="00CB39F3" w:rsidRDefault="00C4073A" w:rsidP="00AB600C">
            <w:pPr>
              <w:rPr>
                <w:szCs w:val="22"/>
                <w:lang w:val="pt-PT"/>
              </w:rPr>
            </w:pPr>
          </w:p>
        </w:tc>
        <w:tc>
          <w:tcPr>
            <w:tcW w:w="1418" w:type="dxa"/>
          </w:tcPr>
          <w:p w14:paraId="3B6F95F8" w14:textId="77777777" w:rsidR="00C4073A" w:rsidRPr="00CB39F3" w:rsidRDefault="00C4073A" w:rsidP="00AB600C">
            <w:pPr>
              <w:rPr>
                <w:szCs w:val="22"/>
                <w:lang w:val="pt-PT"/>
              </w:rPr>
            </w:pPr>
          </w:p>
        </w:tc>
        <w:tc>
          <w:tcPr>
            <w:tcW w:w="1492" w:type="dxa"/>
          </w:tcPr>
          <w:p w14:paraId="42D92071" w14:textId="77777777" w:rsidR="00C4073A" w:rsidRPr="00CB39F3" w:rsidRDefault="00C4073A" w:rsidP="00AB600C">
            <w:pPr>
              <w:rPr>
                <w:szCs w:val="22"/>
                <w:lang w:val="pt-PT"/>
              </w:rPr>
            </w:pPr>
          </w:p>
        </w:tc>
      </w:tr>
      <w:tr w:rsidR="00C41EDC" w:rsidRPr="00376167" w14:paraId="342B7405" w14:textId="77777777" w:rsidTr="00DF1C0F">
        <w:trPr>
          <w:trHeight w:val="1000"/>
        </w:trPr>
        <w:tc>
          <w:tcPr>
            <w:tcW w:w="1474" w:type="dxa"/>
          </w:tcPr>
          <w:p w14:paraId="06D9A663" w14:textId="77777777" w:rsidR="00C41EDC" w:rsidRPr="002A54AF" w:rsidRDefault="00C41EDC" w:rsidP="00AB600C">
            <w:pPr>
              <w:rPr>
                <w:szCs w:val="22"/>
              </w:rPr>
            </w:pPr>
            <w:r w:rsidRPr="002A54AF">
              <w:rPr>
                <w:noProof/>
                <w:szCs w:val="22"/>
                <w:lang w:val="pt-PT"/>
              </w:rPr>
              <w:t>Doenças do sistema nervoso</w:t>
            </w:r>
          </w:p>
        </w:tc>
        <w:tc>
          <w:tcPr>
            <w:tcW w:w="1562" w:type="dxa"/>
          </w:tcPr>
          <w:p w14:paraId="66D0DC89" w14:textId="77777777" w:rsidR="00C41EDC" w:rsidRPr="002A54AF" w:rsidRDefault="00C41EDC" w:rsidP="00463242">
            <w:pPr>
              <w:rPr>
                <w:szCs w:val="22"/>
              </w:rPr>
            </w:pPr>
            <w:r w:rsidRPr="002A54AF">
              <w:rPr>
                <w:rStyle w:val="TableText12"/>
                <w:sz w:val="22"/>
                <w:szCs w:val="22"/>
              </w:rPr>
              <w:t>cefaleias</w:t>
            </w:r>
          </w:p>
        </w:tc>
        <w:tc>
          <w:tcPr>
            <w:tcW w:w="1908" w:type="dxa"/>
          </w:tcPr>
          <w:p w14:paraId="75A952ED" w14:textId="77777777" w:rsidR="00C41EDC" w:rsidRPr="00CB39F3" w:rsidRDefault="00C41EDC" w:rsidP="00C4073A">
            <w:pPr>
              <w:pStyle w:val="TableText"/>
              <w:rPr>
                <w:rFonts w:cs="Times New Roman"/>
                <w:sz w:val="22"/>
                <w:szCs w:val="22"/>
                <w:lang w:val="pt-PT"/>
              </w:rPr>
            </w:pPr>
            <w:r w:rsidRPr="002A54AF">
              <w:rPr>
                <w:rStyle w:val="TableText12"/>
                <w:rFonts w:cs="Times New Roman"/>
                <w:sz w:val="22"/>
                <w:szCs w:val="22"/>
                <w:lang w:val="pt-PT"/>
              </w:rPr>
              <w:t>convulsões, síncope, tremor, hipertonia</w:t>
            </w:r>
            <w:r w:rsidRPr="002A54AF">
              <w:rPr>
                <w:rStyle w:val="TableText12"/>
                <w:rFonts w:cs="Times New Roman"/>
                <w:sz w:val="22"/>
                <w:szCs w:val="22"/>
                <w:vertAlign w:val="superscript"/>
                <w:lang w:val="pt-PT"/>
              </w:rPr>
              <w:t>3</w:t>
            </w:r>
            <w:r w:rsidRPr="002A54AF">
              <w:rPr>
                <w:rStyle w:val="TableText12"/>
                <w:rFonts w:cs="Times New Roman"/>
                <w:sz w:val="22"/>
                <w:szCs w:val="22"/>
                <w:lang w:val="pt-PT"/>
              </w:rPr>
              <w:t>, parestesia, sonolência, tonturas</w:t>
            </w:r>
          </w:p>
        </w:tc>
        <w:tc>
          <w:tcPr>
            <w:tcW w:w="1860" w:type="dxa"/>
          </w:tcPr>
          <w:p w14:paraId="7BDF4229" w14:textId="77777777" w:rsidR="00C41EDC" w:rsidRPr="00CB39F3" w:rsidRDefault="00C41EDC" w:rsidP="00C41EDC">
            <w:pPr>
              <w:pStyle w:val="TableText"/>
              <w:rPr>
                <w:rFonts w:cs="Times New Roman"/>
                <w:sz w:val="22"/>
                <w:szCs w:val="22"/>
                <w:lang w:val="pt-PT"/>
              </w:rPr>
            </w:pPr>
            <w:r w:rsidRPr="002A54AF">
              <w:rPr>
                <w:rStyle w:val="TableText12"/>
                <w:rFonts w:cs="Times New Roman"/>
                <w:sz w:val="22"/>
                <w:szCs w:val="22"/>
                <w:lang w:val="pt-PT"/>
              </w:rPr>
              <w:t>edema cerebral, encefalopatia</w:t>
            </w:r>
            <w:r w:rsidRPr="002A54AF">
              <w:rPr>
                <w:rStyle w:val="TableText12"/>
                <w:rFonts w:cs="Times New Roman"/>
                <w:sz w:val="22"/>
                <w:szCs w:val="22"/>
                <w:vertAlign w:val="superscript"/>
                <w:lang w:val="pt-PT"/>
              </w:rPr>
              <w:t>4</w:t>
            </w:r>
            <w:r w:rsidRPr="002A54AF">
              <w:rPr>
                <w:rStyle w:val="TableText12"/>
                <w:rFonts w:cs="Times New Roman"/>
                <w:sz w:val="22"/>
                <w:szCs w:val="22"/>
                <w:lang w:val="pt-PT"/>
              </w:rPr>
              <w:t>, doença extrapiramidal</w:t>
            </w:r>
            <w:r w:rsidRPr="00CB39F3">
              <w:rPr>
                <w:rStyle w:val="TableText12"/>
                <w:rFonts w:cs="Times New Roman"/>
                <w:sz w:val="22"/>
                <w:szCs w:val="22"/>
                <w:vertAlign w:val="superscript"/>
                <w:lang w:val="pt-PT"/>
              </w:rPr>
              <w:t>5</w:t>
            </w:r>
            <w:r w:rsidRPr="00CB39F3">
              <w:rPr>
                <w:rStyle w:val="TableText12"/>
                <w:rFonts w:cs="Times New Roman"/>
                <w:sz w:val="22"/>
                <w:szCs w:val="22"/>
                <w:lang w:val="pt-PT"/>
              </w:rPr>
              <w:t xml:space="preserve">, </w:t>
            </w:r>
            <w:r w:rsidRPr="002A54AF">
              <w:rPr>
                <w:rStyle w:val="TableText12"/>
                <w:rFonts w:cs="Times New Roman"/>
                <w:sz w:val="22"/>
                <w:szCs w:val="22"/>
                <w:lang w:val="pt-PT"/>
              </w:rPr>
              <w:t>neuropatia periférica, ataxia, hipoestesia, disgeusia</w:t>
            </w:r>
          </w:p>
        </w:tc>
        <w:tc>
          <w:tcPr>
            <w:tcW w:w="1418" w:type="dxa"/>
          </w:tcPr>
          <w:p w14:paraId="3EFA06AC" w14:textId="77777777" w:rsidR="00C41EDC" w:rsidRPr="00CB39F3" w:rsidRDefault="00C41EDC" w:rsidP="00463242">
            <w:pPr>
              <w:pStyle w:val="TableText"/>
              <w:rPr>
                <w:rFonts w:cs="Times New Roman"/>
                <w:sz w:val="22"/>
                <w:szCs w:val="22"/>
                <w:lang w:val="pt-PT"/>
              </w:rPr>
            </w:pPr>
            <w:r w:rsidRPr="002A54AF">
              <w:rPr>
                <w:rStyle w:val="TableText12"/>
                <w:rFonts w:cs="Times New Roman"/>
                <w:sz w:val="22"/>
                <w:szCs w:val="22"/>
                <w:lang w:val="pt-PT"/>
              </w:rPr>
              <w:t>encefalopatia hepática, síndrome Guillain-Barre, nistagmo</w:t>
            </w:r>
          </w:p>
        </w:tc>
        <w:tc>
          <w:tcPr>
            <w:tcW w:w="1492" w:type="dxa"/>
          </w:tcPr>
          <w:p w14:paraId="18DEBDFE" w14:textId="77777777" w:rsidR="00C41EDC" w:rsidRPr="00CB39F3" w:rsidRDefault="00C41EDC" w:rsidP="00AB600C">
            <w:pPr>
              <w:rPr>
                <w:szCs w:val="22"/>
                <w:lang w:val="pt-PT"/>
              </w:rPr>
            </w:pPr>
          </w:p>
        </w:tc>
      </w:tr>
      <w:tr w:rsidR="00C41EDC" w:rsidRPr="00376167" w14:paraId="4AE35028" w14:textId="77777777" w:rsidTr="00DF1C0F">
        <w:trPr>
          <w:trHeight w:val="1000"/>
        </w:trPr>
        <w:tc>
          <w:tcPr>
            <w:tcW w:w="1474" w:type="dxa"/>
          </w:tcPr>
          <w:p w14:paraId="020EA6E2" w14:textId="77777777" w:rsidR="00C41EDC" w:rsidRPr="002A54AF" w:rsidRDefault="00C41EDC" w:rsidP="00D40E2F">
            <w:pPr>
              <w:rPr>
                <w:szCs w:val="22"/>
              </w:rPr>
            </w:pPr>
            <w:r w:rsidRPr="002A54AF">
              <w:rPr>
                <w:noProof/>
                <w:szCs w:val="22"/>
                <w:lang w:val="pt-PT"/>
              </w:rPr>
              <w:t>Afeções oculares</w:t>
            </w:r>
          </w:p>
        </w:tc>
        <w:tc>
          <w:tcPr>
            <w:tcW w:w="1562" w:type="dxa"/>
          </w:tcPr>
          <w:p w14:paraId="0724CF06" w14:textId="77777777" w:rsidR="00C41EDC" w:rsidRPr="002A54AF" w:rsidRDefault="00C41EDC" w:rsidP="00C41EDC">
            <w:pPr>
              <w:rPr>
                <w:szCs w:val="22"/>
                <w:vertAlign w:val="superscript"/>
              </w:rPr>
            </w:pPr>
            <w:r w:rsidRPr="002A54AF">
              <w:rPr>
                <w:rStyle w:val="TableText12"/>
                <w:sz w:val="22"/>
                <w:szCs w:val="22"/>
              </w:rPr>
              <w:t>compromisso visual</w:t>
            </w:r>
            <w:r w:rsidRPr="002A54AF">
              <w:rPr>
                <w:rStyle w:val="TableText12"/>
                <w:sz w:val="22"/>
                <w:szCs w:val="22"/>
                <w:vertAlign w:val="superscript"/>
              </w:rPr>
              <w:t>6</w:t>
            </w:r>
          </w:p>
        </w:tc>
        <w:tc>
          <w:tcPr>
            <w:tcW w:w="1908" w:type="dxa"/>
          </w:tcPr>
          <w:p w14:paraId="2A26BF06" w14:textId="77777777" w:rsidR="00C41EDC" w:rsidRPr="002A54AF" w:rsidRDefault="00C41EDC" w:rsidP="00C4073A">
            <w:pPr>
              <w:rPr>
                <w:szCs w:val="22"/>
              </w:rPr>
            </w:pPr>
            <w:r w:rsidRPr="002A54AF">
              <w:rPr>
                <w:rStyle w:val="TableText12"/>
                <w:sz w:val="22"/>
                <w:szCs w:val="22"/>
              </w:rPr>
              <w:t>hemorragia da retina</w:t>
            </w:r>
          </w:p>
        </w:tc>
        <w:tc>
          <w:tcPr>
            <w:tcW w:w="1860" w:type="dxa"/>
          </w:tcPr>
          <w:p w14:paraId="2B7B093C" w14:textId="77777777" w:rsidR="00C41EDC" w:rsidRPr="00CB39F3" w:rsidRDefault="00C41EDC" w:rsidP="00C41EDC">
            <w:pPr>
              <w:pStyle w:val="TableText"/>
              <w:rPr>
                <w:rFonts w:cs="Times New Roman"/>
                <w:sz w:val="22"/>
                <w:szCs w:val="22"/>
                <w:lang w:val="pt-PT"/>
              </w:rPr>
            </w:pPr>
            <w:r w:rsidRPr="002A54AF">
              <w:rPr>
                <w:rStyle w:val="TableText12"/>
                <w:rFonts w:cs="Times New Roman"/>
                <w:sz w:val="22"/>
                <w:szCs w:val="22"/>
                <w:lang w:val="pt-PT"/>
              </w:rPr>
              <w:t>alterações do nervo ótico</w:t>
            </w:r>
            <w:r w:rsidRPr="002A54AF">
              <w:rPr>
                <w:rStyle w:val="TableText12"/>
                <w:rFonts w:cs="Times New Roman"/>
                <w:sz w:val="22"/>
                <w:szCs w:val="22"/>
                <w:vertAlign w:val="superscript"/>
                <w:lang w:val="pt-PT"/>
              </w:rPr>
              <w:t>7</w:t>
            </w:r>
            <w:r w:rsidRPr="002A54AF">
              <w:rPr>
                <w:rStyle w:val="TableText12"/>
                <w:rFonts w:cs="Times New Roman"/>
                <w:sz w:val="22"/>
                <w:szCs w:val="22"/>
                <w:lang w:val="pt-PT"/>
              </w:rPr>
              <w:t>, papiloedema</w:t>
            </w:r>
            <w:r w:rsidRPr="002A54AF">
              <w:rPr>
                <w:rStyle w:val="TableText12"/>
                <w:rFonts w:cs="Times New Roman"/>
                <w:sz w:val="22"/>
                <w:szCs w:val="22"/>
                <w:vertAlign w:val="superscript"/>
                <w:lang w:val="pt-PT"/>
              </w:rPr>
              <w:t>8</w:t>
            </w:r>
            <w:r w:rsidRPr="002A54AF">
              <w:rPr>
                <w:rStyle w:val="TableText12"/>
                <w:rFonts w:cs="Times New Roman"/>
                <w:sz w:val="22"/>
                <w:szCs w:val="22"/>
                <w:lang w:val="pt-PT"/>
              </w:rPr>
              <w:t>, crise oculógira, diplopia, esclerite, blefarite</w:t>
            </w:r>
          </w:p>
        </w:tc>
        <w:tc>
          <w:tcPr>
            <w:tcW w:w="1418" w:type="dxa"/>
          </w:tcPr>
          <w:p w14:paraId="2A1E1901" w14:textId="77777777" w:rsidR="00C41EDC" w:rsidRPr="00CB39F3" w:rsidRDefault="00C41EDC" w:rsidP="00C41EDC">
            <w:pPr>
              <w:pStyle w:val="TableText"/>
              <w:rPr>
                <w:rFonts w:cs="Times New Roman"/>
                <w:sz w:val="22"/>
                <w:szCs w:val="22"/>
                <w:lang w:val="pt-PT"/>
              </w:rPr>
            </w:pPr>
            <w:r w:rsidRPr="002A54AF">
              <w:rPr>
                <w:rStyle w:val="TableText12"/>
                <w:rFonts w:cs="Times New Roman"/>
                <w:sz w:val="22"/>
                <w:szCs w:val="22"/>
                <w:lang w:val="pt-PT"/>
              </w:rPr>
              <w:t>atrofia ótica, opacidade da córnea</w:t>
            </w:r>
          </w:p>
        </w:tc>
        <w:tc>
          <w:tcPr>
            <w:tcW w:w="1492" w:type="dxa"/>
          </w:tcPr>
          <w:p w14:paraId="5FB20128" w14:textId="77777777" w:rsidR="00C41EDC" w:rsidRPr="00CB39F3" w:rsidRDefault="00C41EDC" w:rsidP="00AB600C">
            <w:pPr>
              <w:rPr>
                <w:szCs w:val="22"/>
                <w:lang w:val="pt-PT"/>
              </w:rPr>
            </w:pPr>
          </w:p>
        </w:tc>
      </w:tr>
      <w:tr w:rsidR="00C41EDC" w:rsidRPr="002A54AF" w14:paraId="527FFB07" w14:textId="77777777" w:rsidTr="00DF1C0F">
        <w:trPr>
          <w:trHeight w:val="1000"/>
        </w:trPr>
        <w:tc>
          <w:tcPr>
            <w:tcW w:w="1474" w:type="dxa"/>
          </w:tcPr>
          <w:p w14:paraId="0D86F0FE" w14:textId="77777777" w:rsidR="00C41EDC" w:rsidRPr="00CB39F3" w:rsidRDefault="00C41EDC" w:rsidP="00AB600C">
            <w:pPr>
              <w:rPr>
                <w:szCs w:val="22"/>
                <w:lang w:val="pt-PT"/>
              </w:rPr>
            </w:pPr>
            <w:r w:rsidRPr="002A54AF">
              <w:rPr>
                <w:noProof/>
                <w:szCs w:val="22"/>
                <w:lang w:val="pt-PT"/>
              </w:rPr>
              <w:t>Afeções do ouvido e do labirinto</w:t>
            </w:r>
          </w:p>
        </w:tc>
        <w:tc>
          <w:tcPr>
            <w:tcW w:w="1562" w:type="dxa"/>
          </w:tcPr>
          <w:p w14:paraId="0CD7E751" w14:textId="77777777" w:rsidR="00C41EDC" w:rsidRPr="00CB39F3" w:rsidRDefault="00C41EDC" w:rsidP="00AB600C">
            <w:pPr>
              <w:rPr>
                <w:szCs w:val="22"/>
                <w:lang w:val="pt-PT"/>
              </w:rPr>
            </w:pPr>
          </w:p>
        </w:tc>
        <w:tc>
          <w:tcPr>
            <w:tcW w:w="1908" w:type="dxa"/>
          </w:tcPr>
          <w:p w14:paraId="51D1B3E4" w14:textId="77777777" w:rsidR="00C41EDC" w:rsidRPr="00CB39F3" w:rsidRDefault="00C41EDC" w:rsidP="00AB600C">
            <w:pPr>
              <w:rPr>
                <w:szCs w:val="22"/>
                <w:lang w:val="pt-PT"/>
              </w:rPr>
            </w:pPr>
          </w:p>
        </w:tc>
        <w:tc>
          <w:tcPr>
            <w:tcW w:w="1860" w:type="dxa"/>
          </w:tcPr>
          <w:p w14:paraId="74EF04C5" w14:textId="77777777" w:rsidR="00C41EDC" w:rsidRPr="002A54AF" w:rsidRDefault="00C41EDC" w:rsidP="00C41EDC">
            <w:pPr>
              <w:rPr>
                <w:szCs w:val="22"/>
              </w:rPr>
            </w:pPr>
            <w:r w:rsidRPr="002A54AF">
              <w:rPr>
                <w:szCs w:val="22"/>
              </w:rPr>
              <w:t>hipoacusia, vertigens, acufeno</w:t>
            </w:r>
          </w:p>
        </w:tc>
        <w:tc>
          <w:tcPr>
            <w:tcW w:w="1418" w:type="dxa"/>
          </w:tcPr>
          <w:p w14:paraId="1096FCB2" w14:textId="77777777" w:rsidR="00C41EDC" w:rsidRPr="002A54AF" w:rsidRDefault="00C41EDC" w:rsidP="00AB600C">
            <w:pPr>
              <w:rPr>
                <w:szCs w:val="22"/>
              </w:rPr>
            </w:pPr>
          </w:p>
        </w:tc>
        <w:tc>
          <w:tcPr>
            <w:tcW w:w="1492" w:type="dxa"/>
          </w:tcPr>
          <w:p w14:paraId="0B68E759" w14:textId="77777777" w:rsidR="00C41EDC" w:rsidRPr="002A54AF" w:rsidRDefault="00C41EDC" w:rsidP="00AB600C">
            <w:pPr>
              <w:rPr>
                <w:szCs w:val="22"/>
              </w:rPr>
            </w:pPr>
          </w:p>
        </w:tc>
      </w:tr>
      <w:tr w:rsidR="00C41EDC" w:rsidRPr="00376167" w14:paraId="60C0843B" w14:textId="77777777" w:rsidTr="00DF1C0F">
        <w:trPr>
          <w:trHeight w:val="1000"/>
        </w:trPr>
        <w:tc>
          <w:tcPr>
            <w:tcW w:w="1474" w:type="dxa"/>
          </w:tcPr>
          <w:p w14:paraId="12CE1024" w14:textId="77777777" w:rsidR="00C41EDC" w:rsidRPr="002A54AF" w:rsidRDefault="00C41EDC" w:rsidP="00AB600C">
            <w:pPr>
              <w:keepNext/>
              <w:keepLines/>
              <w:rPr>
                <w:szCs w:val="22"/>
              </w:rPr>
            </w:pPr>
            <w:r w:rsidRPr="002A54AF">
              <w:rPr>
                <w:noProof/>
                <w:szCs w:val="22"/>
                <w:lang w:val="pt-PT"/>
              </w:rPr>
              <w:lastRenderedPageBreak/>
              <w:t>Cardiopatias</w:t>
            </w:r>
          </w:p>
        </w:tc>
        <w:tc>
          <w:tcPr>
            <w:tcW w:w="1562" w:type="dxa"/>
          </w:tcPr>
          <w:p w14:paraId="064DEB54" w14:textId="77777777" w:rsidR="00C41EDC" w:rsidRPr="002A54AF" w:rsidRDefault="00C41EDC" w:rsidP="00AB600C">
            <w:pPr>
              <w:keepNext/>
              <w:keepLines/>
              <w:rPr>
                <w:szCs w:val="22"/>
              </w:rPr>
            </w:pPr>
          </w:p>
        </w:tc>
        <w:tc>
          <w:tcPr>
            <w:tcW w:w="1908" w:type="dxa"/>
          </w:tcPr>
          <w:p w14:paraId="7649BC78" w14:textId="77777777" w:rsidR="00C41EDC" w:rsidRPr="002A54AF" w:rsidRDefault="00C41EDC" w:rsidP="00AB600C">
            <w:pPr>
              <w:pStyle w:val="TableText"/>
              <w:keepNext/>
              <w:keepLines/>
              <w:rPr>
                <w:rStyle w:val="TableText12"/>
                <w:rFonts w:cs="Times New Roman"/>
                <w:sz w:val="22"/>
                <w:szCs w:val="22"/>
              </w:rPr>
            </w:pPr>
            <w:r w:rsidRPr="002A54AF">
              <w:rPr>
                <w:rStyle w:val="TableText12"/>
                <w:rFonts w:cs="Times New Roman"/>
                <w:sz w:val="22"/>
                <w:szCs w:val="22"/>
              </w:rPr>
              <w:t>arritmia supraventricular, taquicardia, bradicardia</w:t>
            </w:r>
          </w:p>
          <w:p w14:paraId="05D04853" w14:textId="77777777" w:rsidR="00C41EDC" w:rsidRPr="002A54AF" w:rsidRDefault="00C41EDC" w:rsidP="00AB600C">
            <w:pPr>
              <w:keepNext/>
              <w:keepLines/>
              <w:rPr>
                <w:szCs w:val="22"/>
              </w:rPr>
            </w:pPr>
          </w:p>
        </w:tc>
        <w:tc>
          <w:tcPr>
            <w:tcW w:w="1860" w:type="dxa"/>
          </w:tcPr>
          <w:p w14:paraId="22734E07" w14:textId="77777777" w:rsidR="00C41EDC" w:rsidRPr="00CB39F3" w:rsidRDefault="00C41EDC" w:rsidP="00C41EDC">
            <w:pPr>
              <w:pStyle w:val="TableText"/>
              <w:keepNext/>
              <w:keepLines/>
              <w:rPr>
                <w:rFonts w:cs="Times New Roman"/>
                <w:sz w:val="22"/>
                <w:szCs w:val="22"/>
                <w:lang w:val="pt-PT"/>
              </w:rPr>
            </w:pPr>
            <w:r w:rsidRPr="002A54AF">
              <w:rPr>
                <w:rStyle w:val="TableText12"/>
                <w:rFonts w:cs="Times New Roman"/>
                <w:sz w:val="22"/>
                <w:szCs w:val="22"/>
                <w:lang w:val="pt-PT"/>
              </w:rPr>
              <w:t xml:space="preserve">fibrilhação ventricular, </w:t>
            </w:r>
            <w:r w:rsidRPr="002A54AF">
              <w:rPr>
                <w:rFonts w:cs="Times New Roman"/>
                <w:sz w:val="22"/>
                <w:szCs w:val="22"/>
                <w:lang w:val="pt-PT"/>
              </w:rPr>
              <w:t>extrassístoles ventriculares</w:t>
            </w:r>
            <w:r w:rsidRPr="002A54AF">
              <w:rPr>
                <w:rStyle w:val="TableText12"/>
                <w:rFonts w:cs="Times New Roman"/>
                <w:sz w:val="22"/>
                <w:szCs w:val="22"/>
                <w:lang w:val="pt-PT"/>
              </w:rPr>
              <w:t xml:space="preserve">, </w:t>
            </w:r>
            <w:r w:rsidRPr="002A54AF">
              <w:rPr>
                <w:rFonts w:cs="Times New Roman"/>
                <w:sz w:val="22"/>
                <w:szCs w:val="22"/>
                <w:lang w:val="pt-PT"/>
              </w:rPr>
              <w:t>taquicardia ventricular</w:t>
            </w:r>
            <w:r w:rsidRPr="002A54AF">
              <w:rPr>
                <w:rStyle w:val="TableText12"/>
                <w:rFonts w:cs="Times New Roman"/>
                <w:sz w:val="22"/>
                <w:szCs w:val="22"/>
                <w:lang w:val="pt-PT"/>
              </w:rPr>
              <w:t>, prolongamento de QT no eletrocardiograma, taquicardia supraventricular</w:t>
            </w:r>
          </w:p>
        </w:tc>
        <w:tc>
          <w:tcPr>
            <w:tcW w:w="1418" w:type="dxa"/>
          </w:tcPr>
          <w:p w14:paraId="3C852D06" w14:textId="77777777" w:rsidR="00C41EDC" w:rsidRPr="00CB39F3" w:rsidRDefault="00C41EDC" w:rsidP="00C41EDC">
            <w:pPr>
              <w:pStyle w:val="TableText"/>
              <w:keepNext/>
              <w:keepLines/>
              <w:rPr>
                <w:rFonts w:cs="Times New Roman"/>
                <w:sz w:val="22"/>
                <w:szCs w:val="22"/>
                <w:lang w:val="pt-PT"/>
              </w:rPr>
            </w:pPr>
            <w:r w:rsidRPr="00CB39F3">
              <w:rPr>
                <w:rStyle w:val="TableText12"/>
                <w:rFonts w:cs="Times New Roman"/>
                <w:sz w:val="22"/>
                <w:szCs w:val="22"/>
                <w:lang w:val="pt-PT"/>
              </w:rPr>
              <w:t>torsades de pointes, bloqueio auriculoventricular completo, bloqueio de ramo, ritmo nodal</w:t>
            </w:r>
          </w:p>
        </w:tc>
        <w:tc>
          <w:tcPr>
            <w:tcW w:w="1492" w:type="dxa"/>
          </w:tcPr>
          <w:p w14:paraId="5C1D07C9" w14:textId="77777777" w:rsidR="00C41EDC" w:rsidRPr="002A54AF" w:rsidRDefault="00C41EDC" w:rsidP="00AB600C">
            <w:pPr>
              <w:rPr>
                <w:szCs w:val="22"/>
                <w:lang w:val="pt-PT"/>
              </w:rPr>
            </w:pPr>
          </w:p>
        </w:tc>
      </w:tr>
      <w:tr w:rsidR="00C41EDC" w:rsidRPr="002A54AF" w14:paraId="53BA4311" w14:textId="77777777" w:rsidTr="00DF1C0F">
        <w:trPr>
          <w:trHeight w:val="1000"/>
        </w:trPr>
        <w:tc>
          <w:tcPr>
            <w:tcW w:w="1474" w:type="dxa"/>
          </w:tcPr>
          <w:p w14:paraId="549DBFF2" w14:textId="77777777" w:rsidR="00C41EDC" w:rsidRPr="002A54AF" w:rsidRDefault="00C41EDC" w:rsidP="00AB600C">
            <w:pPr>
              <w:rPr>
                <w:szCs w:val="22"/>
              </w:rPr>
            </w:pPr>
            <w:r w:rsidRPr="002A54AF">
              <w:rPr>
                <w:noProof/>
                <w:szCs w:val="22"/>
                <w:lang w:val="pt-PT"/>
              </w:rPr>
              <w:t>Vasculopatias</w:t>
            </w:r>
          </w:p>
        </w:tc>
        <w:tc>
          <w:tcPr>
            <w:tcW w:w="1562" w:type="dxa"/>
          </w:tcPr>
          <w:p w14:paraId="42D99210" w14:textId="77777777" w:rsidR="00C41EDC" w:rsidRPr="002A54AF" w:rsidRDefault="00C41EDC" w:rsidP="00AB600C">
            <w:pPr>
              <w:rPr>
                <w:szCs w:val="22"/>
              </w:rPr>
            </w:pPr>
          </w:p>
        </w:tc>
        <w:tc>
          <w:tcPr>
            <w:tcW w:w="1908" w:type="dxa"/>
          </w:tcPr>
          <w:p w14:paraId="2FC53FEA" w14:textId="77777777" w:rsidR="00C41EDC" w:rsidRPr="002A54AF" w:rsidRDefault="00C41EDC" w:rsidP="00C41EDC">
            <w:pPr>
              <w:pStyle w:val="TableText"/>
              <w:rPr>
                <w:rFonts w:cs="Times New Roman"/>
                <w:sz w:val="22"/>
                <w:szCs w:val="22"/>
              </w:rPr>
            </w:pPr>
            <w:r w:rsidRPr="002A54AF">
              <w:rPr>
                <w:rStyle w:val="TableText12"/>
                <w:rFonts w:cs="Times New Roman"/>
                <w:sz w:val="22"/>
                <w:szCs w:val="22"/>
              </w:rPr>
              <w:t>hipotensão, flebite</w:t>
            </w:r>
          </w:p>
        </w:tc>
        <w:tc>
          <w:tcPr>
            <w:tcW w:w="1860" w:type="dxa"/>
          </w:tcPr>
          <w:p w14:paraId="3D31AE27" w14:textId="77777777" w:rsidR="00C41EDC" w:rsidRPr="002A54AF" w:rsidRDefault="00C41EDC" w:rsidP="00C41EDC">
            <w:pPr>
              <w:pStyle w:val="TableText"/>
              <w:rPr>
                <w:rFonts w:cs="Times New Roman"/>
                <w:sz w:val="22"/>
                <w:szCs w:val="22"/>
              </w:rPr>
            </w:pPr>
            <w:r w:rsidRPr="002A54AF">
              <w:rPr>
                <w:rStyle w:val="TableText12"/>
                <w:rFonts w:cs="Times New Roman"/>
                <w:sz w:val="22"/>
                <w:szCs w:val="22"/>
              </w:rPr>
              <w:t>tromboflebite, linfangite</w:t>
            </w:r>
          </w:p>
        </w:tc>
        <w:tc>
          <w:tcPr>
            <w:tcW w:w="1418" w:type="dxa"/>
          </w:tcPr>
          <w:p w14:paraId="35F2E636" w14:textId="77777777" w:rsidR="00C41EDC" w:rsidRPr="002A54AF" w:rsidRDefault="00C41EDC" w:rsidP="00AB600C">
            <w:pPr>
              <w:rPr>
                <w:szCs w:val="22"/>
              </w:rPr>
            </w:pPr>
          </w:p>
        </w:tc>
        <w:tc>
          <w:tcPr>
            <w:tcW w:w="1492" w:type="dxa"/>
          </w:tcPr>
          <w:p w14:paraId="42766981" w14:textId="77777777" w:rsidR="00C41EDC" w:rsidRPr="002A54AF" w:rsidRDefault="00C41EDC" w:rsidP="00AB600C">
            <w:pPr>
              <w:rPr>
                <w:szCs w:val="22"/>
              </w:rPr>
            </w:pPr>
          </w:p>
        </w:tc>
      </w:tr>
      <w:tr w:rsidR="0023175E" w:rsidRPr="00376167" w14:paraId="550E42A6" w14:textId="77777777" w:rsidTr="00DF1C0F">
        <w:trPr>
          <w:trHeight w:val="1000"/>
        </w:trPr>
        <w:tc>
          <w:tcPr>
            <w:tcW w:w="1474" w:type="dxa"/>
          </w:tcPr>
          <w:p w14:paraId="2BABCEC6" w14:textId="77777777" w:rsidR="0023175E" w:rsidRPr="00CB39F3" w:rsidRDefault="0023175E" w:rsidP="00AB600C">
            <w:pPr>
              <w:rPr>
                <w:szCs w:val="22"/>
                <w:lang w:val="pt-PT"/>
              </w:rPr>
            </w:pPr>
            <w:r w:rsidRPr="002A54AF">
              <w:rPr>
                <w:noProof/>
                <w:szCs w:val="22"/>
                <w:lang w:val="pt-PT"/>
              </w:rPr>
              <w:t>Doenças respiratórias, torácicas e do mediastino</w:t>
            </w:r>
          </w:p>
        </w:tc>
        <w:tc>
          <w:tcPr>
            <w:tcW w:w="1562" w:type="dxa"/>
          </w:tcPr>
          <w:p w14:paraId="79285579" w14:textId="77777777" w:rsidR="0023175E" w:rsidRPr="002A54AF" w:rsidRDefault="0023175E" w:rsidP="0023175E">
            <w:pPr>
              <w:rPr>
                <w:szCs w:val="22"/>
                <w:vertAlign w:val="superscript"/>
              </w:rPr>
            </w:pPr>
            <w:r w:rsidRPr="002A54AF">
              <w:rPr>
                <w:rStyle w:val="TableText12"/>
                <w:sz w:val="22"/>
                <w:szCs w:val="22"/>
              </w:rPr>
              <w:t>dificuldade respiratória</w:t>
            </w:r>
            <w:r w:rsidRPr="002A54AF">
              <w:rPr>
                <w:rStyle w:val="TableText12"/>
                <w:sz w:val="22"/>
                <w:szCs w:val="22"/>
                <w:vertAlign w:val="superscript"/>
              </w:rPr>
              <w:t>9</w:t>
            </w:r>
          </w:p>
        </w:tc>
        <w:tc>
          <w:tcPr>
            <w:tcW w:w="1908" w:type="dxa"/>
          </w:tcPr>
          <w:p w14:paraId="1B63F11B" w14:textId="77777777" w:rsidR="0023175E" w:rsidRPr="00CB39F3" w:rsidRDefault="0023175E" w:rsidP="00AB600C">
            <w:pPr>
              <w:pStyle w:val="TableText"/>
              <w:rPr>
                <w:rFonts w:cs="Times New Roman"/>
                <w:sz w:val="22"/>
                <w:szCs w:val="22"/>
                <w:lang w:val="pt-PT"/>
              </w:rPr>
            </w:pPr>
            <w:r w:rsidRPr="002A54AF">
              <w:rPr>
                <w:rFonts w:cs="Times New Roman"/>
                <w:sz w:val="22"/>
                <w:szCs w:val="22"/>
                <w:lang w:val="pt-PT"/>
              </w:rPr>
              <w:t>síndrome de dificuldade respiratória aguda, edema pulmonar</w:t>
            </w:r>
          </w:p>
        </w:tc>
        <w:tc>
          <w:tcPr>
            <w:tcW w:w="1860" w:type="dxa"/>
          </w:tcPr>
          <w:p w14:paraId="64254CE2" w14:textId="77777777" w:rsidR="0023175E" w:rsidRPr="00CB39F3" w:rsidRDefault="0023175E" w:rsidP="00AB600C">
            <w:pPr>
              <w:rPr>
                <w:szCs w:val="22"/>
                <w:lang w:val="pt-PT"/>
              </w:rPr>
            </w:pPr>
          </w:p>
        </w:tc>
        <w:tc>
          <w:tcPr>
            <w:tcW w:w="1418" w:type="dxa"/>
          </w:tcPr>
          <w:p w14:paraId="06035D29" w14:textId="77777777" w:rsidR="0023175E" w:rsidRPr="00CB39F3" w:rsidRDefault="0023175E" w:rsidP="00AB600C">
            <w:pPr>
              <w:rPr>
                <w:szCs w:val="22"/>
                <w:lang w:val="pt-PT"/>
              </w:rPr>
            </w:pPr>
          </w:p>
        </w:tc>
        <w:tc>
          <w:tcPr>
            <w:tcW w:w="1492" w:type="dxa"/>
          </w:tcPr>
          <w:p w14:paraId="4A19A651" w14:textId="77777777" w:rsidR="0023175E" w:rsidRPr="00CB39F3" w:rsidRDefault="0023175E" w:rsidP="00AB600C">
            <w:pPr>
              <w:rPr>
                <w:szCs w:val="22"/>
                <w:lang w:val="pt-PT"/>
              </w:rPr>
            </w:pPr>
          </w:p>
        </w:tc>
      </w:tr>
      <w:tr w:rsidR="0023175E" w:rsidRPr="00376167" w14:paraId="0B4BA7D5" w14:textId="77777777" w:rsidTr="00DF1C0F">
        <w:trPr>
          <w:trHeight w:val="1000"/>
        </w:trPr>
        <w:tc>
          <w:tcPr>
            <w:tcW w:w="1474" w:type="dxa"/>
          </w:tcPr>
          <w:p w14:paraId="1F1FB040" w14:textId="77777777" w:rsidR="0023175E" w:rsidRPr="002A54AF" w:rsidRDefault="0023175E" w:rsidP="00AB600C">
            <w:pPr>
              <w:rPr>
                <w:szCs w:val="22"/>
              </w:rPr>
            </w:pPr>
            <w:r w:rsidRPr="002A54AF">
              <w:rPr>
                <w:noProof/>
                <w:szCs w:val="22"/>
                <w:lang w:val="pt-PT"/>
              </w:rPr>
              <w:t>Doenças gastrointestinais</w:t>
            </w:r>
          </w:p>
        </w:tc>
        <w:tc>
          <w:tcPr>
            <w:tcW w:w="1562" w:type="dxa"/>
          </w:tcPr>
          <w:p w14:paraId="1DB947D7" w14:textId="77777777" w:rsidR="0023175E" w:rsidRPr="00CB39F3" w:rsidRDefault="0023175E" w:rsidP="0023175E">
            <w:pPr>
              <w:pStyle w:val="TableText"/>
              <w:rPr>
                <w:rFonts w:cs="Times New Roman"/>
                <w:sz w:val="22"/>
                <w:szCs w:val="22"/>
                <w:lang w:val="pt-PT"/>
              </w:rPr>
            </w:pPr>
            <w:r w:rsidRPr="00CB39F3">
              <w:rPr>
                <w:rStyle w:val="TableText12"/>
                <w:rFonts w:cs="Times New Roman"/>
                <w:sz w:val="22"/>
                <w:szCs w:val="22"/>
                <w:lang w:val="pt-PT"/>
              </w:rPr>
              <w:t>diarreia, vómitos, dor abdominal, náuseas</w:t>
            </w:r>
          </w:p>
        </w:tc>
        <w:tc>
          <w:tcPr>
            <w:tcW w:w="1908" w:type="dxa"/>
          </w:tcPr>
          <w:p w14:paraId="6805CC9C" w14:textId="77777777" w:rsidR="0023175E" w:rsidRPr="002A54AF" w:rsidRDefault="0023175E" w:rsidP="0023175E">
            <w:pPr>
              <w:pStyle w:val="TableText"/>
              <w:rPr>
                <w:rFonts w:cs="Times New Roman"/>
                <w:sz w:val="22"/>
                <w:szCs w:val="22"/>
              </w:rPr>
            </w:pPr>
            <w:r w:rsidRPr="002A54AF">
              <w:rPr>
                <w:rStyle w:val="TableText12"/>
                <w:rFonts w:cs="Times New Roman"/>
                <w:sz w:val="22"/>
                <w:szCs w:val="22"/>
              </w:rPr>
              <w:t>queilite, dispepsia, obstipação, gengivite</w:t>
            </w:r>
          </w:p>
        </w:tc>
        <w:tc>
          <w:tcPr>
            <w:tcW w:w="1860" w:type="dxa"/>
          </w:tcPr>
          <w:p w14:paraId="41875DC7" w14:textId="77777777" w:rsidR="0023175E" w:rsidRPr="00CB39F3" w:rsidRDefault="0023175E" w:rsidP="0023175E">
            <w:pPr>
              <w:pStyle w:val="TableText"/>
              <w:rPr>
                <w:rFonts w:cs="Times New Roman"/>
                <w:sz w:val="22"/>
                <w:szCs w:val="22"/>
                <w:lang w:val="pt-PT"/>
              </w:rPr>
            </w:pPr>
            <w:r w:rsidRPr="00CB39F3">
              <w:rPr>
                <w:rStyle w:val="TableText12"/>
                <w:rFonts w:cs="Times New Roman"/>
                <w:sz w:val="22"/>
                <w:szCs w:val="22"/>
                <w:lang w:val="pt-PT"/>
              </w:rPr>
              <w:t>peritonite, pancreatite, edema da língua, duodenite, gastroenterite, glossite</w:t>
            </w:r>
          </w:p>
        </w:tc>
        <w:tc>
          <w:tcPr>
            <w:tcW w:w="1418" w:type="dxa"/>
          </w:tcPr>
          <w:p w14:paraId="012584B9" w14:textId="77777777" w:rsidR="0023175E" w:rsidRPr="002A54AF" w:rsidRDefault="0023175E" w:rsidP="00AB600C">
            <w:pPr>
              <w:rPr>
                <w:szCs w:val="22"/>
                <w:lang w:val="pt-PT"/>
              </w:rPr>
            </w:pPr>
          </w:p>
        </w:tc>
        <w:tc>
          <w:tcPr>
            <w:tcW w:w="1492" w:type="dxa"/>
          </w:tcPr>
          <w:p w14:paraId="17615020" w14:textId="77777777" w:rsidR="0023175E" w:rsidRPr="00CB39F3" w:rsidRDefault="0023175E" w:rsidP="00AB600C">
            <w:pPr>
              <w:rPr>
                <w:szCs w:val="22"/>
                <w:lang w:val="pt-PT"/>
              </w:rPr>
            </w:pPr>
          </w:p>
        </w:tc>
      </w:tr>
      <w:tr w:rsidR="0023175E" w:rsidRPr="00376167" w14:paraId="6BAFA420" w14:textId="77777777" w:rsidTr="00DF1C0F">
        <w:trPr>
          <w:trHeight w:val="1000"/>
        </w:trPr>
        <w:tc>
          <w:tcPr>
            <w:tcW w:w="1474" w:type="dxa"/>
          </w:tcPr>
          <w:p w14:paraId="70724AF0" w14:textId="77777777" w:rsidR="0023175E" w:rsidRPr="002A54AF" w:rsidRDefault="0023175E" w:rsidP="00AB600C">
            <w:pPr>
              <w:rPr>
                <w:szCs w:val="22"/>
              </w:rPr>
            </w:pPr>
            <w:r w:rsidRPr="002A54AF">
              <w:rPr>
                <w:noProof/>
                <w:szCs w:val="22"/>
                <w:lang w:val="pt-PT"/>
              </w:rPr>
              <w:t>Afeções hepatobiliares</w:t>
            </w:r>
          </w:p>
        </w:tc>
        <w:tc>
          <w:tcPr>
            <w:tcW w:w="1562" w:type="dxa"/>
          </w:tcPr>
          <w:p w14:paraId="6BB1D65A" w14:textId="77777777" w:rsidR="0023175E" w:rsidRPr="00CB39F3" w:rsidRDefault="0023175E" w:rsidP="0023175E">
            <w:pPr>
              <w:rPr>
                <w:szCs w:val="22"/>
                <w:lang w:val="pt-PT"/>
              </w:rPr>
            </w:pPr>
            <w:r w:rsidRPr="002A54AF">
              <w:rPr>
                <w:szCs w:val="22"/>
                <w:lang w:val="pt-PT"/>
              </w:rPr>
              <w:t>parâmetros da função hepática anómalos</w:t>
            </w:r>
          </w:p>
        </w:tc>
        <w:tc>
          <w:tcPr>
            <w:tcW w:w="1908" w:type="dxa"/>
          </w:tcPr>
          <w:p w14:paraId="2079385A" w14:textId="77777777" w:rsidR="0023175E" w:rsidRPr="002A54AF" w:rsidRDefault="0023175E" w:rsidP="00AB600C">
            <w:pPr>
              <w:pStyle w:val="TableText"/>
              <w:rPr>
                <w:rFonts w:cs="Times New Roman"/>
                <w:sz w:val="22"/>
                <w:szCs w:val="22"/>
                <w:vertAlign w:val="superscript"/>
              </w:rPr>
            </w:pPr>
            <w:r w:rsidRPr="002A54AF">
              <w:rPr>
                <w:rFonts w:cs="Times New Roman"/>
                <w:sz w:val="22"/>
                <w:szCs w:val="22"/>
              </w:rPr>
              <w:t>icterícia, icterícia colestática</w:t>
            </w:r>
            <w:r w:rsidRPr="002A54AF">
              <w:rPr>
                <w:rFonts w:cs="Times New Roman"/>
                <w:sz w:val="22"/>
                <w:szCs w:val="22"/>
                <w:lang w:val="pt-PT"/>
              </w:rPr>
              <w:t>, hepatite</w:t>
            </w:r>
            <w:r w:rsidRPr="002A54AF">
              <w:rPr>
                <w:rStyle w:val="TableText12"/>
                <w:rFonts w:cs="Times New Roman"/>
                <w:sz w:val="22"/>
                <w:szCs w:val="22"/>
                <w:vertAlign w:val="superscript"/>
              </w:rPr>
              <w:t>10</w:t>
            </w:r>
          </w:p>
        </w:tc>
        <w:tc>
          <w:tcPr>
            <w:tcW w:w="1860" w:type="dxa"/>
          </w:tcPr>
          <w:p w14:paraId="65739FB2" w14:textId="77777777" w:rsidR="0023175E" w:rsidRPr="002A54AF" w:rsidRDefault="0023175E" w:rsidP="00131DF4">
            <w:pPr>
              <w:pStyle w:val="TableText"/>
              <w:rPr>
                <w:rFonts w:cs="Times New Roman"/>
                <w:sz w:val="22"/>
                <w:szCs w:val="22"/>
                <w:lang w:val="pt-PT"/>
              </w:rPr>
            </w:pPr>
            <w:r w:rsidRPr="002A54AF">
              <w:rPr>
                <w:rFonts w:cs="Times New Roman"/>
                <w:sz w:val="22"/>
                <w:szCs w:val="22"/>
                <w:lang w:val="pt-PT"/>
              </w:rPr>
              <w:t>insuficiência hepática, hepatomeg</w:t>
            </w:r>
            <w:r w:rsidR="00131DF4" w:rsidRPr="002A54AF">
              <w:rPr>
                <w:rFonts w:cs="Times New Roman"/>
                <w:sz w:val="22"/>
                <w:szCs w:val="22"/>
                <w:lang w:val="pt-PT"/>
              </w:rPr>
              <w:t>a</w:t>
            </w:r>
            <w:r w:rsidRPr="002A54AF">
              <w:rPr>
                <w:rFonts w:cs="Times New Roman"/>
                <w:sz w:val="22"/>
                <w:szCs w:val="22"/>
                <w:lang w:val="pt-PT"/>
              </w:rPr>
              <w:t>lia, colecistite, colelitíase</w:t>
            </w:r>
          </w:p>
        </w:tc>
        <w:tc>
          <w:tcPr>
            <w:tcW w:w="1418" w:type="dxa"/>
          </w:tcPr>
          <w:p w14:paraId="1FC2690D" w14:textId="77777777" w:rsidR="0023175E" w:rsidRPr="002A54AF" w:rsidRDefault="0023175E" w:rsidP="00AB600C">
            <w:pPr>
              <w:rPr>
                <w:szCs w:val="22"/>
                <w:lang w:val="pt-PT"/>
              </w:rPr>
            </w:pPr>
          </w:p>
        </w:tc>
        <w:tc>
          <w:tcPr>
            <w:tcW w:w="1492" w:type="dxa"/>
          </w:tcPr>
          <w:p w14:paraId="0044D518" w14:textId="77777777" w:rsidR="0023175E" w:rsidRPr="002A54AF" w:rsidRDefault="0023175E" w:rsidP="00AB600C">
            <w:pPr>
              <w:rPr>
                <w:szCs w:val="22"/>
                <w:lang w:val="pt-PT"/>
              </w:rPr>
            </w:pPr>
          </w:p>
        </w:tc>
      </w:tr>
      <w:tr w:rsidR="0023175E" w:rsidRPr="00376167" w14:paraId="1B7B85C2" w14:textId="77777777" w:rsidTr="00DF1C0F">
        <w:trPr>
          <w:trHeight w:val="1000"/>
        </w:trPr>
        <w:tc>
          <w:tcPr>
            <w:tcW w:w="1474" w:type="dxa"/>
          </w:tcPr>
          <w:p w14:paraId="4C38587C" w14:textId="77777777" w:rsidR="0023175E" w:rsidRPr="00CB39F3" w:rsidRDefault="0023175E" w:rsidP="00660A02">
            <w:pPr>
              <w:rPr>
                <w:szCs w:val="22"/>
                <w:lang w:val="pt-PT"/>
              </w:rPr>
            </w:pPr>
            <w:r w:rsidRPr="002A54AF">
              <w:rPr>
                <w:noProof/>
                <w:szCs w:val="22"/>
                <w:lang w:val="pt-PT"/>
              </w:rPr>
              <w:t>Afeções dos tecidos cutâneos e subcutâneos</w:t>
            </w:r>
          </w:p>
        </w:tc>
        <w:tc>
          <w:tcPr>
            <w:tcW w:w="1562" w:type="dxa"/>
          </w:tcPr>
          <w:p w14:paraId="28A774D3" w14:textId="77777777" w:rsidR="0023175E" w:rsidRPr="002A54AF" w:rsidRDefault="0023175E" w:rsidP="00AB600C">
            <w:pPr>
              <w:rPr>
                <w:szCs w:val="22"/>
              </w:rPr>
            </w:pPr>
            <w:r w:rsidRPr="002A54AF">
              <w:rPr>
                <w:szCs w:val="22"/>
              </w:rPr>
              <w:t>erupção cutânea</w:t>
            </w:r>
          </w:p>
        </w:tc>
        <w:tc>
          <w:tcPr>
            <w:tcW w:w="1908" w:type="dxa"/>
          </w:tcPr>
          <w:p w14:paraId="3B398C15" w14:textId="57EC5ABF" w:rsidR="0023175E" w:rsidRPr="00CB39F3" w:rsidRDefault="0023175E" w:rsidP="0023175E">
            <w:pPr>
              <w:pStyle w:val="TableText"/>
              <w:rPr>
                <w:rFonts w:cs="Times New Roman"/>
                <w:sz w:val="22"/>
                <w:szCs w:val="22"/>
                <w:lang w:val="pt-PT"/>
              </w:rPr>
            </w:pPr>
            <w:r w:rsidRPr="002A54AF">
              <w:rPr>
                <w:rStyle w:val="TableText12"/>
                <w:rFonts w:cs="Times New Roman"/>
                <w:sz w:val="22"/>
                <w:szCs w:val="22"/>
                <w:lang w:val="pt-PT"/>
              </w:rPr>
              <w:t>dermatite esfoliativa, alopecia, e</w:t>
            </w:r>
            <w:r w:rsidRPr="002A54AF">
              <w:rPr>
                <w:rFonts w:cs="Times New Roman"/>
                <w:sz w:val="22"/>
                <w:szCs w:val="22"/>
                <w:lang w:val="pt-PT"/>
              </w:rPr>
              <w:t>rupção cutânea</w:t>
            </w:r>
            <w:r w:rsidRPr="002A54AF">
              <w:rPr>
                <w:rStyle w:val="TableText12"/>
                <w:rFonts w:cs="Times New Roman"/>
                <w:sz w:val="22"/>
                <w:szCs w:val="22"/>
                <w:lang w:val="pt-PT"/>
              </w:rPr>
              <w:t xml:space="preserve"> maculo-papular, prurido, eritema</w:t>
            </w:r>
            <w:r w:rsidR="00FC1C76">
              <w:rPr>
                <w:rStyle w:val="TableText12"/>
                <w:rFonts w:cs="Times New Roman"/>
                <w:sz w:val="22"/>
                <w:szCs w:val="22"/>
                <w:lang w:val="pt-PT"/>
              </w:rPr>
              <w:t xml:space="preserve">, </w:t>
            </w:r>
            <w:r w:rsidR="00FC1C76" w:rsidRPr="002A54AF">
              <w:rPr>
                <w:rFonts w:cs="Times New Roman"/>
                <w:sz w:val="22"/>
                <w:szCs w:val="22"/>
                <w:lang w:val="pt-PT"/>
              </w:rPr>
              <w:t>fototoxicidade</w:t>
            </w:r>
            <w:r w:rsidR="00FC1C76">
              <w:rPr>
                <w:rStyle w:val="TableText12"/>
                <w:rFonts w:cs="Times New Roman"/>
                <w:sz w:val="22"/>
                <w:szCs w:val="22"/>
                <w:lang w:val="pt-PT"/>
              </w:rPr>
              <w:t>**</w:t>
            </w:r>
          </w:p>
        </w:tc>
        <w:tc>
          <w:tcPr>
            <w:tcW w:w="1860" w:type="dxa"/>
          </w:tcPr>
          <w:p w14:paraId="29BFDBC5" w14:textId="335CD37D" w:rsidR="0023175E" w:rsidRPr="00CB39F3" w:rsidRDefault="0023175E" w:rsidP="0023175E">
            <w:pPr>
              <w:pStyle w:val="TableText"/>
              <w:rPr>
                <w:rFonts w:cs="Times New Roman"/>
                <w:sz w:val="22"/>
                <w:szCs w:val="22"/>
                <w:lang w:val="pt-PT"/>
              </w:rPr>
            </w:pPr>
            <w:r w:rsidRPr="002A54AF">
              <w:rPr>
                <w:rFonts w:cs="Times New Roman"/>
                <w:sz w:val="22"/>
                <w:szCs w:val="22"/>
                <w:lang w:val="pt-PT"/>
              </w:rPr>
              <w:t>síndrome de Stevens-Johnson</w:t>
            </w:r>
            <w:r w:rsidR="00FC1C76" w:rsidRPr="00E53416">
              <w:rPr>
                <w:rFonts w:cs="Times New Roman"/>
                <w:sz w:val="22"/>
                <w:szCs w:val="22"/>
                <w:vertAlign w:val="superscript"/>
                <w:lang w:val="pt-PT"/>
              </w:rPr>
              <w:t>8</w:t>
            </w:r>
            <w:r w:rsidRPr="002A54AF">
              <w:rPr>
                <w:rStyle w:val="TableText12"/>
                <w:rFonts w:cs="Times New Roman"/>
                <w:sz w:val="22"/>
                <w:szCs w:val="22"/>
                <w:lang w:val="pt-PT"/>
              </w:rPr>
              <w:t xml:space="preserve">, púrpura, urticária, dermatite alérgica, </w:t>
            </w:r>
            <w:r w:rsidRPr="002A54AF">
              <w:rPr>
                <w:rFonts w:cs="Times New Roman"/>
                <w:sz w:val="22"/>
                <w:szCs w:val="22"/>
                <w:lang w:val="pt-PT"/>
              </w:rPr>
              <w:t>erupção cutânea papular</w:t>
            </w:r>
            <w:r w:rsidRPr="002A54AF">
              <w:rPr>
                <w:rStyle w:val="TableText12"/>
                <w:rFonts w:cs="Times New Roman"/>
                <w:sz w:val="22"/>
                <w:szCs w:val="22"/>
                <w:lang w:val="pt-PT"/>
              </w:rPr>
              <w:t xml:space="preserve">, </w:t>
            </w:r>
            <w:r w:rsidRPr="002A54AF">
              <w:rPr>
                <w:rFonts w:cs="Times New Roman"/>
                <w:sz w:val="22"/>
                <w:szCs w:val="22"/>
                <w:lang w:val="pt-PT"/>
              </w:rPr>
              <w:t>erupção cutânea macular</w:t>
            </w:r>
            <w:r w:rsidRPr="002A54AF">
              <w:rPr>
                <w:rStyle w:val="TableText12"/>
                <w:rFonts w:cs="Times New Roman"/>
                <w:sz w:val="22"/>
                <w:szCs w:val="22"/>
                <w:lang w:val="pt-PT"/>
              </w:rPr>
              <w:t>, eczema</w:t>
            </w:r>
          </w:p>
        </w:tc>
        <w:tc>
          <w:tcPr>
            <w:tcW w:w="1418" w:type="dxa"/>
          </w:tcPr>
          <w:p w14:paraId="405EDBC0" w14:textId="1A06E80E" w:rsidR="0023175E" w:rsidRPr="007F757D" w:rsidRDefault="0023175E" w:rsidP="0023175E">
            <w:pPr>
              <w:pStyle w:val="TableText"/>
              <w:rPr>
                <w:rFonts w:cs="Times New Roman"/>
                <w:sz w:val="22"/>
                <w:szCs w:val="22"/>
                <w:lang w:val="pt-PT"/>
              </w:rPr>
            </w:pPr>
            <w:r w:rsidRPr="002A54AF">
              <w:rPr>
                <w:rFonts w:cs="Times New Roman"/>
                <w:sz w:val="22"/>
                <w:szCs w:val="22"/>
                <w:lang w:val="pt-PT"/>
              </w:rPr>
              <w:t>n</w:t>
            </w:r>
            <w:r w:rsidRPr="002A54AF">
              <w:rPr>
                <w:rFonts w:cs="Times New Roman"/>
                <w:sz w:val="22"/>
                <w:szCs w:val="22"/>
                <w:lang w:val="it-IT"/>
              </w:rPr>
              <w:t xml:space="preserve">ecrólise epidérmica </w:t>
            </w:r>
            <w:r w:rsidRPr="00E53416">
              <w:rPr>
                <w:rFonts w:cs="Times New Roman"/>
                <w:sz w:val="22"/>
                <w:szCs w:val="22"/>
                <w:lang w:val="pt-PT"/>
              </w:rPr>
              <w:t>tóxica</w:t>
            </w:r>
            <w:r w:rsidR="00FC1C76" w:rsidRPr="00E53416">
              <w:rPr>
                <w:rFonts w:cs="Times New Roman"/>
                <w:sz w:val="22"/>
                <w:szCs w:val="22"/>
                <w:vertAlign w:val="superscript"/>
                <w:lang w:val="pt-PT"/>
              </w:rPr>
              <w:t>8</w:t>
            </w:r>
            <w:r w:rsidRPr="00C36368">
              <w:rPr>
                <w:lang w:val="pt-PT"/>
              </w:rPr>
              <w:t xml:space="preserve">, </w:t>
            </w:r>
            <w:r w:rsidR="007F757D" w:rsidRPr="00E53416">
              <w:rPr>
                <w:rFonts w:cs="Times New Roman"/>
                <w:sz w:val="22"/>
                <w:szCs w:val="22"/>
                <w:lang w:val="pt-PT"/>
              </w:rPr>
              <w:t xml:space="preserve">reação medicamentosa com eosinofilia com sintomas sistémicos (DRESS), </w:t>
            </w:r>
            <w:r w:rsidRPr="00C36368">
              <w:rPr>
                <w:lang w:val="pt-PT"/>
              </w:rPr>
              <w:t xml:space="preserve">angioedema, </w:t>
            </w:r>
            <w:r w:rsidR="00D77EC8" w:rsidRPr="00C36368">
              <w:rPr>
                <w:lang w:val="pt-PT"/>
              </w:rPr>
              <w:t>queratose actínica</w:t>
            </w:r>
            <w:r w:rsidR="00D77EC8" w:rsidRPr="002A54AF">
              <w:rPr>
                <w:rStyle w:val="TableText12"/>
                <w:rFonts w:cs="Times New Roman"/>
                <w:sz w:val="22"/>
                <w:szCs w:val="22"/>
                <w:lang w:val="pt-PT"/>
              </w:rPr>
              <w:t xml:space="preserve">*, </w:t>
            </w:r>
            <w:r w:rsidRPr="002A54AF">
              <w:rPr>
                <w:rStyle w:val="TableText12"/>
                <w:rFonts w:cs="Times New Roman"/>
                <w:sz w:val="22"/>
                <w:szCs w:val="22"/>
                <w:lang w:val="pt-PT"/>
              </w:rPr>
              <w:t>pseudoporfíria eritema multiforme, psoríase, hipersensibili</w:t>
            </w:r>
            <w:r w:rsidRPr="002A54AF">
              <w:rPr>
                <w:rStyle w:val="TableText12"/>
                <w:rFonts w:cs="Times New Roman"/>
                <w:sz w:val="22"/>
                <w:szCs w:val="22"/>
                <w:lang w:val="pt-PT"/>
              </w:rPr>
              <w:lastRenderedPageBreak/>
              <w:t>dade ao fármaco</w:t>
            </w:r>
          </w:p>
        </w:tc>
        <w:tc>
          <w:tcPr>
            <w:tcW w:w="1492" w:type="dxa"/>
          </w:tcPr>
          <w:p w14:paraId="12211DA9" w14:textId="77777777" w:rsidR="00DF1C0F" w:rsidRPr="002A54AF" w:rsidRDefault="0023175E" w:rsidP="00DF1C0F">
            <w:pPr>
              <w:rPr>
                <w:szCs w:val="22"/>
                <w:lang w:val="pt-PT"/>
              </w:rPr>
            </w:pPr>
            <w:r w:rsidRPr="002A54AF">
              <w:rPr>
                <w:rStyle w:val="TableText12"/>
                <w:sz w:val="22"/>
                <w:szCs w:val="22"/>
                <w:lang w:val="pt-PT"/>
              </w:rPr>
              <w:lastRenderedPageBreak/>
              <w:t>lúpus eritematoso cutâneo*</w:t>
            </w:r>
            <w:r w:rsidR="00DF1C0F" w:rsidRPr="002A54AF">
              <w:rPr>
                <w:rStyle w:val="TableText12"/>
                <w:sz w:val="22"/>
                <w:szCs w:val="22"/>
                <w:lang w:val="pt-PT"/>
              </w:rPr>
              <w:t>, efélides*, lentigo*</w:t>
            </w:r>
          </w:p>
        </w:tc>
      </w:tr>
      <w:tr w:rsidR="000A7BCF" w:rsidRPr="002A54AF" w14:paraId="5AF649D1" w14:textId="77777777" w:rsidTr="00DF1C0F">
        <w:trPr>
          <w:trHeight w:val="1680"/>
        </w:trPr>
        <w:tc>
          <w:tcPr>
            <w:tcW w:w="1474" w:type="dxa"/>
          </w:tcPr>
          <w:p w14:paraId="6CC72124" w14:textId="77777777" w:rsidR="000A7BCF" w:rsidRPr="00CB39F3" w:rsidRDefault="000A7BCF" w:rsidP="00AB600C">
            <w:pPr>
              <w:rPr>
                <w:szCs w:val="22"/>
                <w:lang w:val="pt-PT"/>
              </w:rPr>
            </w:pPr>
            <w:r w:rsidRPr="002A54AF">
              <w:rPr>
                <w:noProof/>
                <w:szCs w:val="22"/>
                <w:lang w:val="pt-PT"/>
              </w:rPr>
              <w:t>Afeções musculosqueléticas e dos tecidos conjuntivos</w:t>
            </w:r>
          </w:p>
        </w:tc>
        <w:tc>
          <w:tcPr>
            <w:tcW w:w="1562" w:type="dxa"/>
          </w:tcPr>
          <w:p w14:paraId="2E4F4EBA" w14:textId="77777777" w:rsidR="000A7BCF" w:rsidRPr="00CB39F3" w:rsidRDefault="000A7BCF" w:rsidP="00AB600C">
            <w:pPr>
              <w:rPr>
                <w:szCs w:val="22"/>
                <w:lang w:val="pt-PT"/>
              </w:rPr>
            </w:pPr>
          </w:p>
        </w:tc>
        <w:tc>
          <w:tcPr>
            <w:tcW w:w="1908" w:type="dxa"/>
          </w:tcPr>
          <w:p w14:paraId="338BF7BC" w14:textId="77777777" w:rsidR="000A7BCF" w:rsidRPr="002A54AF" w:rsidRDefault="000A7BCF" w:rsidP="000A7BCF">
            <w:pPr>
              <w:rPr>
                <w:szCs w:val="22"/>
              </w:rPr>
            </w:pPr>
            <w:r w:rsidRPr="002A54AF">
              <w:rPr>
                <w:rStyle w:val="TableText12"/>
                <w:sz w:val="22"/>
                <w:szCs w:val="22"/>
              </w:rPr>
              <w:t>dores de costas</w:t>
            </w:r>
          </w:p>
        </w:tc>
        <w:tc>
          <w:tcPr>
            <w:tcW w:w="1860" w:type="dxa"/>
          </w:tcPr>
          <w:p w14:paraId="1BABA9B0" w14:textId="0B2A40F9" w:rsidR="000A7BCF" w:rsidRPr="002A54AF" w:rsidRDefault="00FC1C76" w:rsidP="000A7BCF">
            <w:pPr>
              <w:rPr>
                <w:szCs w:val="22"/>
              </w:rPr>
            </w:pPr>
            <w:r>
              <w:rPr>
                <w:rStyle w:val="TableText12"/>
                <w:sz w:val="22"/>
                <w:szCs w:val="22"/>
              </w:rPr>
              <w:t>a</w:t>
            </w:r>
            <w:r w:rsidR="000A7BCF" w:rsidRPr="002A54AF">
              <w:rPr>
                <w:rStyle w:val="TableText12"/>
                <w:sz w:val="22"/>
                <w:szCs w:val="22"/>
              </w:rPr>
              <w:t>rtrite</w:t>
            </w:r>
            <w:r>
              <w:rPr>
                <w:rStyle w:val="TableText12"/>
                <w:sz w:val="22"/>
                <w:szCs w:val="22"/>
              </w:rPr>
              <w:t xml:space="preserve">, </w:t>
            </w:r>
            <w:r w:rsidRPr="002A54AF">
              <w:rPr>
                <w:rStyle w:val="TableText12"/>
                <w:sz w:val="22"/>
                <w:szCs w:val="22"/>
              </w:rPr>
              <w:t>periostite*</w:t>
            </w:r>
            <w:r>
              <w:rPr>
                <w:rStyle w:val="TableText12"/>
                <w:sz w:val="22"/>
                <w:szCs w:val="22"/>
              </w:rPr>
              <w:t>,**</w:t>
            </w:r>
          </w:p>
        </w:tc>
        <w:tc>
          <w:tcPr>
            <w:tcW w:w="1418" w:type="dxa"/>
          </w:tcPr>
          <w:p w14:paraId="239975DE" w14:textId="77777777" w:rsidR="000A7BCF" w:rsidRPr="002A54AF" w:rsidRDefault="000A7BCF" w:rsidP="00AB600C">
            <w:pPr>
              <w:rPr>
                <w:szCs w:val="22"/>
              </w:rPr>
            </w:pPr>
          </w:p>
        </w:tc>
        <w:tc>
          <w:tcPr>
            <w:tcW w:w="1492" w:type="dxa"/>
          </w:tcPr>
          <w:p w14:paraId="514B9093" w14:textId="6F0B4CC6" w:rsidR="000A7BCF" w:rsidRPr="002A54AF" w:rsidRDefault="000A7BCF" w:rsidP="000A7BCF">
            <w:pPr>
              <w:rPr>
                <w:szCs w:val="22"/>
              </w:rPr>
            </w:pPr>
          </w:p>
        </w:tc>
      </w:tr>
      <w:tr w:rsidR="000A7BCF" w:rsidRPr="00376167" w14:paraId="0269E846" w14:textId="77777777" w:rsidTr="00DF1C0F">
        <w:trPr>
          <w:trHeight w:val="1000"/>
        </w:trPr>
        <w:tc>
          <w:tcPr>
            <w:tcW w:w="1474" w:type="dxa"/>
          </w:tcPr>
          <w:p w14:paraId="357ABEC7" w14:textId="77777777" w:rsidR="000A7BCF" w:rsidRPr="002A54AF" w:rsidRDefault="000A7BCF" w:rsidP="00AB600C">
            <w:pPr>
              <w:rPr>
                <w:szCs w:val="22"/>
              </w:rPr>
            </w:pPr>
            <w:r w:rsidRPr="002A54AF">
              <w:rPr>
                <w:noProof/>
                <w:szCs w:val="22"/>
                <w:lang w:val="pt-PT"/>
              </w:rPr>
              <w:t>Doenças renais e urinárias</w:t>
            </w:r>
          </w:p>
        </w:tc>
        <w:tc>
          <w:tcPr>
            <w:tcW w:w="1562" w:type="dxa"/>
          </w:tcPr>
          <w:p w14:paraId="40F5A8B1" w14:textId="77777777" w:rsidR="000A7BCF" w:rsidRPr="002A54AF" w:rsidRDefault="000A7BCF" w:rsidP="00AB600C">
            <w:pPr>
              <w:rPr>
                <w:szCs w:val="22"/>
              </w:rPr>
            </w:pPr>
          </w:p>
        </w:tc>
        <w:tc>
          <w:tcPr>
            <w:tcW w:w="1908" w:type="dxa"/>
          </w:tcPr>
          <w:p w14:paraId="2B556452" w14:textId="77777777" w:rsidR="000A7BCF" w:rsidRPr="002A54AF" w:rsidRDefault="00E9616F" w:rsidP="00AB600C">
            <w:pPr>
              <w:pStyle w:val="TableText"/>
              <w:rPr>
                <w:rFonts w:cs="Times New Roman"/>
                <w:sz w:val="22"/>
                <w:szCs w:val="22"/>
              </w:rPr>
            </w:pPr>
            <w:r w:rsidRPr="002A54AF">
              <w:rPr>
                <w:rFonts w:cs="Times New Roman"/>
                <w:sz w:val="22"/>
                <w:szCs w:val="22"/>
              </w:rPr>
              <w:t>insuficiência renal aguda, hematúria</w:t>
            </w:r>
          </w:p>
        </w:tc>
        <w:tc>
          <w:tcPr>
            <w:tcW w:w="1860" w:type="dxa"/>
          </w:tcPr>
          <w:p w14:paraId="05F66559" w14:textId="77777777" w:rsidR="000A7BCF" w:rsidRPr="00CB39F3" w:rsidRDefault="00E9616F" w:rsidP="00AB600C">
            <w:pPr>
              <w:pStyle w:val="TableText"/>
              <w:rPr>
                <w:rFonts w:cs="Times New Roman"/>
                <w:sz w:val="22"/>
                <w:szCs w:val="22"/>
                <w:lang w:val="pt-PT"/>
              </w:rPr>
            </w:pPr>
            <w:r w:rsidRPr="002A54AF">
              <w:rPr>
                <w:rFonts w:cs="Times New Roman"/>
                <w:sz w:val="22"/>
                <w:szCs w:val="22"/>
                <w:lang w:val="pt-PT"/>
              </w:rPr>
              <w:t>necrose tubular renal, proteinúria, nefrite</w:t>
            </w:r>
          </w:p>
        </w:tc>
        <w:tc>
          <w:tcPr>
            <w:tcW w:w="1418" w:type="dxa"/>
          </w:tcPr>
          <w:p w14:paraId="589ACCB7" w14:textId="77777777" w:rsidR="000A7BCF" w:rsidRPr="00CB39F3" w:rsidRDefault="000A7BCF" w:rsidP="00AB600C">
            <w:pPr>
              <w:rPr>
                <w:szCs w:val="22"/>
                <w:lang w:val="pt-PT"/>
              </w:rPr>
            </w:pPr>
          </w:p>
        </w:tc>
        <w:tc>
          <w:tcPr>
            <w:tcW w:w="1492" w:type="dxa"/>
          </w:tcPr>
          <w:p w14:paraId="45AC69F6" w14:textId="77777777" w:rsidR="000A7BCF" w:rsidRPr="00CB39F3" w:rsidRDefault="000A7BCF" w:rsidP="00AB600C">
            <w:pPr>
              <w:rPr>
                <w:szCs w:val="22"/>
                <w:lang w:val="pt-PT"/>
              </w:rPr>
            </w:pPr>
          </w:p>
        </w:tc>
      </w:tr>
      <w:tr w:rsidR="00E9616F" w:rsidRPr="00376167" w14:paraId="76D75F65" w14:textId="77777777" w:rsidTr="00DF1C0F">
        <w:trPr>
          <w:trHeight w:val="1000"/>
        </w:trPr>
        <w:tc>
          <w:tcPr>
            <w:tcW w:w="1474" w:type="dxa"/>
          </w:tcPr>
          <w:p w14:paraId="34007A1B" w14:textId="77777777" w:rsidR="00E9616F" w:rsidRPr="00CB39F3" w:rsidRDefault="00E9616F" w:rsidP="00AB600C">
            <w:pPr>
              <w:rPr>
                <w:szCs w:val="22"/>
                <w:lang w:val="pt-PT"/>
              </w:rPr>
            </w:pPr>
            <w:r w:rsidRPr="002A54AF">
              <w:rPr>
                <w:noProof/>
                <w:szCs w:val="22"/>
                <w:lang w:val="pt-PT"/>
              </w:rPr>
              <w:t>Perturbações gerais e alterações no local de administração</w:t>
            </w:r>
          </w:p>
        </w:tc>
        <w:tc>
          <w:tcPr>
            <w:tcW w:w="1562" w:type="dxa"/>
          </w:tcPr>
          <w:p w14:paraId="11592BE4" w14:textId="77777777" w:rsidR="00E9616F" w:rsidRPr="002A54AF" w:rsidRDefault="00E9616F" w:rsidP="00AB600C">
            <w:pPr>
              <w:rPr>
                <w:szCs w:val="22"/>
              </w:rPr>
            </w:pPr>
            <w:r w:rsidRPr="002A54AF">
              <w:rPr>
                <w:rStyle w:val="TableText12"/>
                <w:sz w:val="22"/>
                <w:szCs w:val="22"/>
              </w:rPr>
              <w:t>pirexia</w:t>
            </w:r>
          </w:p>
        </w:tc>
        <w:tc>
          <w:tcPr>
            <w:tcW w:w="1908" w:type="dxa"/>
          </w:tcPr>
          <w:p w14:paraId="24F57849" w14:textId="77777777" w:rsidR="00E9616F" w:rsidRPr="00ED57C2" w:rsidRDefault="00E9616F" w:rsidP="00E9616F">
            <w:pPr>
              <w:pStyle w:val="TableText"/>
              <w:rPr>
                <w:rFonts w:cs="Times New Roman"/>
                <w:sz w:val="22"/>
                <w:szCs w:val="22"/>
                <w:lang w:val="pt-PT"/>
              </w:rPr>
            </w:pPr>
            <w:r w:rsidRPr="002A54AF">
              <w:rPr>
                <w:rFonts w:cs="Times New Roman"/>
                <w:sz w:val="22"/>
                <w:szCs w:val="22"/>
                <w:lang w:val="pt-PT"/>
              </w:rPr>
              <w:t>dor torácica, edema facial</w:t>
            </w:r>
            <w:r w:rsidRPr="002A54AF">
              <w:rPr>
                <w:rStyle w:val="TableText12"/>
                <w:rFonts w:cs="Times New Roman"/>
                <w:sz w:val="22"/>
                <w:szCs w:val="22"/>
                <w:vertAlign w:val="superscript"/>
                <w:lang w:val="pt-PT"/>
              </w:rPr>
              <w:t>11</w:t>
            </w:r>
            <w:r w:rsidRPr="002A54AF">
              <w:rPr>
                <w:rStyle w:val="TableText12"/>
                <w:rFonts w:cs="Times New Roman"/>
                <w:sz w:val="22"/>
                <w:szCs w:val="22"/>
                <w:lang w:val="pt-PT"/>
              </w:rPr>
              <w:t>, astenia, arrepios</w:t>
            </w:r>
          </w:p>
        </w:tc>
        <w:tc>
          <w:tcPr>
            <w:tcW w:w="1860" w:type="dxa"/>
          </w:tcPr>
          <w:p w14:paraId="781453AB" w14:textId="77777777" w:rsidR="00E9616F" w:rsidRPr="00CB39F3" w:rsidRDefault="00E9616F" w:rsidP="00E9616F">
            <w:pPr>
              <w:pStyle w:val="TableText"/>
              <w:rPr>
                <w:rFonts w:cs="Times New Roman"/>
                <w:sz w:val="22"/>
                <w:szCs w:val="22"/>
                <w:lang w:val="pt-PT"/>
              </w:rPr>
            </w:pPr>
            <w:r w:rsidRPr="002A54AF">
              <w:rPr>
                <w:rFonts w:cs="Times New Roman"/>
                <w:sz w:val="22"/>
                <w:szCs w:val="22"/>
                <w:lang w:val="pt-PT"/>
              </w:rPr>
              <w:t>reação no local de perfusão</w:t>
            </w:r>
            <w:r w:rsidRPr="002A54AF">
              <w:rPr>
                <w:rStyle w:val="TableText12"/>
                <w:rFonts w:cs="Times New Roman"/>
                <w:sz w:val="22"/>
                <w:szCs w:val="22"/>
                <w:lang w:val="pt-PT"/>
              </w:rPr>
              <w:t xml:space="preserve">, </w:t>
            </w:r>
            <w:r w:rsidRPr="002A54AF">
              <w:rPr>
                <w:rFonts w:cs="Times New Roman"/>
                <w:sz w:val="22"/>
                <w:szCs w:val="22"/>
                <w:lang w:val="pt-PT"/>
              </w:rPr>
              <w:t>síndrome tipo gripal</w:t>
            </w:r>
          </w:p>
        </w:tc>
        <w:tc>
          <w:tcPr>
            <w:tcW w:w="1418" w:type="dxa"/>
          </w:tcPr>
          <w:p w14:paraId="3EDACE71" w14:textId="77777777" w:rsidR="00E9616F" w:rsidRPr="002A54AF" w:rsidRDefault="00E9616F" w:rsidP="00AB600C">
            <w:pPr>
              <w:rPr>
                <w:szCs w:val="22"/>
                <w:lang w:val="pt-PT"/>
              </w:rPr>
            </w:pPr>
          </w:p>
        </w:tc>
        <w:tc>
          <w:tcPr>
            <w:tcW w:w="1492" w:type="dxa"/>
          </w:tcPr>
          <w:p w14:paraId="6B2EA0B0" w14:textId="77777777" w:rsidR="00E9616F" w:rsidRPr="00CB39F3" w:rsidRDefault="00E9616F" w:rsidP="00AB600C">
            <w:pPr>
              <w:rPr>
                <w:szCs w:val="22"/>
                <w:lang w:val="pt-PT"/>
              </w:rPr>
            </w:pPr>
          </w:p>
        </w:tc>
      </w:tr>
      <w:tr w:rsidR="00E9616F" w:rsidRPr="00376167" w14:paraId="0CF6602E" w14:textId="77777777" w:rsidTr="00DF1C0F">
        <w:trPr>
          <w:trHeight w:val="1293"/>
        </w:trPr>
        <w:tc>
          <w:tcPr>
            <w:tcW w:w="1474" w:type="dxa"/>
          </w:tcPr>
          <w:p w14:paraId="3F738F6A" w14:textId="77777777" w:rsidR="00E9616F" w:rsidRPr="002A54AF" w:rsidRDefault="00E9616F" w:rsidP="00AB600C">
            <w:pPr>
              <w:keepNext/>
              <w:keepLines/>
              <w:rPr>
                <w:szCs w:val="22"/>
              </w:rPr>
            </w:pPr>
            <w:r w:rsidRPr="002A54AF">
              <w:rPr>
                <w:noProof/>
                <w:szCs w:val="22"/>
                <w:lang w:val="pt-PT"/>
              </w:rPr>
              <w:t>Exames complementares de diagnóstico</w:t>
            </w:r>
          </w:p>
        </w:tc>
        <w:tc>
          <w:tcPr>
            <w:tcW w:w="1562" w:type="dxa"/>
          </w:tcPr>
          <w:p w14:paraId="4F51BABC" w14:textId="77777777" w:rsidR="00E9616F" w:rsidRPr="002A54AF" w:rsidRDefault="00E9616F" w:rsidP="00AB600C">
            <w:pPr>
              <w:keepNext/>
              <w:keepLines/>
              <w:rPr>
                <w:szCs w:val="22"/>
              </w:rPr>
            </w:pPr>
          </w:p>
        </w:tc>
        <w:tc>
          <w:tcPr>
            <w:tcW w:w="1908" w:type="dxa"/>
          </w:tcPr>
          <w:p w14:paraId="0D75A75A" w14:textId="77777777" w:rsidR="00E9616F" w:rsidRPr="002A54AF" w:rsidRDefault="00E9616F" w:rsidP="00AB600C">
            <w:pPr>
              <w:pStyle w:val="TableText"/>
              <w:keepNext/>
              <w:keepLines/>
              <w:rPr>
                <w:rFonts w:cs="Times New Roman"/>
                <w:sz w:val="22"/>
                <w:szCs w:val="22"/>
              </w:rPr>
            </w:pPr>
            <w:r w:rsidRPr="002A54AF">
              <w:rPr>
                <w:rFonts w:cs="Times New Roman"/>
                <w:sz w:val="22"/>
                <w:szCs w:val="22"/>
                <w:lang w:val="pt-PT"/>
              </w:rPr>
              <w:t>creatinina plasmática aumentada</w:t>
            </w:r>
          </w:p>
        </w:tc>
        <w:tc>
          <w:tcPr>
            <w:tcW w:w="1860" w:type="dxa"/>
          </w:tcPr>
          <w:p w14:paraId="75A1CE21" w14:textId="77777777" w:rsidR="00E9616F" w:rsidRPr="00ED57C2" w:rsidRDefault="00E9616F" w:rsidP="00AB600C">
            <w:pPr>
              <w:pStyle w:val="TableText"/>
              <w:keepNext/>
              <w:keepLines/>
              <w:rPr>
                <w:rFonts w:cs="Times New Roman"/>
                <w:sz w:val="22"/>
                <w:szCs w:val="22"/>
                <w:lang w:val="pt-PT"/>
              </w:rPr>
            </w:pPr>
            <w:r w:rsidRPr="002A54AF">
              <w:rPr>
                <w:rFonts w:cs="Times New Roman"/>
                <w:sz w:val="22"/>
                <w:szCs w:val="22"/>
                <w:lang w:val="pt-PT"/>
              </w:rPr>
              <w:t>ureia plasmática aumentada, colesterol plasmático aumentado</w:t>
            </w:r>
          </w:p>
        </w:tc>
        <w:tc>
          <w:tcPr>
            <w:tcW w:w="1418" w:type="dxa"/>
          </w:tcPr>
          <w:p w14:paraId="5B6DCF28" w14:textId="77777777" w:rsidR="00E9616F" w:rsidRPr="00ED57C2" w:rsidRDefault="00E9616F" w:rsidP="00AB600C">
            <w:pPr>
              <w:rPr>
                <w:szCs w:val="22"/>
                <w:lang w:val="pt-PT"/>
              </w:rPr>
            </w:pPr>
          </w:p>
        </w:tc>
        <w:tc>
          <w:tcPr>
            <w:tcW w:w="1492" w:type="dxa"/>
          </w:tcPr>
          <w:p w14:paraId="1EB12573" w14:textId="77777777" w:rsidR="00E9616F" w:rsidRPr="00ED57C2" w:rsidRDefault="00E9616F" w:rsidP="00AB600C">
            <w:pPr>
              <w:rPr>
                <w:szCs w:val="22"/>
                <w:lang w:val="pt-PT"/>
              </w:rPr>
            </w:pPr>
          </w:p>
        </w:tc>
      </w:tr>
    </w:tbl>
    <w:p w14:paraId="62D48F6A" w14:textId="77777777" w:rsidR="00F246AF" w:rsidRDefault="00F246AF" w:rsidP="00F246AF">
      <w:pPr>
        <w:rPr>
          <w:szCs w:val="22"/>
          <w:lang w:val="pt-PT"/>
        </w:rPr>
      </w:pPr>
      <w:r w:rsidRPr="00ED57C2">
        <w:rPr>
          <w:szCs w:val="22"/>
          <w:lang w:val="pt-PT"/>
        </w:rPr>
        <w:t>*</w:t>
      </w:r>
      <w:r w:rsidR="00E9616F" w:rsidRPr="00ED57C2">
        <w:rPr>
          <w:szCs w:val="22"/>
          <w:lang w:val="pt-PT"/>
        </w:rPr>
        <w:t>R</w:t>
      </w:r>
      <w:r w:rsidRPr="00ED57C2">
        <w:rPr>
          <w:szCs w:val="22"/>
          <w:lang w:val="pt-PT"/>
        </w:rPr>
        <w:t>A</w:t>
      </w:r>
      <w:r w:rsidR="00E9616F" w:rsidRPr="00ED57C2">
        <w:rPr>
          <w:szCs w:val="22"/>
          <w:lang w:val="pt-PT"/>
        </w:rPr>
        <w:t>M</w:t>
      </w:r>
      <w:r w:rsidRPr="00ED57C2">
        <w:rPr>
          <w:szCs w:val="22"/>
          <w:lang w:val="pt-PT"/>
        </w:rPr>
        <w:t xml:space="preserve"> identifi</w:t>
      </w:r>
      <w:r w:rsidR="00131DF4" w:rsidRPr="00ED57C2">
        <w:rPr>
          <w:szCs w:val="22"/>
          <w:lang w:val="pt-PT"/>
        </w:rPr>
        <w:t>cada</w:t>
      </w:r>
      <w:r w:rsidR="00E9616F" w:rsidRPr="00ED57C2">
        <w:rPr>
          <w:szCs w:val="22"/>
          <w:lang w:val="pt-PT"/>
        </w:rPr>
        <w:t>s na</w:t>
      </w:r>
      <w:r w:rsidRPr="00ED57C2">
        <w:rPr>
          <w:szCs w:val="22"/>
          <w:lang w:val="pt-PT"/>
        </w:rPr>
        <w:t xml:space="preserve"> p</w:t>
      </w:r>
      <w:r w:rsidR="00E9616F" w:rsidRPr="00ED57C2">
        <w:rPr>
          <w:szCs w:val="22"/>
          <w:lang w:val="pt-PT"/>
        </w:rPr>
        <w:t>ó</w:t>
      </w:r>
      <w:r w:rsidRPr="00ED57C2">
        <w:rPr>
          <w:szCs w:val="22"/>
          <w:lang w:val="pt-PT"/>
        </w:rPr>
        <w:t>s-</w:t>
      </w:r>
      <w:r w:rsidR="00E9616F" w:rsidRPr="00ED57C2">
        <w:rPr>
          <w:szCs w:val="22"/>
          <w:lang w:val="pt-PT"/>
        </w:rPr>
        <w:t>comercialização</w:t>
      </w:r>
    </w:p>
    <w:p w14:paraId="10F308C5" w14:textId="06376B1A" w:rsidR="00FC1C76" w:rsidRPr="00ED57C2" w:rsidRDefault="00FC1C76" w:rsidP="00F246AF">
      <w:pPr>
        <w:rPr>
          <w:szCs w:val="22"/>
          <w:lang w:val="pt-PT"/>
        </w:rPr>
      </w:pPr>
      <w:r w:rsidRPr="00FC1C76">
        <w:rPr>
          <w:szCs w:val="22"/>
          <w:lang w:val="pt-PT"/>
        </w:rPr>
        <w:t>**Categoria de frequência baseada num estudo observacional que utilizou dados do mundo real de fontes de dados secundárias na Suécia.</w:t>
      </w:r>
    </w:p>
    <w:p w14:paraId="0F8EB306" w14:textId="77777777" w:rsidR="00F246AF" w:rsidRPr="00FE5F8B" w:rsidRDefault="00F246AF" w:rsidP="00F246AF">
      <w:pPr>
        <w:autoSpaceDE w:val="0"/>
        <w:autoSpaceDN w:val="0"/>
        <w:adjustRightInd w:val="0"/>
        <w:rPr>
          <w:szCs w:val="22"/>
          <w:lang w:val="pt-PT"/>
        </w:rPr>
      </w:pPr>
      <w:r w:rsidRPr="00FE5F8B">
        <w:rPr>
          <w:szCs w:val="22"/>
          <w:vertAlign w:val="superscript"/>
          <w:lang w:val="pt-PT"/>
        </w:rPr>
        <w:t xml:space="preserve">1 </w:t>
      </w:r>
      <w:r w:rsidRPr="00FE5F8B">
        <w:rPr>
          <w:szCs w:val="22"/>
          <w:lang w:val="pt-PT"/>
        </w:rPr>
        <w:t>Inclu</w:t>
      </w:r>
      <w:r w:rsidR="00E9616F" w:rsidRPr="00FE5F8B">
        <w:rPr>
          <w:szCs w:val="22"/>
          <w:lang w:val="pt-PT"/>
        </w:rPr>
        <w:t>i</w:t>
      </w:r>
      <w:r w:rsidRPr="00FE5F8B">
        <w:rPr>
          <w:szCs w:val="22"/>
          <w:lang w:val="pt-PT"/>
        </w:rPr>
        <w:t xml:space="preserve"> </w:t>
      </w:r>
      <w:r w:rsidR="00E9616F" w:rsidRPr="00FE5F8B">
        <w:rPr>
          <w:szCs w:val="22"/>
          <w:lang w:val="pt-PT"/>
        </w:rPr>
        <w:t xml:space="preserve">neutropenia </w:t>
      </w:r>
      <w:r w:rsidRPr="00FE5F8B">
        <w:rPr>
          <w:szCs w:val="22"/>
          <w:lang w:val="pt-PT"/>
        </w:rPr>
        <w:t>febril</w:t>
      </w:r>
      <w:r w:rsidR="00E9616F" w:rsidRPr="00FE5F8B">
        <w:rPr>
          <w:szCs w:val="22"/>
          <w:lang w:val="pt-PT"/>
        </w:rPr>
        <w:t xml:space="preserve"> </w:t>
      </w:r>
      <w:r w:rsidRPr="00FE5F8B">
        <w:rPr>
          <w:szCs w:val="22"/>
          <w:lang w:val="pt-PT"/>
        </w:rPr>
        <w:t>e neutropenia.</w:t>
      </w:r>
    </w:p>
    <w:p w14:paraId="707694AA" w14:textId="77777777" w:rsidR="00F246AF" w:rsidRPr="00FE5F8B" w:rsidRDefault="00F246AF" w:rsidP="00F246AF">
      <w:pPr>
        <w:autoSpaceDE w:val="0"/>
        <w:autoSpaceDN w:val="0"/>
        <w:adjustRightInd w:val="0"/>
        <w:rPr>
          <w:szCs w:val="22"/>
          <w:lang w:val="pt-PT"/>
        </w:rPr>
      </w:pPr>
      <w:r w:rsidRPr="00FE5F8B">
        <w:rPr>
          <w:szCs w:val="22"/>
          <w:vertAlign w:val="superscript"/>
          <w:lang w:val="pt-PT"/>
        </w:rPr>
        <w:t xml:space="preserve">2 </w:t>
      </w:r>
      <w:r w:rsidRPr="00FE5F8B">
        <w:rPr>
          <w:szCs w:val="22"/>
          <w:lang w:val="pt-PT"/>
        </w:rPr>
        <w:t>Inclu</w:t>
      </w:r>
      <w:r w:rsidR="00E9616F" w:rsidRPr="00FE5F8B">
        <w:rPr>
          <w:szCs w:val="22"/>
          <w:lang w:val="pt-PT"/>
        </w:rPr>
        <w:t>i</w:t>
      </w:r>
      <w:r w:rsidRPr="00FE5F8B">
        <w:rPr>
          <w:szCs w:val="22"/>
          <w:lang w:val="pt-PT"/>
        </w:rPr>
        <w:t xml:space="preserve"> </w:t>
      </w:r>
      <w:r w:rsidR="00E9616F" w:rsidRPr="00FE5F8B">
        <w:rPr>
          <w:szCs w:val="22"/>
          <w:lang w:val="pt-PT"/>
        </w:rPr>
        <w:t>púrpura t</w:t>
      </w:r>
      <w:r w:rsidRPr="00FE5F8B">
        <w:rPr>
          <w:szCs w:val="22"/>
          <w:lang w:val="pt-PT"/>
        </w:rPr>
        <w:t>romboc</w:t>
      </w:r>
      <w:r w:rsidR="00E9616F" w:rsidRPr="00FE5F8B">
        <w:rPr>
          <w:szCs w:val="22"/>
          <w:lang w:val="pt-PT"/>
        </w:rPr>
        <w:t>i</w:t>
      </w:r>
      <w:r w:rsidRPr="00FE5F8B">
        <w:rPr>
          <w:szCs w:val="22"/>
          <w:lang w:val="pt-PT"/>
        </w:rPr>
        <w:t>top</w:t>
      </w:r>
      <w:r w:rsidR="00E9616F" w:rsidRPr="00FE5F8B">
        <w:rPr>
          <w:szCs w:val="22"/>
          <w:lang w:val="pt-PT"/>
        </w:rPr>
        <w:t>énica imune</w:t>
      </w:r>
      <w:r w:rsidRPr="00FE5F8B">
        <w:rPr>
          <w:szCs w:val="22"/>
          <w:lang w:val="pt-PT"/>
        </w:rPr>
        <w:t>.</w:t>
      </w:r>
    </w:p>
    <w:p w14:paraId="10323366" w14:textId="77777777" w:rsidR="00F246AF" w:rsidRPr="00FE5F8B" w:rsidRDefault="00F246AF" w:rsidP="00F246AF">
      <w:pPr>
        <w:autoSpaceDE w:val="0"/>
        <w:autoSpaceDN w:val="0"/>
        <w:adjustRightInd w:val="0"/>
        <w:rPr>
          <w:szCs w:val="22"/>
          <w:lang w:val="pt-PT"/>
        </w:rPr>
      </w:pPr>
      <w:r w:rsidRPr="00FE5F8B">
        <w:rPr>
          <w:szCs w:val="22"/>
          <w:vertAlign w:val="superscript"/>
          <w:lang w:val="pt-PT"/>
        </w:rPr>
        <w:t xml:space="preserve">3 </w:t>
      </w:r>
      <w:r w:rsidRPr="00FE5F8B">
        <w:rPr>
          <w:szCs w:val="22"/>
          <w:lang w:val="pt-PT"/>
        </w:rPr>
        <w:t>Inclu</w:t>
      </w:r>
      <w:r w:rsidR="00E9616F" w:rsidRPr="00FE5F8B">
        <w:rPr>
          <w:szCs w:val="22"/>
          <w:lang w:val="pt-PT"/>
        </w:rPr>
        <w:t>i</w:t>
      </w:r>
      <w:r w:rsidRPr="00FE5F8B">
        <w:rPr>
          <w:szCs w:val="22"/>
          <w:lang w:val="pt-PT"/>
        </w:rPr>
        <w:t xml:space="preserve"> </w:t>
      </w:r>
      <w:r w:rsidR="00F42A93" w:rsidRPr="00FE5F8B">
        <w:rPr>
          <w:szCs w:val="22"/>
          <w:lang w:val="pt-PT"/>
        </w:rPr>
        <w:t xml:space="preserve">rigidez da </w:t>
      </w:r>
      <w:r w:rsidRPr="00FE5F8B">
        <w:rPr>
          <w:szCs w:val="22"/>
          <w:lang w:val="pt-PT"/>
        </w:rPr>
        <w:t>nuca</w:t>
      </w:r>
      <w:r w:rsidR="00F42A93" w:rsidRPr="00FE5F8B">
        <w:rPr>
          <w:szCs w:val="22"/>
          <w:lang w:val="pt-PT"/>
        </w:rPr>
        <w:t xml:space="preserve"> e</w:t>
      </w:r>
      <w:r w:rsidRPr="00FE5F8B">
        <w:rPr>
          <w:szCs w:val="22"/>
          <w:lang w:val="pt-PT"/>
        </w:rPr>
        <w:t xml:space="preserve"> tetan</w:t>
      </w:r>
      <w:r w:rsidR="00F42A93" w:rsidRPr="00FE5F8B">
        <w:rPr>
          <w:szCs w:val="22"/>
          <w:lang w:val="pt-PT"/>
        </w:rPr>
        <w:t>ia</w:t>
      </w:r>
      <w:r w:rsidRPr="00FE5F8B">
        <w:rPr>
          <w:szCs w:val="22"/>
          <w:lang w:val="pt-PT"/>
        </w:rPr>
        <w:t>.</w:t>
      </w:r>
    </w:p>
    <w:p w14:paraId="70EA8A6C" w14:textId="77777777" w:rsidR="00F246AF" w:rsidRPr="00FE5F8B" w:rsidRDefault="00F246AF" w:rsidP="00F246AF">
      <w:pPr>
        <w:autoSpaceDE w:val="0"/>
        <w:autoSpaceDN w:val="0"/>
        <w:adjustRightInd w:val="0"/>
        <w:rPr>
          <w:szCs w:val="22"/>
          <w:lang w:val="pt-PT"/>
        </w:rPr>
      </w:pPr>
      <w:r w:rsidRPr="00FE5F8B">
        <w:rPr>
          <w:szCs w:val="22"/>
          <w:vertAlign w:val="superscript"/>
          <w:lang w:val="pt-PT"/>
        </w:rPr>
        <w:t>4</w:t>
      </w:r>
      <w:r w:rsidR="00F42A93" w:rsidRPr="00FE5F8B">
        <w:rPr>
          <w:szCs w:val="22"/>
          <w:lang w:val="pt-PT"/>
        </w:rPr>
        <w:t xml:space="preserve"> Inclui encefalopatia hipóxico-isquémica e encefalopatia metabólica</w:t>
      </w:r>
      <w:r w:rsidRPr="00FE5F8B">
        <w:rPr>
          <w:szCs w:val="22"/>
          <w:lang w:val="pt-PT"/>
        </w:rPr>
        <w:t>.</w:t>
      </w:r>
    </w:p>
    <w:p w14:paraId="70CD3E2D" w14:textId="77777777" w:rsidR="00F246AF" w:rsidRPr="00FE5F8B" w:rsidRDefault="00F246AF" w:rsidP="00F246AF">
      <w:pPr>
        <w:autoSpaceDE w:val="0"/>
        <w:autoSpaceDN w:val="0"/>
        <w:adjustRightInd w:val="0"/>
        <w:rPr>
          <w:szCs w:val="22"/>
          <w:lang w:val="pt-PT"/>
        </w:rPr>
      </w:pPr>
      <w:r w:rsidRPr="00FE5F8B">
        <w:rPr>
          <w:szCs w:val="22"/>
          <w:vertAlign w:val="superscript"/>
          <w:lang w:val="pt-PT"/>
        </w:rPr>
        <w:t>5</w:t>
      </w:r>
      <w:r w:rsidRPr="00FE5F8B">
        <w:rPr>
          <w:szCs w:val="22"/>
          <w:lang w:val="pt-PT"/>
        </w:rPr>
        <w:t xml:space="preserve"> Inclu</w:t>
      </w:r>
      <w:r w:rsidR="00F42A93" w:rsidRPr="00FE5F8B">
        <w:rPr>
          <w:szCs w:val="22"/>
          <w:lang w:val="pt-PT"/>
        </w:rPr>
        <w:t>i ac</w:t>
      </w:r>
      <w:r w:rsidRPr="00FE5F8B">
        <w:rPr>
          <w:szCs w:val="22"/>
          <w:lang w:val="pt-PT"/>
        </w:rPr>
        <w:t xml:space="preserve">atisia </w:t>
      </w:r>
      <w:r w:rsidR="00F42A93" w:rsidRPr="00FE5F8B">
        <w:rPr>
          <w:szCs w:val="22"/>
          <w:lang w:val="pt-PT"/>
        </w:rPr>
        <w:t>e</w:t>
      </w:r>
      <w:r w:rsidRPr="00FE5F8B">
        <w:rPr>
          <w:szCs w:val="22"/>
          <w:lang w:val="pt-PT"/>
        </w:rPr>
        <w:t xml:space="preserve"> parkinsonism</w:t>
      </w:r>
      <w:r w:rsidR="00F42A93" w:rsidRPr="00FE5F8B">
        <w:rPr>
          <w:szCs w:val="22"/>
          <w:lang w:val="pt-PT"/>
        </w:rPr>
        <w:t>o</w:t>
      </w:r>
      <w:r w:rsidRPr="00FE5F8B">
        <w:rPr>
          <w:szCs w:val="22"/>
          <w:lang w:val="pt-PT"/>
        </w:rPr>
        <w:t>.</w:t>
      </w:r>
    </w:p>
    <w:p w14:paraId="0CD748C0" w14:textId="77777777" w:rsidR="00F246AF" w:rsidRPr="00FE5F8B" w:rsidRDefault="00F246AF" w:rsidP="00F246AF">
      <w:pPr>
        <w:autoSpaceDE w:val="0"/>
        <w:autoSpaceDN w:val="0"/>
        <w:adjustRightInd w:val="0"/>
        <w:rPr>
          <w:szCs w:val="22"/>
          <w:lang w:val="pt-PT"/>
        </w:rPr>
      </w:pPr>
      <w:r w:rsidRPr="00FE5F8B">
        <w:rPr>
          <w:szCs w:val="22"/>
          <w:vertAlign w:val="superscript"/>
          <w:lang w:val="pt-PT"/>
        </w:rPr>
        <w:t>6</w:t>
      </w:r>
      <w:r w:rsidRPr="00FE5F8B">
        <w:rPr>
          <w:szCs w:val="22"/>
          <w:lang w:val="pt-PT"/>
        </w:rPr>
        <w:t xml:space="preserve"> </w:t>
      </w:r>
      <w:r w:rsidR="00F42A93" w:rsidRPr="00FE5F8B">
        <w:rPr>
          <w:szCs w:val="22"/>
          <w:lang w:val="pt-PT"/>
        </w:rPr>
        <w:t>Ver</w:t>
      </w:r>
      <w:r w:rsidRPr="00FE5F8B">
        <w:rPr>
          <w:szCs w:val="22"/>
          <w:lang w:val="pt-PT"/>
        </w:rPr>
        <w:t xml:space="preserve"> </w:t>
      </w:r>
      <w:r w:rsidR="00F42A93" w:rsidRPr="00FE5F8B">
        <w:rPr>
          <w:szCs w:val="22"/>
          <w:lang w:val="pt-PT"/>
        </w:rPr>
        <w:t xml:space="preserve">parágrafo sobre </w:t>
      </w:r>
      <w:r w:rsidRPr="00FE5F8B">
        <w:rPr>
          <w:szCs w:val="22"/>
          <w:lang w:val="pt-PT"/>
        </w:rPr>
        <w:t>“</w:t>
      </w:r>
      <w:r w:rsidR="00F42A93" w:rsidRPr="00FE5F8B">
        <w:rPr>
          <w:szCs w:val="22"/>
          <w:lang w:val="pt-PT"/>
        </w:rPr>
        <w:t>Compromisso</w:t>
      </w:r>
      <w:r w:rsidR="00E8636A" w:rsidRPr="00FE5F8B">
        <w:rPr>
          <w:szCs w:val="22"/>
          <w:lang w:val="pt-PT"/>
        </w:rPr>
        <w:t>s</w:t>
      </w:r>
      <w:r w:rsidR="00F42A93" w:rsidRPr="00FE5F8B">
        <w:rPr>
          <w:szCs w:val="22"/>
          <w:lang w:val="pt-PT"/>
        </w:rPr>
        <w:t xml:space="preserve"> vi</w:t>
      </w:r>
      <w:r w:rsidRPr="00FE5F8B">
        <w:rPr>
          <w:szCs w:val="22"/>
          <w:lang w:val="pt-PT"/>
        </w:rPr>
        <w:t>sua</w:t>
      </w:r>
      <w:r w:rsidR="00E8636A" w:rsidRPr="00FE5F8B">
        <w:rPr>
          <w:szCs w:val="22"/>
          <w:lang w:val="pt-PT"/>
        </w:rPr>
        <w:t>is</w:t>
      </w:r>
      <w:r w:rsidRPr="00FE5F8B">
        <w:rPr>
          <w:szCs w:val="22"/>
          <w:lang w:val="pt-PT"/>
        </w:rPr>
        <w:t xml:space="preserve">” </w:t>
      </w:r>
      <w:r w:rsidR="00F42A93" w:rsidRPr="00FE5F8B">
        <w:rPr>
          <w:szCs w:val="22"/>
          <w:lang w:val="pt-PT"/>
        </w:rPr>
        <w:t>na</w:t>
      </w:r>
      <w:r w:rsidRPr="00FE5F8B">
        <w:rPr>
          <w:szCs w:val="22"/>
          <w:lang w:val="pt-PT"/>
        </w:rPr>
        <w:t xml:space="preserve"> sec</w:t>
      </w:r>
      <w:r w:rsidR="00F42A93" w:rsidRPr="00FE5F8B">
        <w:rPr>
          <w:szCs w:val="22"/>
          <w:lang w:val="pt-PT"/>
        </w:rPr>
        <w:t>çã</w:t>
      </w:r>
      <w:r w:rsidRPr="00FE5F8B">
        <w:rPr>
          <w:szCs w:val="22"/>
          <w:lang w:val="pt-PT"/>
        </w:rPr>
        <w:t>o</w:t>
      </w:r>
      <w:r w:rsidR="00F42A93" w:rsidRPr="00FE5F8B">
        <w:rPr>
          <w:szCs w:val="22"/>
          <w:lang w:val="pt-PT"/>
        </w:rPr>
        <w:t> </w:t>
      </w:r>
      <w:r w:rsidRPr="00FE5F8B">
        <w:rPr>
          <w:szCs w:val="22"/>
          <w:lang w:val="pt-PT"/>
        </w:rPr>
        <w:t>4.8.</w:t>
      </w:r>
    </w:p>
    <w:p w14:paraId="3A0E9FBA" w14:textId="77777777" w:rsidR="00F246AF" w:rsidRPr="00FE5F8B" w:rsidRDefault="00F246AF" w:rsidP="00F246AF">
      <w:pPr>
        <w:autoSpaceDE w:val="0"/>
        <w:autoSpaceDN w:val="0"/>
        <w:adjustRightInd w:val="0"/>
        <w:rPr>
          <w:szCs w:val="22"/>
          <w:lang w:val="pt-PT"/>
        </w:rPr>
      </w:pPr>
      <w:r w:rsidRPr="00FE5F8B">
        <w:rPr>
          <w:szCs w:val="22"/>
          <w:vertAlign w:val="superscript"/>
          <w:lang w:val="pt-PT"/>
        </w:rPr>
        <w:t>7</w:t>
      </w:r>
      <w:r w:rsidRPr="00FE5F8B">
        <w:rPr>
          <w:szCs w:val="22"/>
          <w:lang w:val="pt-PT"/>
        </w:rPr>
        <w:t xml:space="preserve"> </w:t>
      </w:r>
      <w:r w:rsidR="00F42A93" w:rsidRPr="00FE5F8B">
        <w:rPr>
          <w:szCs w:val="22"/>
          <w:lang w:val="pt-PT"/>
        </w:rPr>
        <w:t xml:space="preserve">Foi </w:t>
      </w:r>
      <w:r w:rsidR="00131DF4" w:rsidRPr="00FE5F8B">
        <w:rPr>
          <w:szCs w:val="22"/>
          <w:lang w:val="pt-PT"/>
        </w:rPr>
        <w:t xml:space="preserve">notificada </w:t>
      </w:r>
      <w:r w:rsidR="00F42A93" w:rsidRPr="00FE5F8B">
        <w:rPr>
          <w:szCs w:val="22"/>
          <w:lang w:val="pt-PT"/>
        </w:rPr>
        <w:t>nevrite ótica p</w:t>
      </w:r>
      <w:r w:rsidRPr="00FE5F8B">
        <w:rPr>
          <w:szCs w:val="22"/>
          <w:lang w:val="pt-PT"/>
        </w:rPr>
        <w:t>rolong</w:t>
      </w:r>
      <w:r w:rsidR="00F42A93" w:rsidRPr="00FE5F8B">
        <w:rPr>
          <w:szCs w:val="22"/>
          <w:lang w:val="pt-PT"/>
        </w:rPr>
        <w:t>ada na pós-comercialização</w:t>
      </w:r>
      <w:r w:rsidRPr="00FE5F8B">
        <w:rPr>
          <w:szCs w:val="22"/>
          <w:lang w:val="pt-PT"/>
        </w:rPr>
        <w:t xml:space="preserve">. </w:t>
      </w:r>
      <w:r w:rsidR="00F42A93" w:rsidRPr="00FE5F8B">
        <w:rPr>
          <w:szCs w:val="22"/>
          <w:lang w:val="pt-PT"/>
        </w:rPr>
        <w:t>Ver secção </w:t>
      </w:r>
      <w:r w:rsidRPr="00FE5F8B">
        <w:rPr>
          <w:szCs w:val="22"/>
          <w:lang w:val="pt-PT"/>
        </w:rPr>
        <w:t>4.4.</w:t>
      </w:r>
    </w:p>
    <w:p w14:paraId="5E128254" w14:textId="77777777" w:rsidR="00F246AF" w:rsidRPr="00FE5F8B" w:rsidRDefault="00F246AF" w:rsidP="00F246AF">
      <w:pPr>
        <w:autoSpaceDE w:val="0"/>
        <w:autoSpaceDN w:val="0"/>
        <w:adjustRightInd w:val="0"/>
        <w:rPr>
          <w:szCs w:val="22"/>
          <w:lang w:val="pt-PT"/>
        </w:rPr>
      </w:pPr>
      <w:r w:rsidRPr="00FE5F8B">
        <w:rPr>
          <w:szCs w:val="22"/>
          <w:vertAlign w:val="superscript"/>
          <w:lang w:val="pt-PT"/>
        </w:rPr>
        <w:t>8</w:t>
      </w:r>
      <w:r w:rsidRPr="00FE5F8B">
        <w:rPr>
          <w:szCs w:val="22"/>
          <w:lang w:val="pt-PT"/>
        </w:rPr>
        <w:t xml:space="preserve"> </w:t>
      </w:r>
      <w:r w:rsidR="00F42A93" w:rsidRPr="00FE5F8B">
        <w:rPr>
          <w:szCs w:val="22"/>
          <w:lang w:val="pt-PT"/>
        </w:rPr>
        <w:t>Ver secção </w:t>
      </w:r>
      <w:r w:rsidRPr="00FE5F8B">
        <w:rPr>
          <w:szCs w:val="22"/>
          <w:lang w:val="pt-PT"/>
        </w:rPr>
        <w:t>4.4.</w:t>
      </w:r>
    </w:p>
    <w:p w14:paraId="071EAF9A" w14:textId="77777777" w:rsidR="00F246AF" w:rsidRPr="00FE5F8B" w:rsidRDefault="00F246AF" w:rsidP="00F246AF">
      <w:pPr>
        <w:autoSpaceDE w:val="0"/>
        <w:autoSpaceDN w:val="0"/>
        <w:adjustRightInd w:val="0"/>
        <w:rPr>
          <w:szCs w:val="22"/>
          <w:lang w:val="pt-PT"/>
        </w:rPr>
      </w:pPr>
      <w:r w:rsidRPr="00FE5F8B">
        <w:rPr>
          <w:szCs w:val="22"/>
          <w:vertAlign w:val="superscript"/>
          <w:lang w:val="pt-PT"/>
        </w:rPr>
        <w:t>9</w:t>
      </w:r>
      <w:r w:rsidRPr="00FE5F8B">
        <w:rPr>
          <w:szCs w:val="22"/>
          <w:lang w:val="pt-PT"/>
        </w:rPr>
        <w:t xml:space="preserve"> Inclu</w:t>
      </w:r>
      <w:r w:rsidR="00E8636A" w:rsidRPr="00FE5F8B">
        <w:rPr>
          <w:szCs w:val="22"/>
          <w:lang w:val="pt-PT"/>
        </w:rPr>
        <w:t>i dispn</w:t>
      </w:r>
      <w:r w:rsidRPr="00FE5F8B">
        <w:rPr>
          <w:szCs w:val="22"/>
          <w:lang w:val="pt-PT"/>
        </w:rPr>
        <w:t>e</w:t>
      </w:r>
      <w:r w:rsidR="00E8636A" w:rsidRPr="00FE5F8B">
        <w:rPr>
          <w:szCs w:val="22"/>
          <w:lang w:val="pt-PT"/>
        </w:rPr>
        <w:t>i</w:t>
      </w:r>
      <w:r w:rsidRPr="00FE5F8B">
        <w:rPr>
          <w:szCs w:val="22"/>
          <w:lang w:val="pt-PT"/>
        </w:rPr>
        <w:t xml:space="preserve">a </w:t>
      </w:r>
      <w:r w:rsidR="00E8636A" w:rsidRPr="00FE5F8B">
        <w:rPr>
          <w:szCs w:val="22"/>
          <w:lang w:val="pt-PT"/>
        </w:rPr>
        <w:t>e dis</w:t>
      </w:r>
      <w:r w:rsidRPr="00FE5F8B">
        <w:rPr>
          <w:szCs w:val="22"/>
          <w:lang w:val="pt-PT"/>
        </w:rPr>
        <w:t>pne</w:t>
      </w:r>
      <w:r w:rsidR="00E8636A" w:rsidRPr="00FE5F8B">
        <w:rPr>
          <w:szCs w:val="22"/>
          <w:lang w:val="pt-PT"/>
        </w:rPr>
        <w:t>i</w:t>
      </w:r>
      <w:r w:rsidRPr="00FE5F8B">
        <w:rPr>
          <w:szCs w:val="22"/>
          <w:lang w:val="pt-PT"/>
        </w:rPr>
        <w:t xml:space="preserve">a </w:t>
      </w:r>
      <w:r w:rsidR="00E8636A" w:rsidRPr="00FE5F8B">
        <w:rPr>
          <w:szCs w:val="22"/>
          <w:lang w:val="pt-PT"/>
        </w:rPr>
        <w:t>de esforço</w:t>
      </w:r>
      <w:r w:rsidRPr="00FE5F8B">
        <w:rPr>
          <w:szCs w:val="22"/>
          <w:lang w:val="pt-PT"/>
        </w:rPr>
        <w:t>.</w:t>
      </w:r>
    </w:p>
    <w:p w14:paraId="3F436DAE" w14:textId="77777777" w:rsidR="00F246AF" w:rsidRPr="00FE5F8B" w:rsidRDefault="00F246AF" w:rsidP="00F246AF">
      <w:pPr>
        <w:autoSpaceDE w:val="0"/>
        <w:autoSpaceDN w:val="0"/>
        <w:adjustRightInd w:val="0"/>
        <w:rPr>
          <w:szCs w:val="22"/>
          <w:lang w:val="pt-PT"/>
        </w:rPr>
      </w:pPr>
      <w:r w:rsidRPr="00FE5F8B">
        <w:rPr>
          <w:szCs w:val="22"/>
          <w:vertAlign w:val="superscript"/>
          <w:lang w:val="pt-PT"/>
        </w:rPr>
        <w:t>10</w:t>
      </w:r>
      <w:r w:rsidRPr="00FE5F8B">
        <w:rPr>
          <w:szCs w:val="22"/>
          <w:lang w:val="pt-PT"/>
        </w:rPr>
        <w:t xml:space="preserve"> Inclu</w:t>
      </w:r>
      <w:r w:rsidR="00E8636A" w:rsidRPr="00FE5F8B">
        <w:rPr>
          <w:szCs w:val="22"/>
          <w:lang w:val="pt-PT"/>
        </w:rPr>
        <w:t xml:space="preserve">i lesão hepática </w:t>
      </w:r>
      <w:r w:rsidRPr="00FE5F8B">
        <w:rPr>
          <w:szCs w:val="22"/>
          <w:lang w:val="pt-PT"/>
        </w:rPr>
        <w:t>indu</w:t>
      </w:r>
      <w:r w:rsidR="00E8636A" w:rsidRPr="00FE5F8B">
        <w:rPr>
          <w:szCs w:val="22"/>
          <w:lang w:val="pt-PT"/>
        </w:rPr>
        <w:t>zida pelo fármaco</w:t>
      </w:r>
      <w:r w:rsidRPr="00FE5F8B">
        <w:rPr>
          <w:szCs w:val="22"/>
          <w:lang w:val="pt-PT"/>
        </w:rPr>
        <w:t>, hepatit</w:t>
      </w:r>
      <w:r w:rsidR="00E8636A" w:rsidRPr="00FE5F8B">
        <w:rPr>
          <w:szCs w:val="22"/>
          <w:lang w:val="pt-PT"/>
        </w:rPr>
        <w:t>e</w:t>
      </w:r>
      <w:r w:rsidRPr="00FE5F8B">
        <w:rPr>
          <w:szCs w:val="22"/>
          <w:lang w:val="pt-PT"/>
        </w:rPr>
        <w:t xml:space="preserve"> t</w:t>
      </w:r>
      <w:r w:rsidR="00E8636A" w:rsidRPr="00FE5F8B">
        <w:rPr>
          <w:szCs w:val="22"/>
          <w:lang w:val="pt-PT"/>
        </w:rPr>
        <w:t>ó</w:t>
      </w:r>
      <w:r w:rsidRPr="00FE5F8B">
        <w:rPr>
          <w:szCs w:val="22"/>
          <w:lang w:val="pt-PT"/>
        </w:rPr>
        <w:t>xic</w:t>
      </w:r>
      <w:r w:rsidR="00E8636A" w:rsidRPr="00FE5F8B">
        <w:rPr>
          <w:szCs w:val="22"/>
          <w:lang w:val="pt-PT"/>
        </w:rPr>
        <w:t>a</w:t>
      </w:r>
      <w:r w:rsidRPr="00FE5F8B">
        <w:rPr>
          <w:szCs w:val="22"/>
          <w:lang w:val="pt-PT"/>
        </w:rPr>
        <w:t xml:space="preserve">, </w:t>
      </w:r>
      <w:r w:rsidR="00E8636A" w:rsidRPr="00FE5F8B">
        <w:rPr>
          <w:szCs w:val="22"/>
          <w:lang w:val="pt-PT"/>
        </w:rPr>
        <w:t xml:space="preserve">lesão </w:t>
      </w:r>
      <w:r w:rsidRPr="00FE5F8B">
        <w:rPr>
          <w:szCs w:val="22"/>
          <w:lang w:val="pt-PT"/>
        </w:rPr>
        <w:t xml:space="preserve">hepatocelular </w:t>
      </w:r>
      <w:r w:rsidR="00E8636A" w:rsidRPr="00FE5F8B">
        <w:rPr>
          <w:szCs w:val="22"/>
          <w:lang w:val="pt-PT"/>
        </w:rPr>
        <w:t>e</w:t>
      </w:r>
      <w:r w:rsidRPr="00FE5F8B">
        <w:rPr>
          <w:szCs w:val="22"/>
          <w:lang w:val="pt-PT"/>
        </w:rPr>
        <w:t xml:space="preserve"> hepatotoxici</w:t>
      </w:r>
      <w:r w:rsidR="00E8636A" w:rsidRPr="00FE5F8B">
        <w:rPr>
          <w:szCs w:val="22"/>
          <w:lang w:val="pt-PT"/>
        </w:rPr>
        <w:t>dade</w:t>
      </w:r>
      <w:r w:rsidRPr="00FE5F8B">
        <w:rPr>
          <w:szCs w:val="22"/>
          <w:lang w:val="pt-PT"/>
        </w:rPr>
        <w:t>.</w:t>
      </w:r>
    </w:p>
    <w:p w14:paraId="18D371AC" w14:textId="77777777" w:rsidR="00F246AF" w:rsidRPr="00FE5F8B" w:rsidRDefault="00E8636A" w:rsidP="00F246AF">
      <w:pPr>
        <w:autoSpaceDE w:val="0"/>
        <w:autoSpaceDN w:val="0"/>
        <w:adjustRightInd w:val="0"/>
        <w:rPr>
          <w:szCs w:val="22"/>
          <w:lang w:val="pt-PT"/>
        </w:rPr>
      </w:pPr>
      <w:r w:rsidRPr="00FE5F8B">
        <w:rPr>
          <w:szCs w:val="22"/>
          <w:vertAlign w:val="superscript"/>
          <w:lang w:val="pt-PT"/>
        </w:rPr>
        <w:t>11</w:t>
      </w:r>
      <w:r w:rsidRPr="00FE5F8B">
        <w:rPr>
          <w:szCs w:val="22"/>
          <w:lang w:val="pt-PT"/>
        </w:rPr>
        <w:t xml:space="preserve"> Inclui edema periorbital, edema dos lábios e edema da boca.</w:t>
      </w:r>
    </w:p>
    <w:p w14:paraId="02BC9593" w14:textId="77777777" w:rsidR="00CF162A" w:rsidRPr="002A54AF" w:rsidRDefault="00CF162A" w:rsidP="00CF162A">
      <w:pPr>
        <w:rPr>
          <w:szCs w:val="22"/>
          <w:lang w:val="pt-PT"/>
        </w:rPr>
      </w:pPr>
    </w:p>
    <w:p w14:paraId="17C2E3D3" w14:textId="77777777" w:rsidR="00011577" w:rsidRPr="002A54AF" w:rsidRDefault="00011577" w:rsidP="00011577">
      <w:pPr>
        <w:tabs>
          <w:tab w:val="left" w:pos="567"/>
        </w:tabs>
        <w:rPr>
          <w:szCs w:val="22"/>
          <w:u w:val="single"/>
          <w:lang w:val="pt-PT"/>
        </w:rPr>
      </w:pPr>
      <w:r w:rsidRPr="002A54AF">
        <w:rPr>
          <w:szCs w:val="22"/>
          <w:u w:val="single"/>
          <w:lang w:val="pt-PT"/>
        </w:rPr>
        <w:t>Descrição de reações adversas selecionadas</w:t>
      </w:r>
    </w:p>
    <w:p w14:paraId="2AAACAB5" w14:textId="77777777" w:rsidR="00011577" w:rsidRPr="002A54AF" w:rsidRDefault="00011577" w:rsidP="00011577">
      <w:pPr>
        <w:rPr>
          <w:szCs w:val="22"/>
          <w:lang w:val="pt-PT"/>
        </w:rPr>
      </w:pPr>
    </w:p>
    <w:p w14:paraId="752F3CF2" w14:textId="77777777" w:rsidR="00011577" w:rsidRPr="002A54AF" w:rsidRDefault="00E8636A" w:rsidP="00011577">
      <w:pPr>
        <w:pStyle w:val="Heading1"/>
        <w:spacing w:before="0" w:after="0" w:line="240" w:lineRule="auto"/>
        <w:rPr>
          <w:rFonts w:ascii="Times New Roman" w:hAnsi="Times New Roman"/>
          <w:b w:val="0"/>
          <w:i/>
          <w:sz w:val="22"/>
          <w:szCs w:val="22"/>
        </w:rPr>
      </w:pPr>
      <w:r w:rsidRPr="002A54AF">
        <w:rPr>
          <w:rFonts w:ascii="Times New Roman" w:hAnsi="Times New Roman"/>
          <w:b w:val="0"/>
          <w:i/>
          <w:sz w:val="22"/>
          <w:szCs w:val="22"/>
        </w:rPr>
        <w:t>Compromissos visuais</w:t>
      </w:r>
    </w:p>
    <w:p w14:paraId="3041FCC9" w14:textId="77777777" w:rsidR="00011577" w:rsidRPr="002A54AF" w:rsidRDefault="00CF162A" w:rsidP="00011577">
      <w:pPr>
        <w:keepNext/>
        <w:tabs>
          <w:tab w:val="left" w:pos="567"/>
        </w:tabs>
        <w:rPr>
          <w:szCs w:val="22"/>
          <w:lang w:val="pt-PT"/>
        </w:rPr>
      </w:pPr>
      <w:r w:rsidRPr="002A54AF">
        <w:rPr>
          <w:szCs w:val="22"/>
          <w:lang w:val="pt-PT"/>
        </w:rPr>
        <w:t xml:space="preserve">Em ensaios clínicos, os compromissos visuais </w:t>
      </w:r>
      <w:r w:rsidR="00E8636A" w:rsidRPr="002A54AF">
        <w:rPr>
          <w:szCs w:val="22"/>
          <w:lang w:val="pt-PT"/>
        </w:rPr>
        <w:t>(incluindo visão turva, fotofobia, cloropsia, cromatopsia, daltonismo, cianopsia, distúrbio ocular, visão de halo, cegueira noturna, oscilopsia, fotopsia, escotoma cintilante, acuidade visual reduzida, brilho visual, def</w:t>
      </w:r>
      <w:r w:rsidR="00914BE4" w:rsidRPr="002A54AF">
        <w:rPr>
          <w:szCs w:val="22"/>
          <w:lang w:val="pt-PT"/>
        </w:rPr>
        <w:t>e</w:t>
      </w:r>
      <w:r w:rsidR="00E8636A" w:rsidRPr="002A54AF">
        <w:rPr>
          <w:szCs w:val="22"/>
          <w:lang w:val="pt-PT"/>
        </w:rPr>
        <w:t>i</w:t>
      </w:r>
      <w:r w:rsidR="00914BE4" w:rsidRPr="002A54AF">
        <w:rPr>
          <w:szCs w:val="22"/>
          <w:lang w:val="pt-PT"/>
        </w:rPr>
        <w:t>to</w:t>
      </w:r>
      <w:r w:rsidR="00E8636A" w:rsidRPr="002A54AF">
        <w:rPr>
          <w:szCs w:val="22"/>
          <w:lang w:val="pt-PT"/>
        </w:rPr>
        <w:t xml:space="preserve"> no campo visual, fl</w:t>
      </w:r>
      <w:r w:rsidR="00914BE4" w:rsidRPr="002A54AF">
        <w:rPr>
          <w:szCs w:val="22"/>
          <w:lang w:val="pt-PT"/>
        </w:rPr>
        <w:t>ocos</w:t>
      </w:r>
      <w:r w:rsidR="00E8636A" w:rsidRPr="002A54AF">
        <w:rPr>
          <w:szCs w:val="22"/>
          <w:lang w:val="pt-PT"/>
        </w:rPr>
        <w:t xml:space="preserve"> vítreo</w:t>
      </w:r>
      <w:r w:rsidR="00914BE4" w:rsidRPr="002A54AF">
        <w:rPr>
          <w:szCs w:val="22"/>
          <w:lang w:val="pt-PT"/>
        </w:rPr>
        <w:t>s</w:t>
      </w:r>
      <w:r w:rsidR="00E8636A" w:rsidRPr="002A54AF">
        <w:rPr>
          <w:szCs w:val="22"/>
          <w:lang w:val="pt-PT"/>
        </w:rPr>
        <w:t xml:space="preserve"> e xantopsia) </w:t>
      </w:r>
      <w:r w:rsidRPr="002A54AF">
        <w:rPr>
          <w:szCs w:val="22"/>
          <w:lang w:val="pt-PT"/>
        </w:rPr>
        <w:t xml:space="preserve">com voriconazol </w:t>
      </w:r>
      <w:r w:rsidR="00011577" w:rsidRPr="002A54AF">
        <w:rPr>
          <w:szCs w:val="22"/>
          <w:lang w:val="pt-PT"/>
        </w:rPr>
        <w:t>foram muito frequentes. Est</w:t>
      </w:r>
      <w:r w:rsidR="00131DF4" w:rsidRPr="002A54AF">
        <w:rPr>
          <w:szCs w:val="22"/>
          <w:lang w:val="pt-PT"/>
        </w:rPr>
        <w:t>e</w:t>
      </w:r>
      <w:r w:rsidR="00011577" w:rsidRPr="002A54AF">
        <w:rPr>
          <w:szCs w:val="22"/>
          <w:lang w:val="pt-PT"/>
        </w:rPr>
        <w:t xml:space="preserve">s </w:t>
      </w:r>
      <w:r w:rsidR="00131DF4" w:rsidRPr="002A54AF">
        <w:rPr>
          <w:szCs w:val="22"/>
          <w:lang w:val="pt-PT"/>
        </w:rPr>
        <w:t>compromissos visuais</w:t>
      </w:r>
      <w:r w:rsidR="00011577" w:rsidRPr="002A54AF">
        <w:rPr>
          <w:szCs w:val="22"/>
          <w:lang w:val="pt-PT"/>
        </w:rPr>
        <w:t xml:space="preserve"> foram transitóri</w:t>
      </w:r>
      <w:r w:rsidR="00131DF4" w:rsidRPr="002A54AF">
        <w:rPr>
          <w:szCs w:val="22"/>
          <w:lang w:val="pt-PT"/>
        </w:rPr>
        <w:t>o</w:t>
      </w:r>
      <w:r w:rsidR="00011577" w:rsidRPr="002A54AF">
        <w:rPr>
          <w:szCs w:val="22"/>
          <w:lang w:val="pt-PT"/>
        </w:rPr>
        <w:t>s e totalmente reversíveis, sendo a maioria de resolução espontânea em 60</w:t>
      </w:r>
      <w:r w:rsidR="00131DF4" w:rsidRPr="002A54AF">
        <w:rPr>
          <w:szCs w:val="22"/>
          <w:lang w:val="pt-PT"/>
        </w:rPr>
        <w:t> </w:t>
      </w:r>
      <w:r w:rsidR="00011577" w:rsidRPr="002A54AF">
        <w:rPr>
          <w:szCs w:val="22"/>
          <w:lang w:val="pt-PT"/>
        </w:rPr>
        <w:t xml:space="preserve">minutos e não se observaram efeitos clinicamente significativos a longo prazo. Existiu evidência de atenuação dos </w:t>
      </w:r>
      <w:r w:rsidR="00011577" w:rsidRPr="002A54AF">
        <w:rPr>
          <w:szCs w:val="22"/>
          <w:lang w:val="pt-PT"/>
        </w:rPr>
        <w:lastRenderedPageBreak/>
        <w:t xml:space="preserve">sintomas com doses repetidas de voriconazol. </w:t>
      </w:r>
      <w:r w:rsidR="00BB1603" w:rsidRPr="002A54AF">
        <w:rPr>
          <w:szCs w:val="22"/>
          <w:lang w:val="pt-PT"/>
        </w:rPr>
        <w:t>Os compromissos visuais</w:t>
      </w:r>
      <w:r w:rsidR="00011577" w:rsidRPr="002A54AF">
        <w:rPr>
          <w:szCs w:val="22"/>
          <w:lang w:val="pt-PT"/>
        </w:rPr>
        <w:t xml:space="preserve"> foram geralmente ligeir</w:t>
      </w:r>
      <w:r w:rsidR="00DF1C0F" w:rsidRPr="002A54AF">
        <w:rPr>
          <w:szCs w:val="22"/>
          <w:lang w:val="pt-PT"/>
        </w:rPr>
        <w:t>o</w:t>
      </w:r>
      <w:r w:rsidR="00011577" w:rsidRPr="002A54AF">
        <w:rPr>
          <w:szCs w:val="22"/>
          <w:lang w:val="pt-PT"/>
        </w:rPr>
        <w:t xml:space="preserve">s, resultando raramente em descontinuação, e não foram associadas a sequelas a longo prazo. </w:t>
      </w:r>
      <w:r w:rsidR="00914BE4" w:rsidRPr="002A54AF">
        <w:rPr>
          <w:szCs w:val="22"/>
          <w:lang w:val="pt-PT"/>
        </w:rPr>
        <w:t>O</w:t>
      </w:r>
      <w:r w:rsidR="00011577" w:rsidRPr="002A54AF">
        <w:rPr>
          <w:szCs w:val="22"/>
          <w:lang w:val="pt-PT"/>
        </w:rPr>
        <w:t xml:space="preserve">s </w:t>
      </w:r>
      <w:r w:rsidR="00914BE4" w:rsidRPr="002A54AF">
        <w:rPr>
          <w:szCs w:val="22"/>
          <w:lang w:val="pt-PT"/>
        </w:rPr>
        <w:t>compromissos visuais</w:t>
      </w:r>
      <w:r w:rsidR="00011577" w:rsidRPr="002A54AF">
        <w:rPr>
          <w:szCs w:val="22"/>
          <w:lang w:val="pt-PT"/>
        </w:rPr>
        <w:t xml:space="preserve"> podem ser associad</w:t>
      </w:r>
      <w:r w:rsidR="00914BE4" w:rsidRPr="002A54AF">
        <w:rPr>
          <w:szCs w:val="22"/>
          <w:lang w:val="pt-PT"/>
        </w:rPr>
        <w:t>o</w:t>
      </w:r>
      <w:r w:rsidR="00011577" w:rsidRPr="002A54AF">
        <w:rPr>
          <w:szCs w:val="22"/>
          <w:lang w:val="pt-PT"/>
        </w:rPr>
        <w:t>s a concentrações plasmáticas e/ou doses mais elevadas.</w:t>
      </w:r>
    </w:p>
    <w:p w14:paraId="6E8B8202" w14:textId="77777777" w:rsidR="00011577" w:rsidRPr="002A54AF" w:rsidRDefault="00011577" w:rsidP="00011577">
      <w:pPr>
        <w:tabs>
          <w:tab w:val="left" w:pos="567"/>
        </w:tabs>
        <w:rPr>
          <w:szCs w:val="22"/>
          <w:lang w:val="pt-PT"/>
        </w:rPr>
      </w:pPr>
    </w:p>
    <w:p w14:paraId="79078281" w14:textId="77777777" w:rsidR="00011577" w:rsidRPr="002A54AF" w:rsidRDefault="00011577" w:rsidP="00011577">
      <w:pPr>
        <w:tabs>
          <w:tab w:val="left" w:pos="567"/>
        </w:tabs>
        <w:rPr>
          <w:szCs w:val="22"/>
          <w:lang w:val="pt-PT"/>
        </w:rPr>
      </w:pPr>
      <w:r w:rsidRPr="002A54AF">
        <w:rPr>
          <w:szCs w:val="22"/>
          <w:lang w:val="pt-PT"/>
        </w:rPr>
        <w:t>O mecanismo de ação é desconhecido, embora o local de ação mais provável seja a zona interna da retina. Num estudo realizado em voluntários saudáveis em que foi analisado o impacto do voriconazol sobre a função da retina, verificou-se que o voriconazol causou uma diminuição da amplitude das ondas do electrorretinograma (ERG). O ERG permite medir as correntes elétricas na retina. As alterações do ERG não progrediram ao longo dos 29 dias de tratamento e reverteram totalmente com a descontinuação do tratamento com voriconazol.</w:t>
      </w:r>
    </w:p>
    <w:p w14:paraId="302691C4" w14:textId="77777777" w:rsidR="00011577" w:rsidRPr="002A54AF" w:rsidRDefault="00011577" w:rsidP="00011577">
      <w:pPr>
        <w:tabs>
          <w:tab w:val="left" w:pos="567"/>
        </w:tabs>
        <w:rPr>
          <w:szCs w:val="22"/>
          <w:lang w:val="pt-PT"/>
        </w:rPr>
      </w:pPr>
    </w:p>
    <w:p w14:paraId="52B2CC44" w14:textId="77777777" w:rsidR="00CF162A" w:rsidRPr="002A54AF" w:rsidRDefault="00CF162A" w:rsidP="00011577">
      <w:pPr>
        <w:tabs>
          <w:tab w:val="left" w:pos="567"/>
        </w:tabs>
        <w:rPr>
          <w:szCs w:val="22"/>
          <w:lang w:val="pt-PT"/>
        </w:rPr>
      </w:pPr>
      <w:r w:rsidRPr="002A54AF">
        <w:rPr>
          <w:szCs w:val="22"/>
          <w:lang w:val="pt-PT"/>
        </w:rPr>
        <w:t>Ocorreram notificações de acontecimentos adversos visuais prolongados no período pós-comercialização (ver secção 4.4).</w:t>
      </w:r>
    </w:p>
    <w:p w14:paraId="30533228" w14:textId="77777777" w:rsidR="00CF162A" w:rsidRPr="002A54AF" w:rsidRDefault="00CF162A" w:rsidP="00011577">
      <w:pPr>
        <w:tabs>
          <w:tab w:val="left" w:pos="567"/>
        </w:tabs>
        <w:rPr>
          <w:szCs w:val="22"/>
          <w:lang w:val="pt-PT"/>
        </w:rPr>
      </w:pPr>
    </w:p>
    <w:p w14:paraId="02B80020" w14:textId="77777777" w:rsidR="00011577" w:rsidRPr="002A54AF" w:rsidRDefault="00011577" w:rsidP="00011577">
      <w:pPr>
        <w:pStyle w:val="Heading1"/>
        <w:keepNext w:val="0"/>
        <w:spacing w:before="0" w:after="0" w:line="240" w:lineRule="auto"/>
        <w:rPr>
          <w:rFonts w:ascii="Times New Roman" w:hAnsi="Times New Roman"/>
          <w:b w:val="0"/>
          <w:i/>
          <w:sz w:val="22"/>
          <w:szCs w:val="22"/>
        </w:rPr>
      </w:pPr>
      <w:r w:rsidRPr="002A54AF">
        <w:rPr>
          <w:rFonts w:ascii="Times New Roman" w:hAnsi="Times New Roman"/>
          <w:b w:val="0"/>
          <w:i/>
          <w:sz w:val="22"/>
          <w:szCs w:val="22"/>
        </w:rPr>
        <w:t>Reações dermatológicas</w:t>
      </w:r>
    </w:p>
    <w:p w14:paraId="67E98C10" w14:textId="77777777" w:rsidR="00011577" w:rsidRPr="002A54AF" w:rsidRDefault="00011577" w:rsidP="00011577">
      <w:pPr>
        <w:tabs>
          <w:tab w:val="left" w:pos="567"/>
        </w:tabs>
        <w:rPr>
          <w:szCs w:val="22"/>
          <w:lang w:val="pt-PT"/>
        </w:rPr>
      </w:pPr>
      <w:r w:rsidRPr="002A54AF">
        <w:rPr>
          <w:szCs w:val="22"/>
          <w:lang w:val="pt-PT"/>
        </w:rPr>
        <w:t xml:space="preserve">Nos ensaios clínicos realizados, observou-se que as reações dermatológicas eram </w:t>
      </w:r>
      <w:r w:rsidR="00914BE4" w:rsidRPr="002A54AF">
        <w:rPr>
          <w:szCs w:val="22"/>
          <w:lang w:val="pt-PT"/>
        </w:rPr>
        <w:t xml:space="preserve">muito </w:t>
      </w:r>
      <w:r w:rsidRPr="002A54AF">
        <w:rPr>
          <w:szCs w:val="22"/>
          <w:lang w:val="pt-PT"/>
        </w:rPr>
        <w:t xml:space="preserve">comuns em doentes tratados com voriconazol, contudo estes doentes apresentavam doenças subjacentes graves e estavam a receber múltiplos medicamentos concomitantes. A maioria dos casos de </w:t>
      </w:r>
      <w:r w:rsidR="00DF1FC9">
        <w:rPr>
          <w:szCs w:val="22"/>
          <w:lang w:val="pt-PT"/>
        </w:rPr>
        <w:t>erupção cutânea</w:t>
      </w:r>
      <w:r w:rsidR="00DF1FC9" w:rsidRPr="002A54AF">
        <w:rPr>
          <w:szCs w:val="22"/>
          <w:lang w:val="pt-PT"/>
        </w:rPr>
        <w:t xml:space="preserve"> </w:t>
      </w:r>
      <w:r w:rsidRPr="002A54AF">
        <w:rPr>
          <w:szCs w:val="22"/>
          <w:lang w:val="pt-PT"/>
        </w:rPr>
        <w:t>foi de gravidade ligeira a moderada. Durante o tratamento com o voriconazol, os doentes desenvolveram reações</w:t>
      </w:r>
      <w:r w:rsidR="004369DA">
        <w:rPr>
          <w:szCs w:val="22"/>
          <w:lang w:val="pt-PT"/>
        </w:rPr>
        <w:t xml:space="preserve"> adversas</w:t>
      </w:r>
      <w:r w:rsidRPr="002A54AF">
        <w:rPr>
          <w:szCs w:val="22"/>
          <w:lang w:val="pt-PT"/>
        </w:rPr>
        <w:t xml:space="preserve"> cutâneas graves, incluindo síndrome de Stevens-Johnson</w:t>
      </w:r>
      <w:r w:rsidR="004369DA">
        <w:rPr>
          <w:szCs w:val="22"/>
          <w:lang w:val="pt-PT"/>
        </w:rPr>
        <w:t xml:space="preserve"> (SJS)</w:t>
      </w:r>
      <w:r w:rsidR="00914BE4" w:rsidRPr="002A54AF">
        <w:rPr>
          <w:szCs w:val="22"/>
          <w:lang w:val="pt-PT"/>
        </w:rPr>
        <w:t xml:space="preserve"> (pouco frequente)</w:t>
      </w:r>
      <w:r w:rsidRPr="002A54AF">
        <w:rPr>
          <w:szCs w:val="22"/>
          <w:lang w:val="pt-PT"/>
        </w:rPr>
        <w:t xml:space="preserve">, necrólise epidérmica tóxica </w:t>
      </w:r>
      <w:r w:rsidR="004369DA">
        <w:rPr>
          <w:szCs w:val="22"/>
          <w:lang w:val="pt-PT"/>
        </w:rPr>
        <w:t xml:space="preserve">(NET) </w:t>
      </w:r>
      <w:r w:rsidR="00914BE4" w:rsidRPr="002A54AF">
        <w:rPr>
          <w:szCs w:val="22"/>
          <w:lang w:val="pt-PT"/>
        </w:rPr>
        <w:t>(raro)</w:t>
      </w:r>
      <w:r w:rsidR="004369DA">
        <w:rPr>
          <w:szCs w:val="22"/>
          <w:lang w:val="pt-PT"/>
        </w:rPr>
        <w:t xml:space="preserve">, </w:t>
      </w:r>
      <w:r w:rsidR="004369DA" w:rsidRPr="000E218C">
        <w:rPr>
          <w:lang w:val="pt-PT"/>
        </w:rPr>
        <w:t>reação medicamentosa com eosinofilia e sintomas sistémicos (DRESS) (raro)</w:t>
      </w:r>
      <w:r w:rsidR="00914BE4" w:rsidRPr="002A54AF">
        <w:rPr>
          <w:szCs w:val="22"/>
          <w:lang w:val="pt-PT"/>
        </w:rPr>
        <w:t xml:space="preserve"> </w:t>
      </w:r>
      <w:r w:rsidRPr="002A54AF">
        <w:rPr>
          <w:szCs w:val="22"/>
          <w:lang w:val="pt-PT"/>
        </w:rPr>
        <w:t>e eritema multiforme</w:t>
      </w:r>
      <w:r w:rsidR="00914BE4" w:rsidRPr="002A54AF">
        <w:rPr>
          <w:szCs w:val="22"/>
          <w:lang w:val="pt-PT"/>
        </w:rPr>
        <w:t xml:space="preserve"> (raro)</w:t>
      </w:r>
      <w:r w:rsidR="004369DA">
        <w:rPr>
          <w:szCs w:val="22"/>
          <w:lang w:val="pt-PT"/>
        </w:rPr>
        <w:t xml:space="preserve"> </w:t>
      </w:r>
      <w:r w:rsidR="004369DA" w:rsidRPr="00742CF6">
        <w:rPr>
          <w:lang w:val="pt-PT"/>
        </w:rPr>
        <w:t>(ver secção 4.4)</w:t>
      </w:r>
      <w:r w:rsidRPr="002A54AF">
        <w:rPr>
          <w:szCs w:val="22"/>
          <w:lang w:val="pt-PT"/>
        </w:rPr>
        <w:t>.</w:t>
      </w:r>
    </w:p>
    <w:p w14:paraId="05AF23C0" w14:textId="77777777" w:rsidR="00011577" w:rsidRPr="002A54AF" w:rsidRDefault="00011577" w:rsidP="00011577">
      <w:pPr>
        <w:tabs>
          <w:tab w:val="left" w:pos="567"/>
        </w:tabs>
        <w:rPr>
          <w:szCs w:val="22"/>
          <w:lang w:val="pt-PT"/>
        </w:rPr>
      </w:pPr>
    </w:p>
    <w:p w14:paraId="2AFB3061" w14:textId="77777777" w:rsidR="00011577" w:rsidRPr="002A54AF" w:rsidRDefault="00011577" w:rsidP="00011577">
      <w:pPr>
        <w:tabs>
          <w:tab w:val="left" w:pos="567"/>
        </w:tabs>
        <w:rPr>
          <w:szCs w:val="22"/>
          <w:lang w:val="pt-PT"/>
        </w:rPr>
      </w:pPr>
      <w:r w:rsidRPr="002A54AF">
        <w:rPr>
          <w:szCs w:val="22"/>
          <w:lang w:val="pt-PT"/>
        </w:rPr>
        <w:t xml:space="preserve">Caso o doente desenvolva </w:t>
      </w:r>
      <w:r w:rsidR="00DF1FC9">
        <w:rPr>
          <w:szCs w:val="22"/>
          <w:lang w:val="pt-PT"/>
        </w:rPr>
        <w:t>erupção cutânea</w:t>
      </w:r>
      <w:r w:rsidR="00DF1FC9" w:rsidRPr="002A54AF">
        <w:rPr>
          <w:szCs w:val="22"/>
          <w:lang w:val="pt-PT"/>
        </w:rPr>
        <w:t xml:space="preserve"> </w:t>
      </w:r>
      <w:r w:rsidRPr="002A54AF">
        <w:rPr>
          <w:szCs w:val="22"/>
          <w:lang w:val="pt-PT"/>
        </w:rPr>
        <w:t>dever</w:t>
      </w:r>
      <w:r w:rsidR="00E01D64" w:rsidRPr="002A54AF">
        <w:rPr>
          <w:szCs w:val="22"/>
          <w:lang w:val="pt-PT"/>
        </w:rPr>
        <w:t>á</w:t>
      </w:r>
      <w:r w:rsidRPr="002A54AF">
        <w:rPr>
          <w:szCs w:val="22"/>
          <w:lang w:val="pt-PT"/>
        </w:rPr>
        <w:t xml:space="preserve"> ser cuidadosamente monitorizado e Voriconazol Accord descontinuado se as lesões progredirem. Foram relatadas reações de fotossensibilidade, </w:t>
      </w:r>
      <w:r w:rsidR="00DF1C0F" w:rsidRPr="002A54AF">
        <w:rPr>
          <w:szCs w:val="22"/>
          <w:lang w:val="pt-PT"/>
        </w:rPr>
        <w:t xml:space="preserve">como efélides, lentigos e queratose actínica, </w:t>
      </w:r>
      <w:r w:rsidRPr="002A54AF">
        <w:rPr>
          <w:szCs w:val="22"/>
          <w:lang w:val="pt-PT"/>
        </w:rPr>
        <w:t>especialmente durante terapêuticas de longo prazo (ver secção</w:t>
      </w:r>
      <w:r w:rsidR="0017325D" w:rsidRPr="002A54AF">
        <w:rPr>
          <w:szCs w:val="22"/>
          <w:lang w:val="pt-PT"/>
        </w:rPr>
        <w:t> </w:t>
      </w:r>
      <w:r w:rsidRPr="002A54AF">
        <w:rPr>
          <w:szCs w:val="22"/>
          <w:lang w:val="pt-PT"/>
        </w:rPr>
        <w:t>4.4).</w:t>
      </w:r>
    </w:p>
    <w:p w14:paraId="017BB27D" w14:textId="77777777" w:rsidR="00056506" w:rsidRPr="002A54AF" w:rsidRDefault="00056506" w:rsidP="00056506">
      <w:pPr>
        <w:tabs>
          <w:tab w:val="left" w:pos="567"/>
        </w:tabs>
        <w:rPr>
          <w:szCs w:val="22"/>
          <w:lang w:val="pt-PT"/>
        </w:rPr>
      </w:pPr>
    </w:p>
    <w:p w14:paraId="017B1033" w14:textId="19283654" w:rsidR="00056506" w:rsidRPr="002A54AF" w:rsidRDefault="00056506" w:rsidP="00056506">
      <w:pPr>
        <w:tabs>
          <w:tab w:val="left" w:pos="567"/>
        </w:tabs>
        <w:rPr>
          <w:szCs w:val="22"/>
          <w:lang w:val="pt-PT"/>
        </w:rPr>
      </w:pPr>
      <w:r w:rsidRPr="002A54AF">
        <w:rPr>
          <w:szCs w:val="22"/>
          <w:lang w:val="pt-PT"/>
        </w:rPr>
        <w:t xml:space="preserve">Tem havido notificações de carcinoma espinocelular </w:t>
      </w:r>
      <w:r w:rsidR="00ED57C2">
        <w:rPr>
          <w:szCs w:val="22"/>
          <w:lang w:val="pt-PT"/>
        </w:rPr>
        <w:t>(</w:t>
      </w:r>
      <w:r w:rsidR="00ED57C2" w:rsidRPr="00ED57C2">
        <w:rPr>
          <w:szCs w:val="22"/>
          <w:lang w:val="pt-PT"/>
        </w:rPr>
        <w:t xml:space="preserve">incluindo CEC cutâneo </w:t>
      </w:r>
      <w:r w:rsidR="00ED57C2" w:rsidRPr="006D2A27">
        <w:rPr>
          <w:i/>
          <w:iCs/>
          <w:szCs w:val="22"/>
          <w:lang w:val="pt-PT"/>
        </w:rPr>
        <w:t>in situ</w:t>
      </w:r>
      <w:r w:rsidR="00ED57C2" w:rsidRPr="00ED57C2">
        <w:rPr>
          <w:szCs w:val="22"/>
          <w:lang w:val="pt-PT"/>
        </w:rPr>
        <w:t xml:space="preserve"> ou doença de Bowen)</w:t>
      </w:r>
      <w:r w:rsidR="00ED57C2">
        <w:rPr>
          <w:szCs w:val="22"/>
          <w:lang w:val="pt-PT"/>
        </w:rPr>
        <w:t xml:space="preserve"> </w:t>
      </w:r>
      <w:r w:rsidRPr="002A54AF">
        <w:rPr>
          <w:szCs w:val="22"/>
          <w:lang w:val="pt-PT"/>
        </w:rPr>
        <w:t>em doentes tratados com Voriconazol Accord por longos períodos de tempo; ainda não foi estabelecido o mecanismo (ver secção</w:t>
      </w:r>
      <w:r w:rsidR="0017325D" w:rsidRPr="002A54AF">
        <w:rPr>
          <w:szCs w:val="22"/>
          <w:lang w:val="pt-PT"/>
        </w:rPr>
        <w:t> </w:t>
      </w:r>
      <w:r w:rsidRPr="002A54AF">
        <w:rPr>
          <w:szCs w:val="22"/>
          <w:lang w:val="pt-PT"/>
        </w:rPr>
        <w:t>4.4).</w:t>
      </w:r>
    </w:p>
    <w:p w14:paraId="69291D23" w14:textId="77777777" w:rsidR="00011577" w:rsidRPr="002A54AF" w:rsidRDefault="00011577" w:rsidP="00011577">
      <w:pPr>
        <w:tabs>
          <w:tab w:val="left" w:pos="567"/>
        </w:tabs>
        <w:rPr>
          <w:szCs w:val="22"/>
          <w:lang w:val="pt-PT"/>
        </w:rPr>
      </w:pPr>
    </w:p>
    <w:p w14:paraId="694FBE49" w14:textId="77777777" w:rsidR="00011577" w:rsidRPr="002A54AF" w:rsidRDefault="00011577" w:rsidP="00011577">
      <w:pPr>
        <w:tabs>
          <w:tab w:val="left" w:pos="567"/>
        </w:tabs>
        <w:rPr>
          <w:i/>
          <w:szCs w:val="22"/>
          <w:lang w:val="pt-PT"/>
        </w:rPr>
      </w:pPr>
      <w:r w:rsidRPr="002A54AF">
        <w:rPr>
          <w:i/>
          <w:szCs w:val="22"/>
          <w:lang w:val="pt-PT"/>
        </w:rPr>
        <w:t>Testes da função hepática</w:t>
      </w:r>
    </w:p>
    <w:p w14:paraId="3343DDB2" w14:textId="77777777" w:rsidR="009561EC" w:rsidRDefault="00011577" w:rsidP="00011577">
      <w:pPr>
        <w:tabs>
          <w:tab w:val="left" w:pos="567"/>
        </w:tabs>
        <w:rPr>
          <w:szCs w:val="22"/>
          <w:lang w:val="pt-PT"/>
        </w:rPr>
      </w:pPr>
      <w:r w:rsidRPr="002A54AF">
        <w:rPr>
          <w:szCs w:val="22"/>
          <w:lang w:val="pt-PT"/>
        </w:rPr>
        <w:t xml:space="preserve">A incidência global de </w:t>
      </w:r>
      <w:r w:rsidR="00914BE4" w:rsidRPr="002A54AF">
        <w:rPr>
          <w:szCs w:val="22"/>
          <w:lang w:val="pt-PT"/>
        </w:rPr>
        <w:t xml:space="preserve">aumentos </w:t>
      </w:r>
      <w:r w:rsidRPr="002A54AF">
        <w:rPr>
          <w:szCs w:val="22"/>
          <w:lang w:val="pt-PT"/>
        </w:rPr>
        <w:t>das transaminases</w:t>
      </w:r>
      <w:r w:rsidR="00914BE4" w:rsidRPr="002A54AF">
        <w:rPr>
          <w:szCs w:val="22"/>
          <w:lang w:val="pt-PT"/>
        </w:rPr>
        <w:t xml:space="preserve"> &gt; 3 x LSN (não compreende necessariamente um acontecimento adverso)</w:t>
      </w:r>
      <w:r w:rsidRPr="002A54AF">
        <w:rPr>
          <w:szCs w:val="22"/>
          <w:lang w:val="pt-PT"/>
        </w:rPr>
        <w:t xml:space="preserve"> no programa clínico do voriconazol foi de </w:t>
      </w:r>
      <w:r w:rsidR="00914BE4" w:rsidRPr="002A54AF">
        <w:rPr>
          <w:szCs w:val="22"/>
          <w:lang w:val="pt-PT"/>
        </w:rPr>
        <w:t>18,0</w:t>
      </w:r>
      <w:r w:rsidRPr="002A54AF">
        <w:rPr>
          <w:szCs w:val="22"/>
          <w:lang w:val="pt-PT"/>
        </w:rPr>
        <w:t>% (</w:t>
      </w:r>
      <w:r w:rsidR="00914BE4" w:rsidRPr="002A54AF">
        <w:rPr>
          <w:szCs w:val="22"/>
          <w:lang w:val="pt-PT"/>
        </w:rPr>
        <w:t>319</w:t>
      </w:r>
      <w:r w:rsidRPr="002A54AF">
        <w:rPr>
          <w:szCs w:val="22"/>
          <w:lang w:val="pt-PT"/>
        </w:rPr>
        <w:t>/</w:t>
      </w:r>
      <w:r w:rsidR="00914BE4" w:rsidRPr="002A54AF">
        <w:rPr>
          <w:szCs w:val="22"/>
          <w:lang w:val="pt-PT"/>
        </w:rPr>
        <w:t>1768</w:t>
      </w:r>
      <w:r w:rsidRPr="002A54AF">
        <w:rPr>
          <w:szCs w:val="22"/>
          <w:lang w:val="pt-PT"/>
        </w:rPr>
        <w:t xml:space="preserve">) </w:t>
      </w:r>
      <w:r w:rsidR="00914BE4" w:rsidRPr="002A54AF">
        <w:rPr>
          <w:szCs w:val="22"/>
          <w:lang w:val="pt-PT"/>
        </w:rPr>
        <w:t>em adultos e 25,8% (73/283) em</w:t>
      </w:r>
      <w:r w:rsidRPr="002A54AF">
        <w:rPr>
          <w:szCs w:val="22"/>
          <w:lang w:val="pt-PT"/>
        </w:rPr>
        <w:t xml:space="preserve"> indivíduos</w:t>
      </w:r>
      <w:r w:rsidR="00914BE4" w:rsidRPr="002A54AF">
        <w:rPr>
          <w:szCs w:val="22"/>
          <w:lang w:val="pt-PT"/>
        </w:rPr>
        <w:t xml:space="preserve"> pediátricos que receberam</w:t>
      </w:r>
      <w:r w:rsidRPr="002A54AF">
        <w:rPr>
          <w:szCs w:val="22"/>
          <w:lang w:val="pt-PT"/>
        </w:rPr>
        <w:t xml:space="preserve"> voriconazol</w:t>
      </w:r>
      <w:r w:rsidR="00914BE4" w:rsidRPr="002A54AF">
        <w:rPr>
          <w:szCs w:val="22"/>
          <w:lang w:val="pt-PT"/>
        </w:rPr>
        <w:t xml:space="preserve"> </w:t>
      </w:r>
      <w:r w:rsidR="00441B98" w:rsidRPr="002A54AF">
        <w:rPr>
          <w:szCs w:val="22"/>
          <w:lang w:val="pt-PT"/>
        </w:rPr>
        <w:t>em utilização terapêutica e profilática agrupada</w:t>
      </w:r>
      <w:r w:rsidRPr="002A54AF">
        <w:rPr>
          <w:szCs w:val="22"/>
          <w:lang w:val="pt-PT"/>
        </w:rPr>
        <w:t xml:space="preserve">. As alterações dos testes de função hepática podem ser associadas a concentrações e/ou doses plasmáticas mais elevadas. </w:t>
      </w:r>
    </w:p>
    <w:p w14:paraId="4D9CD413" w14:textId="77777777" w:rsidR="009561EC" w:rsidRDefault="009561EC" w:rsidP="00011577">
      <w:pPr>
        <w:tabs>
          <w:tab w:val="left" w:pos="567"/>
        </w:tabs>
        <w:rPr>
          <w:szCs w:val="22"/>
          <w:lang w:val="pt-PT"/>
        </w:rPr>
      </w:pPr>
    </w:p>
    <w:p w14:paraId="1480B1A6" w14:textId="77777777" w:rsidR="00011577" w:rsidRPr="002A54AF" w:rsidRDefault="00011577" w:rsidP="00011577">
      <w:pPr>
        <w:tabs>
          <w:tab w:val="left" w:pos="567"/>
        </w:tabs>
        <w:rPr>
          <w:szCs w:val="22"/>
          <w:lang w:val="pt-PT"/>
        </w:rPr>
      </w:pPr>
      <w:r w:rsidRPr="002A54AF">
        <w:rPr>
          <w:szCs w:val="22"/>
          <w:lang w:val="pt-PT"/>
        </w:rPr>
        <w:t>A maioria das alterações dos testes de função hepática foi resolvida durante o tratamento sem ajustamento da dose ou após ajustamento da dose, incluindo descontinuação do tratamento.</w:t>
      </w:r>
    </w:p>
    <w:p w14:paraId="282BF17E" w14:textId="77777777" w:rsidR="00011577" w:rsidRPr="002A54AF" w:rsidRDefault="00011577" w:rsidP="00011577">
      <w:pPr>
        <w:tabs>
          <w:tab w:val="left" w:pos="567"/>
        </w:tabs>
        <w:rPr>
          <w:szCs w:val="22"/>
          <w:lang w:val="pt-PT"/>
        </w:rPr>
      </w:pPr>
    </w:p>
    <w:p w14:paraId="38DC2D7D" w14:textId="77777777" w:rsidR="00011577" w:rsidRPr="002A54AF" w:rsidRDefault="00441B98" w:rsidP="00011577">
      <w:pPr>
        <w:tabs>
          <w:tab w:val="left" w:pos="567"/>
        </w:tabs>
        <w:rPr>
          <w:szCs w:val="22"/>
          <w:lang w:val="pt-PT"/>
        </w:rPr>
      </w:pPr>
      <w:r w:rsidRPr="002A54AF">
        <w:rPr>
          <w:szCs w:val="22"/>
          <w:lang w:val="pt-PT"/>
        </w:rPr>
        <w:t>O voriconazol foi</w:t>
      </w:r>
      <w:r w:rsidR="00011577" w:rsidRPr="002A54AF">
        <w:rPr>
          <w:szCs w:val="22"/>
          <w:lang w:val="pt-PT"/>
        </w:rPr>
        <w:t xml:space="preserve"> associa</w:t>
      </w:r>
      <w:r w:rsidRPr="002A54AF">
        <w:rPr>
          <w:szCs w:val="22"/>
          <w:lang w:val="pt-PT"/>
        </w:rPr>
        <w:t>d</w:t>
      </w:r>
      <w:r w:rsidR="00011577" w:rsidRPr="002A54AF">
        <w:rPr>
          <w:szCs w:val="22"/>
          <w:lang w:val="pt-PT"/>
        </w:rPr>
        <w:t>o a casos de toxicidade hepática grave em doentes com outras situações subjacentes graves. Tal inclui casos de icterícia, hepatite e afeção hepática causando a morte (ver secção 4.4).</w:t>
      </w:r>
    </w:p>
    <w:p w14:paraId="71C9EF85" w14:textId="77777777" w:rsidR="00E01D64" w:rsidRPr="002A54AF" w:rsidRDefault="00E01D64" w:rsidP="00E01D64">
      <w:pPr>
        <w:tabs>
          <w:tab w:val="left" w:pos="567"/>
        </w:tabs>
        <w:rPr>
          <w:i/>
          <w:szCs w:val="22"/>
          <w:lang w:val="pt-PT"/>
        </w:rPr>
      </w:pPr>
    </w:p>
    <w:p w14:paraId="6AF6BCB9" w14:textId="77777777" w:rsidR="00E01D64" w:rsidRPr="002A54AF" w:rsidRDefault="00E01D64" w:rsidP="00E01D64">
      <w:pPr>
        <w:tabs>
          <w:tab w:val="left" w:pos="567"/>
        </w:tabs>
        <w:rPr>
          <w:i/>
          <w:szCs w:val="22"/>
          <w:lang w:val="pt-PT"/>
        </w:rPr>
      </w:pPr>
      <w:r w:rsidRPr="002A54AF">
        <w:rPr>
          <w:i/>
          <w:szCs w:val="22"/>
          <w:lang w:val="pt-PT"/>
        </w:rPr>
        <w:t>Profilaxia</w:t>
      </w:r>
    </w:p>
    <w:p w14:paraId="16B2E558" w14:textId="77777777" w:rsidR="00011577" w:rsidRPr="002A54AF" w:rsidRDefault="00E01D64" w:rsidP="00E01D64">
      <w:pPr>
        <w:tabs>
          <w:tab w:val="left" w:pos="567"/>
        </w:tabs>
        <w:rPr>
          <w:szCs w:val="22"/>
          <w:lang w:val="pt-PT"/>
        </w:rPr>
      </w:pPr>
      <w:r w:rsidRPr="002A54AF">
        <w:rPr>
          <w:szCs w:val="22"/>
          <w:lang w:val="pt-PT"/>
        </w:rPr>
        <w:t xml:space="preserve">Num estudo aberto, comparativo, multicêntrico de comparação do voriconazol e do itraconazol como profilaxia primária em recetores adultos e adolescentes de HSCT alogénico sem IFI anterior comprovada ou provável, a interrupção permanente do voriconazol devido a acontecimentos adversos foi notificada em 39,3% dos indivíduos </w:t>
      </w:r>
      <w:r w:rsidRPr="002A54AF">
        <w:rPr>
          <w:i/>
          <w:szCs w:val="22"/>
          <w:lang w:val="pt-PT"/>
        </w:rPr>
        <w:t>versus</w:t>
      </w:r>
      <w:r w:rsidRPr="002A54AF">
        <w:rPr>
          <w:szCs w:val="22"/>
          <w:lang w:val="pt-PT"/>
        </w:rPr>
        <w:t xml:space="preserve"> 39,6% dos indivíduos no ramo do itraconazol. Os acontecimentos adversos hepáticos emergentes do tratamento resultaram na interrupção permanente da medicação do estudo em 50 indivíduos (21,4%) tratados com voriconazol e em 18 indivíduos (7,1%) tratados com itraconazol.</w:t>
      </w:r>
    </w:p>
    <w:p w14:paraId="6815163E" w14:textId="77777777" w:rsidR="00E01D64" w:rsidRPr="002A54AF" w:rsidRDefault="00E01D64" w:rsidP="00E01D64">
      <w:pPr>
        <w:tabs>
          <w:tab w:val="left" w:pos="567"/>
        </w:tabs>
        <w:rPr>
          <w:szCs w:val="22"/>
          <w:lang w:val="pt-PT"/>
        </w:rPr>
      </w:pPr>
    </w:p>
    <w:p w14:paraId="0C0327FC" w14:textId="77777777" w:rsidR="00011577" w:rsidRPr="002A54AF" w:rsidRDefault="00011577" w:rsidP="00011577">
      <w:pPr>
        <w:tabs>
          <w:tab w:val="left" w:pos="567"/>
        </w:tabs>
        <w:rPr>
          <w:i/>
          <w:szCs w:val="22"/>
          <w:lang w:val="pt-PT"/>
        </w:rPr>
      </w:pPr>
      <w:r w:rsidRPr="002A54AF">
        <w:rPr>
          <w:i/>
          <w:szCs w:val="22"/>
          <w:lang w:val="pt-PT"/>
        </w:rPr>
        <w:t>População pediátrica</w:t>
      </w:r>
    </w:p>
    <w:p w14:paraId="7021B1C1" w14:textId="77777777" w:rsidR="00011577" w:rsidRPr="002A54AF" w:rsidRDefault="00011577" w:rsidP="00011577">
      <w:pPr>
        <w:tabs>
          <w:tab w:val="left" w:pos="567"/>
        </w:tabs>
        <w:rPr>
          <w:szCs w:val="22"/>
          <w:lang w:val="pt-PT"/>
        </w:rPr>
      </w:pPr>
      <w:r w:rsidRPr="002A54AF">
        <w:rPr>
          <w:szCs w:val="22"/>
          <w:lang w:val="pt-PT"/>
        </w:rPr>
        <w:lastRenderedPageBreak/>
        <w:t>A segurança de voriconazol foi investigada em 28</w:t>
      </w:r>
      <w:r w:rsidR="00441B98" w:rsidRPr="002A54AF">
        <w:rPr>
          <w:szCs w:val="22"/>
          <w:lang w:val="pt-PT"/>
        </w:rPr>
        <w:t>8</w:t>
      </w:r>
      <w:r w:rsidRPr="002A54AF">
        <w:rPr>
          <w:szCs w:val="22"/>
          <w:lang w:val="pt-PT"/>
        </w:rPr>
        <w:t xml:space="preserve"> doentes pediátricos com idades dos 2 aos &lt;12 anos </w:t>
      </w:r>
      <w:r w:rsidR="00441B98" w:rsidRPr="002A54AF">
        <w:rPr>
          <w:szCs w:val="22"/>
          <w:lang w:val="pt-PT"/>
        </w:rPr>
        <w:t xml:space="preserve">(169) e dos 12 aos </w:t>
      </w:r>
      <w:r w:rsidR="003A77A8" w:rsidRPr="002A54AF">
        <w:rPr>
          <w:szCs w:val="22"/>
          <w:lang w:val="pt-PT"/>
        </w:rPr>
        <w:t xml:space="preserve">&lt;18 anos (119) </w:t>
      </w:r>
      <w:r w:rsidRPr="002A54AF">
        <w:rPr>
          <w:szCs w:val="22"/>
          <w:lang w:val="pt-PT"/>
        </w:rPr>
        <w:t xml:space="preserve">que </w:t>
      </w:r>
      <w:r w:rsidR="003A77A8" w:rsidRPr="002A54AF">
        <w:rPr>
          <w:szCs w:val="22"/>
          <w:lang w:val="pt-PT"/>
        </w:rPr>
        <w:t>receberam</w:t>
      </w:r>
      <w:r w:rsidRPr="002A54AF">
        <w:rPr>
          <w:szCs w:val="22"/>
          <w:lang w:val="pt-PT"/>
        </w:rPr>
        <w:t xml:space="preserve"> voriconazol em </w:t>
      </w:r>
      <w:r w:rsidR="003A77A8" w:rsidRPr="002A54AF">
        <w:rPr>
          <w:szCs w:val="22"/>
          <w:lang w:val="pt-PT"/>
        </w:rPr>
        <w:t>utilização profilática (183) e terapêutica (105) em ensaios clínicos</w:t>
      </w:r>
      <w:r w:rsidRPr="002A54AF">
        <w:rPr>
          <w:szCs w:val="22"/>
          <w:lang w:val="pt-PT"/>
        </w:rPr>
        <w:t xml:space="preserve">. </w:t>
      </w:r>
      <w:r w:rsidR="003A77A8" w:rsidRPr="00CB39F3">
        <w:rPr>
          <w:szCs w:val="22"/>
          <w:lang w:val="pt-PT"/>
        </w:rPr>
        <w:t>A segurança de voriconazol foi também investigada em 158 doentes pedi</w:t>
      </w:r>
      <w:r w:rsidR="003A77A8" w:rsidRPr="002A54AF">
        <w:rPr>
          <w:szCs w:val="22"/>
          <w:lang w:val="pt-PT"/>
        </w:rPr>
        <w:t xml:space="preserve">átricos adicionais com </w:t>
      </w:r>
      <w:r w:rsidR="003A77A8" w:rsidRPr="00CB39F3">
        <w:rPr>
          <w:szCs w:val="22"/>
          <w:lang w:val="pt-PT"/>
        </w:rPr>
        <w:t xml:space="preserve">2 </w:t>
      </w:r>
      <w:r w:rsidR="003A77A8" w:rsidRPr="002A54AF">
        <w:rPr>
          <w:szCs w:val="22"/>
          <w:lang w:val="pt-PT"/>
        </w:rPr>
        <w:t>a</w:t>
      </w:r>
      <w:r w:rsidR="003A77A8" w:rsidRPr="00CB39F3">
        <w:rPr>
          <w:szCs w:val="22"/>
          <w:lang w:val="pt-PT"/>
        </w:rPr>
        <w:t xml:space="preserve"> &lt;12</w:t>
      </w:r>
      <w:r w:rsidR="003A77A8" w:rsidRPr="002A54AF">
        <w:rPr>
          <w:szCs w:val="22"/>
          <w:lang w:val="pt-PT"/>
        </w:rPr>
        <w:t xml:space="preserve"> anos de idade em programas de uso </w:t>
      </w:r>
      <w:r w:rsidR="003A77A8" w:rsidRPr="00CB39F3">
        <w:rPr>
          <w:szCs w:val="22"/>
          <w:lang w:val="pt-PT"/>
        </w:rPr>
        <w:t>compassi</w:t>
      </w:r>
      <w:r w:rsidR="003A77A8" w:rsidRPr="002A54AF">
        <w:rPr>
          <w:szCs w:val="22"/>
          <w:lang w:val="pt-PT"/>
        </w:rPr>
        <w:t>v</w:t>
      </w:r>
      <w:r w:rsidR="003A77A8" w:rsidRPr="00CB39F3">
        <w:rPr>
          <w:szCs w:val="22"/>
          <w:lang w:val="pt-PT"/>
        </w:rPr>
        <w:t xml:space="preserve">o. </w:t>
      </w:r>
      <w:r w:rsidR="003A77A8" w:rsidRPr="002A54AF">
        <w:rPr>
          <w:szCs w:val="22"/>
          <w:lang w:val="pt-PT"/>
        </w:rPr>
        <w:t>Globalmente, o</w:t>
      </w:r>
      <w:r w:rsidRPr="002A54AF">
        <w:rPr>
          <w:szCs w:val="22"/>
          <w:lang w:val="pt-PT"/>
        </w:rPr>
        <w:t xml:space="preserve"> perfil de </w:t>
      </w:r>
      <w:r w:rsidR="003A77A8" w:rsidRPr="002A54AF">
        <w:rPr>
          <w:szCs w:val="22"/>
          <w:lang w:val="pt-PT"/>
        </w:rPr>
        <w:t xml:space="preserve">segurança de voriconazol na população pediátrica </w:t>
      </w:r>
      <w:r w:rsidRPr="002A54AF">
        <w:rPr>
          <w:szCs w:val="22"/>
          <w:lang w:val="pt-PT"/>
        </w:rPr>
        <w:t xml:space="preserve">foi semelhante ao dos adultos. </w:t>
      </w:r>
      <w:r w:rsidR="003A77A8" w:rsidRPr="002A54AF">
        <w:rPr>
          <w:szCs w:val="22"/>
          <w:lang w:val="pt-PT"/>
        </w:rPr>
        <w:t>Contudo, observou-se uma tendência para uma maior frequência de elevação das enzimas hepáticas, comunicada como acontecimentos adversos nos ensaios clínicos em doentes pediátricos, em comparação com os adultos (14,2% de aumentos das transaminases em pediatria em comparação com 5,3% nos adultos).</w:t>
      </w:r>
      <w:r w:rsidR="00D70D7B" w:rsidRPr="002A54AF">
        <w:rPr>
          <w:szCs w:val="22"/>
          <w:lang w:val="pt-PT"/>
        </w:rPr>
        <w:t xml:space="preserve"> </w:t>
      </w:r>
      <w:r w:rsidRPr="002A54AF">
        <w:rPr>
          <w:szCs w:val="22"/>
          <w:lang w:val="pt-PT"/>
        </w:rPr>
        <w:t>Os dados pós-comercialização sugiram poder haver uma maior ocorrência de reações cutâneas (</w:t>
      </w:r>
      <w:r w:rsidR="00E01D64" w:rsidRPr="002A54AF">
        <w:rPr>
          <w:szCs w:val="22"/>
          <w:lang w:val="pt-PT"/>
        </w:rPr>
        <w:t xml:space="preserve">especialmente </w:t>
      </w:r>
      <w:r w:rsidRPr="002A54AF">
        <w:rPr>
          <w:szCs w:val="22"/>
          <w:lang w:val="pt-PT"/>
        </w:rPr>
        <w:t>eritema) nos doentes pediátricos, em comparação com os adultos. Nos 22 doentes doentes com idade inferior a 2 anos que receberam voriconazol num programa de uso compassivo, registaram-se as seguintes reações adversas (para os quais não se pode excluir uma relação com o voriconazol): reação de fotosensibilidade (1), arritmia (1), pancreatite (1), bilirrubina plasmática aumentada (1), elevação das enzimas hepáticas (1), erupção cutânea (1) e papiloedema (1). Têm existido notificações pós-comercialização de pancreatite em doentes pediátricos.</w:t>
      </w:r>
    </w:p>
    <w:p w14:paraId="57AD36B1" w14:textId="77777777" w:rsidR="0017325D" w:rsidRPr="002A54AF" w:rsidRDefault="0017325D" w:rsidP="00011577">
      <w:pPr>
        <w:tabs>
          <w:tab w:val="left" w:pos="567"/>
        </w:tabs>
        <w:rPr>
          <w:szCs w:val="22"/>
          <w:lang w:val="pt-PT"/>
        </w:rPr>
      </w:pPr>
    </w:p>
    <w:p w14:paraId="2B180EA0" w14:textId="77777777" w:rsidR="00B94013" w:rsidRPr="00CB39F3" w:rsidRDefault="00B94013" w:rsidP="00B94013">
      <w:pPr>
        <w:tabs>
          <w:tab w:val="left" w:pos="567"/>
        </w:tabs>
        <w:rPr>
          <w:szCs w:val="22"/>
          <w:u w:val="single"/>
          <w:lang w:val="pt-PT"/>
        </w:rPr>
      </w:pPr>
      <w:r w:rsidRPr="00CB39F3">
        <w:rPr>
          <w:szCs w:val="22"/>
          <w:u w:val="single"/>
          <w:lang w:val="pt-PT"/>
        </w:rPr>
        <w:t>Notificação de suspeitas de reações adversas</w:t>
      </w:r>
    </w:p>
    <w:p w14:paraId="54F5E04C" w14:textId="77777777" w:rsidR="00155E2F" w:rsidRDefault="00155E2F" w:rsidP="00B94013">
      <w:pPr>
        <w:tabs>
          <w:tab w:val="left" w:pos="567"/>
        </w:tabs>
        <w:rPr>
          <w:szCs w:val="22"/>
          <w:lang w:val="pt-PT"/>
        </w:rPr>
      </w:pPr>
    </w:p>
    <w:p w14:paraId="77AAAB15" w14:textId="77777777" w:rsidR="00B94013" w:rsidRPr="002A54AF" w:rsidRDefault="00B94013" w:rsidP="00B94013">
      <w:pPr>
        <w:tabs>
          <w:tab w:val="left" w:pos="567"/>
        </w:tabs>
        <w:rPr>
          <w:szCs w:val="22"/>
          <w:lang w:val="pt-PT"/>
        </w:rPr>
      </w:pPr>
      <w:r w:rsidRPr="002A54AF">
        <w:rPr>
          <w:szCs w:val="22"/>
          <w:lang w:val="pt-PT"/>
        </w:rPr>
        <w:t xml:space="preserve">As notificações de suspeitas de reações adversas após a AIM são importantes. Estas permitem a monitorização continua da relação benefício / risco do medicamento. Os profissionais de saúde são convidados a notificar quaisquer suspeitas de reações adversas por meio do </w:t>
      </w:r>
      <w:r w:rsidRPr="009E4DF1">
        <w:rPr>
          <w:szCs w:val="22"/>
          <w:highlight w:val="lightGray"/>
          <w:lang w:val="pt-PT"/>
        </w:rPr>
        <w:t xml:space="preserve">sistema de comunicação nacional listado no </w:t>
      </w:r>
      <w:hyperlink r:id="rId10" w:history="1">
        <w:r w:rsidRPr="001E4B24">
          <w:rPr>
            <w:rStyle w:val="Hyperlink"/>
            <w:szCs w:val="22"/>
            <w:highlight w:val="lightGray"/>
            <w:lang w:val="pt-PT"/>
          </w:rPr>
          <w:t>Apêndice V</w:t>
        </w:r>
      </w:hyperlink>
      <w:r w:rsidRPr="009E4DF1">
        <w:rPr>
          <w:szCs w:val="22"/>
          <w:highlight w:val="lightGray"/>
          <w:lang w:val="pt-PT"/>
        </w:rPr>
        <w:t>.</w:t>
      </w:r>
    </w:p>
    <w:p w14:paraId="69723EE9" w14:textId="77777777" w:rsidR="00011577" w:rsidRPr="002A54AF" w:rsidRDefault="00011577" w:rsidP="00011577">
      <w:pPr>
        <w:tabs>
          <w:tab w:val="left" w:pos="567"/>
        </w:tabs>
        <w:suppressAutoHyphens/>
        <w:rPr>
          <w:b/>
          <w:szCs w:val="22"/>
          <w:lang w:val="pt-PT"/>
        </w:rPr>
      </w:pPr>
    </w:p>
    <w:p w14:paraId="5EE45B44" w14:textId="77777777" w:rsidR="00011577" w:rsidRPr="002A54AF" w:rsidRDefault="00011577" w:rsidP="00011577">
      <w:pPr>
        <w:keepNext/>
        <w:tabs>
          <w:tab w:val="left" w:pos="567"/>
        </w:tabs>
        <w:suppressAutoHyphens/>
        <w:rPr>
          <w:szCs w:val="22"/>
          <w:lang w:val="pt-PT"/>
        </w:rPr>
      </w:pPr>
      <w:r w:rsidRPr="002A54AF">
        <w:rPr>
          <w:b/>
          <w:szCs w:val="22"/>
          <w:lang w:val="pt-PT"/>
        </w:rPr>
        <w:t>4.9</w:t>
      </w:r>
      <w:r w:rsidRPr="002A54AF">
        <w:rPr>
          <w:b/>
          <w:szCs w:val="22"/>
          <w:lang w:val="pt-PT"/>
        </w:rPr>
        <w:tab/>
        <w:t>Sobredosagem</w:t>
      </w:r>
    </w:p>
    <w:p w14:paraId="798E2BBF" w14:textId="77777777" w:rsidR="00011577" w:rsidRPr="002A54AF" w:rsidRDefault="00011577" w:rsidP="00011577">
      <w:pPr>
        <w:pStyle w:val="EndnoteText"/>
        <w:keepNext/>
        <w:widowControl/>
        <w:suppressAutoHyphens/>
        <w:rPr>
          <w:szCs w:val="22"/>
        </w:rPr>
      </w:pPr>
    </w:p>
    <w:p w14:paraId="5E313BBE" w14:textId="77777777" w:rsidR="00011577" w:rsidRPr="002A54AF" w:rsidRDefault="00011577" w:rsidP="00011577">
      <w:pPr>
        <w:keepNext/>
        <w:tabs>
          <w:tab w:val="left" w:pos="567"/>
        </w:tabs>
        <w:suppressAutoHyphens/>
        <w:rPr>
          <w:szCs w:val="22"/>
          <w:lang w:val="pt-PT"/>
        </w:rPr>
      </w:pPr>
      <w:r w:rsidRPr="002A54AF">
        <w:rPr>
          <w:szCs w:val="22"/>
          <w:lang w:val="pt-PT"/>
        </w:rPr>
        <w:t>Em ensaios clínicos houve 3 casos de sobredosagem acidental. Ocorreram todos em doentes pediátricos, que receberam, por via intravenosa, até cinco vezes a dose de voriconazol recomendada. Foi notificada apenas uma reação adversa de fotofobia com a duração de 10 minutos.</w:t>
      </w:r>
    </w:p>
    <w:p w14:paraId="21CDBD85" w14:textId="77777777" w:rsidR="00011577" w:rsidRPr="002A54AF" w:rsidRDefault="00011577" w:rsidP="00011577">
      <w:pPr>
        <w:tabs>
          <w:tab w:val="left" w:pos="567"/>
        </w:tabs>
        <w:suppressAutoHyphens/>
        <w:rPr>
          <w:szCs w:val="22"/>
          <w:lang w:val="pt-PT"/>
        </w:rPr>
      </w:pPr>
    </w:p>
    <w:p w14:paraId="6CEC5475" w14:textId="77777777" w:rsidR="00011577" w:rsidRPr="002A54AF" w:rsidRDefault="00011577" w:rsidP="00011577">
      <w:pPr>
        <w:tabs>
          <w:tab w:val="left" w:pos="567"/>
        </w:tabs>
        <w:suppressAutoHyphens/>
        <w:rPr>
          <w:szCs w:val="22"/>
          <w:lang w:val="pt-PT"/>
        </w:rPr>
      </w:pPr>
      <w:r w:rsidRPr="002A54AF">
        <w:rPr>
          <w:szCs w:val="22"/>
          <w:lang w:val="pt-PT"/>
        </w:rPr>
        <w:t>Não é conhecido o antídoto para o voriconazol.</w:t>
      </w:r>
    </w:p>
    <w:p w14:paraId="4170EEBC" w14:textId="77777777" w:rsidR="00011577" w:rsidRPr="002A54AF" w:rsidRDefault="00011577" w:rsidP="00011577">
      <w:pPr>
        <w:tabs>
          <w:tab w:val="left" w:pos="567"/>
        </w:tabs>
        <w:suppressAutoHyphens/>
        <w:rPr>
          <w:szCs w:val="22"/>
          <w:lang w:val="pt-PT"/>
        </w:rPr>
      </w:pPr>
    </w:p>
    <w:p w14:paraId="2483813C" w14:textId="77777777" w:rsidR="00011577" w:rsidRPr="002A54AF" w:rsidRDefault="00011577" w:rsidP="00011577">
      <w:pPr>
        <w:tabs>
          <w:tab w:val="left" w:pos="567"/>
        </w:tabs>
        <w:suppressAutoHyphens/>
        <w:rPr>
          <w:szCs w:val="22"/>
          <w:lang w:val="pt-PT"/>
        </w:rPr>
      </w:pPr>
      <w:r w:rsidRPr="002A54AF">
        <w:rPr>
          <w:szCs w:val="22"/>
          <w:lang w:val="pt-PT"/>
        </w:rPr>
        <w:t>O voriconazol é hemodialisável com uma depuração de 121 ml/min. Em caso de sobredosagem, a hemodiálise pode contribuir para a remoção do voriconazol do organismo.</w:t>
      </w:r>
    </w:p>
    <w:p w14:paraId="64019397" w14:textId="77777777" w:rsidR="00CE59DC" w:rsidRPr="002A54AF" w:rsidRDefault="00CE59DC" w:rsidP="00011577">
      <w:pPr>
        <w:tabs>
          <w:tab w:val="left" w:pos="567"/>
        </w:tabs>
        <w:suppressAutoHyphens/>
        <w:rPr>
          <w:szCs w:val="22"/>
          <w:lang w:val="pt-PT"/>
        </w:rPr>
      </w:pPr>
    </w:p>
    <w:p w14:paraId="2B87FBEC" w14:textId="77777777" w:rsidR="00011577" w:rsidRPr="002A54AF" w:rsidRDefault="00011577" w:rsidP="00011577">
      <w:pPr>
        <w:tabs>
          <w:tab w:val="left" w:pos="567"/>
        </w:tabs>
        <w:suppressAutoHyphens/>
        <w:rPr>
          <w:szCs w:val="22"/>
          <w:lang w:val="pt-PT"/>
        </w:rPr>
      </w:pPr>
    </w:p>
    <w:p w14:paraId="1AD84E13" w14:textId="77777777" w:rsidR="00011577" w:rsidRPr="002A54AF" w:rsidRDefault="00011577" w:rsidP="00011577">
      <w:pPr>
        <w:tabs>
          <w:tab w:val="left" w:pos="567"/>
        </w:tabs>
        <w:suppressAutoHyphens/>
        <w:rPr>
          <w:szCs w:val="22"/>
          <w:lang w:val="pt-PT"/>
        </w:rPr>
      </w:pPr>
      <w:r w:rsidRPr="002A54AF">
        <w:rPr>
          <w:b/>
          <w:szCs w:val="22"/>
          <w:lang w:val="pt-PT"/>
        </w:rPr>
        <w:t>5.</w:t>
      </w:r>
      <w:r w:rsidRPr="002A54AF">
        <w:rPr>
          <w:b/>
          <w:szCs w:val="22"/>
          <w:lang w:val="pt-PT"/>
        </w:rPr>
        <w:tab/>
        <w:t>PROPRIEDADES FARMACOLÓGICAS</w:t>
      </w:r>
    </w:p>
    <w:p w14:paraId="7737F15C" w14:textId="77777777" w:rsidR="00011577" w:rsidRPr="002A54AF" w:rsidRDefault="00011577" w:rsidP="00011577">
      <w:pPr>
        <w:tabs>
          <w:tab w:val="left" w:pos="567"/>
        </w:tabs>
        <w:suppressAutoHyphens/>
        <w:rPr>
          <w:szCs w:val="22"/>
          <w:lang w:val="pt-PT"/>
        </w:rPr>
      </w:pPr>
    </w:p>
    <w:p w14:paraId="38335B0C" w14:textId="77777777" w:rsidR="00011577" w:rsidRPr="002A54AF" w:rsidRDefault="00011577" w:rsidP="00011577">
      <w:pPr>
        <w:tabs>
          <w:tab w:val="left" w:pos="567"/>
        </w:tabs>
        <w:suppressAutoHyphens/>
        <w:rPr>
          <w:szCs w:val="22"/>
          <w:lang w:val="pt-PT"/>
        </w:rPr>
      </w:pPr>
      <w:r w:rsidRPr="002A54AF">
        <w:rPr>
          <w:b/>
          <w:szCs w:val="22"/>
          <w:lang w:val="pt-PT"/>
        </w:rPr>
        <w:t>5.1</w:t>
      </w:r>
      <w:r w:rsidRPr="002A54AF">
        <w:rPr>
          <w:b/>
          <w:szCs w:val="22"/>
          <w:lang w:val="pt-PT"/>
        </w:rPr>
        <w:tab/>
        <w:t>Propriedades farmacodinâmicas</w:t>
      </w:r>
    </w:p>
    <w:p w14:paraId="2538A252" w14:textId="77777777" w:rsidR="00011577" w:rsidRPr="002A54AF" w:rsidRDefault="00011577" w:rsidP="00011577">
      <w:pPr>
        <w:tabs>
          <w:tab w:val="left" w:pos="567"/>
        </w:tabs>
        <w:suppressAutoHyphens/>
        <w:rPr>
          <w:szCs w:val="22"/>
          <w:lang w:val="pt-PT"/>
        </w:rPr>
      </w:pPr>
    </w:p>
    <w:p w14:paraId="08B7D7CB" w14:textId="6DAC8184" w:rsidR="00011577" w:rsidRPr="002A54AF" w:rsidRDefault="00011577" w:rsidP="00011577">
      <w:pPr>
        <w:tabs>
          <w:tab w:val="left" w:pos="567"/>
        </w:tabs>
        <w:suppressAutoHyphens/>
        <w:rPr>
          <w:szCs w:val="22"/>
          <w:lang w:val="pt-PT"/>
        </w:rPr>
      </w:pPr>
      <w:r w:rsidRPr="002A54AF">
        <w:rPr>
          <w:szCs w:val="22"/>
          <w:lang w:val="pt-PT"/>
        </w:rPr>
        <w:t>Grupo farmacoterapêutico: Antimicóticos para uso sistémico – derivados triazólicos</w:t>
      </w:r>
      <w:r w:rsidR="002E7A16">
        <w:rPr>
          <w:szCs w:val="22"/>
          <w:lang w:val="pt-PT"/>
        </w:rPr>
        <w:t xml:space="preserve"> e tetrazólicos</w:t>
      </w:r>
    </w:p>
    <w:p w14:paraId="0FDE3C79" w14:textId="77777777" w:rsidR="00011577" w:rsidRPr="002A54AF" w:rsidRDefault="00011577" w:rsidP="00011577">
      <w:pPr>
        <w:tabs>
          <w:tab w:val="left" w:pos="567"/>
        </w:tabs>
        <w:suppressAutoHyphens/>
        <w:rPr>
          <w:szCs w:val="22"/>
          <w:lang w:val="pt-PT"/>
        </w:rPr>
      </w:pPr>
      <w:r w:rsidRPr="002A54AF">
        <w:rPr>
          <w:szCs w:val="22"/>
          <w:lang w:val="pt-PT"/>
        </w:rPr>
        <w:t>Código ATC: J02A C03</w:t>
      </w:r>
    </w:p>
    <w:p w14:paraId="5BC2AA7F" w14:textId="77777777" w:rsidR="00011577" w:rsidRPr="002A54AF" w:rsidRDefault="00011577" w:rsidP="00011577">
      <w:pPr>
        <w:pStyle w:val="BodyText2"/>
        <w:tabs>
          <w:tab w:val="left" w:pos="567"/>
        </w:tabs>
        <w:rPr>
          <w:szCs w:val="22"/>
        </w:rPr>
      </w:pPr>
    </w:p>
    <w:p w14:paraId="5613C159" w14:textId="77777777" w:rsidR="00011577" w:rsidRDefault="00011577" w:rsidP="00011577">
      <w:pPr>
        <w:pStyle w:val="Heading2"/>
        <w:keepNext w:val="0"/>
        <w:tabs>
          <w:tab w:val="left" w:pos="567"/>
        </w:tabs>
        <w:ind w:right="0"/>
        <w:rPr>
          <w:b w:val="0"/>
          <w:bCs/>
          <w:szCs w:val="22"/>
          <w:u w:val="single"/>
        </w:rPr>
      </w:pPr>
      <w:r w:rsidRPr="002A54AF">
        <w:rPr>
          <w:b w:val="0"/>
          <w:bCs/>
          <w:szCs w:val="22"/>
          <w:u w:val="single"/>
        </w:rPr>
        <w:t>Modo de ação</w:t>
      </w:r>
    </w:p>
    <w:p w14:paraId="4EED4CCC" w14:textId="77777777" w:rsidR="00155E2F" w:rsidRPr="00CB39F3" w:rsidRDefault="00155E2F" w:rsidP="00CB39F3">
      <w:pPr>
        <w:rPr>
          <w:lang w:val="pt-PT"/>
        </w:rPr>
      </w:pPr>
    </w:p>
    <w:p w14:paraId="00A8034F" w14:textId="77777777" w:rsidR="00011577" w:rsidRPr="002A54AF" w:rsidRDefault="00011577" w:rsidP="00011577">
      <w:pPr>
        <w:tabs>
          <w:tab w:val="left" w:pos="567"/>
        </w:tabs>
        <w:suppressAutoHyphens/>
        <w:rPr>
          <w:szCs w:val="22"/>
          <w:lang w:val="pt-PT"/>
        </w:rPr>
      </w:pPr>
      <w:r w:rsidRPr="002A54AF">
        <w:rPr>
          <w:szCs w:val="22"/>
          <w:lang w:val="pt-PT"/>
        </w:rPr>
        <w:t>O voriconazol é um agente antifúngico triazólico. O principal modo de ação do voriconazol é a inibição do citocromo P450 fúngico mediado pela desmetilação do 14 alfa-lanosterol, uma etapa essencial na biossíntese do ergosterol fúngico. A acumulação do esterol 14 alfa-metilo está relacionada com a subsequente perda de ergosterol na membrana da célula fúngica e pode ser responsável pela atividade antifúngica do voriconazol. O voriconazol demonstrou ser mais seletivo para as enzimas fúngicas do citocromo P450, do que para vários sistemas enzimáticos do citocromo P450 dos mamíferos.</w:t>
      </w:r>
    </w:p>
    <w:p w14:paraId="48938EF8" w14:textId="77777777" w:rsidR="00011577" w:rsidRPr="002A54AF" w:rsidRDefault="00011577" w:rsidP="00011577">
      <w:pPr>
        <w:tabs>
          <w:tab w:val="left" w:pos="567"/>
        </w:tabs>
        <w:suppressAutoHyphens/>
        <w:rPr>
          <w:szCs w:val="22"/>
          <w:lang w:val="pt-PT"/>
        </w:rPr>
      </w:pPr>
    </w:p>
    <w:p w14:paraId="5FE08C72" w14:textId="77777777" w:rsidR="00011577" w:rsidRDefault="00011577" w:rsidP="00011577">
      <w:pPr>
        <w:pStyle w:val="Heading3"/>
        <w:keepNext w:val="0"/>
        <w:tabs>
          <w:tab w:val="clear" w:pos="570"/>
          <w:tab w:val="left" w:pos="567"/>
        </w:tabs>
        <w:ind w:left="0" w:firstLine="0"/>
        <w:rPr>
          <w:b w:val="0"/>
          <w:szCs w:val="22"/>
          <w:u w:val="single"/>
        </w:rPr>
      </w:pPr>
      <w:r w:rsidRPr="002A54AF">
        <w:rPr>
          <w:b w:val="0"/>
          <w:szCs w:val="22"/>
          <w:u w:val="single"/>
        </w:rPr>
        <w:t xml:space="preserve">Relação </w:t>
      </w:r>
      <w:r w:rsidR="00E01D64" w:rsidRPr="002A54AF">
        <w:rPr>
          <w:b w:val="0"/>
          <w:szCs w:val="22"/>
          <w:u w:val="single"/>
        </w:rPr>
        <w:t>f</w:t>
      </w:r>
      <w:r w:rsidRPr="002A54AF">
        <w:rPr>
          <w:b w:val="0"/>
          <w:szCs w:val="22"/>
          <w:u w:val="single"/>
        </w:rPr>
        <w:t>armacocinética-</w:t>
      </w:r>
      <w:r w:rsidR="00E01D64" w:rsidRPr="002A54AF">
        <w:rPr>
          <w:b w:val="0"/>
          <w:szCs w:val="22"/>
          <w:u w:val="single"/>
        </w:rPr>
        <w:t>f</w:t>
      </w:r>
      <w:r w:rsidRPr="002A54AF">
        <w:rPr>
          <w:b w:val="0"/>
          <w:szCs w:val="22"/>
          <w:u w:val="single"/>
        </w:rPr>
        <w:t>armacodinâmica</w:t>
      </w:r>
    </w:p>
    <w:p w14:paraId="4478DA3D" w14:textId="77777777" w:rsidR="00155E2F" w:rsidRPr="00CB39F3" w:rsidRDefault="00155E2F" w:rsidP="00CB39F3">
      <w:pPr>
        <w:rPr>
          <w:lang w:val="pt-PT"/>
        </w:rPr>
      </w:pPr>
    </w:p>
    <w:p w14:paraId="6B59346B" w14:textId="77777777" w:rsidR="00011577" w:rsidRPr="002A54AF" w:rsidRDefault="00011577" w:rsidP="00011577">
      <w:pPr>
        <w:tabs>
          <w:tab w:val="left" w:pos="567"/>
        </w:tabs>
        <w:suppressAutoHyphens/>
        <w:rPr>
          <w:szCs w:val="22"/>
          <w:lang w:val="pt-PT"/>
        </w:rPr>
      </w:pPr>
      <w:r w:rsidRPr="002A54AF">
        <w:rPr>
          <w:szCs w:val="22"/>
          <w:lang w:val="pt-PT"/>
        </w:rPr>
        <w:t xml:space="preserve">Em 10 estudos terapêuticos, a mediana das concentrações plasmáticas média e máxima, em cada indivíduo, ao longo dos estudos foi de 2425 ng/ml (intervalo interquartil de 1193 a 4380 ng/ml) e de 3742 ng/ml (intervalo interquartil de 2027 a 6302 ng/ml), respetivamente. Não foi encontrada uma </w:t>
      </w:r>
      <w:r w:rsidRPr="002A54AF">
        <w:rPr>
          <w:szCs w:val="22"/>
          <w:lang w:val="pt-PT"/>
        </w:rPr>
        <w:lastRenderedPageBreak/>
        <w:t>associação positiva entre a concentração plasmática mínima, máxima ou média de voriconazol e a eficácia em estudos terapêuticos</w:t>
      </w:r>
      <w:r w:rsidR="00E01D64" w:rsidRPr="002A54AF">
        <w:rPr>
          <w:szCs w:val="22"/>
          <w:lang w:val="pt-PT"/>
        </w:rPr>
        <w:t xml:space="preserve"> e esta relação não foi explorada em estudos em profilaxia</w:t>
      </w:r>
      <w:r w:rsidRPr="002A54AF">
        <w:rPr>
          <w:szCs w:val="22"/>
          <w:lang w:val="pt-PT"/>
        </w:rPr>
        <w:t>.</w:t>
      </w:r>
    </w:p>
    <w:p w14:paraId="583CDA0A" w14:textId="77777777" w:rsidR="00011577" w:rsidRPr="002A54AF" w:rsidRDefault="00011577" w:rsidP="00011577">
      <w:pPr>
        <w:tabs>
          <w:tab w:val="left" w:pos="567"/>
        </w:tabs>
        <w:suppressAutoHyphens/>
        <w:rPr>
          <w:szCs w:val="22"/>
          <w:lang w:val="pt-PT"/>
        </w:rPr>
      </w:pPr>
    </w:p>
    <w:p w14:paraId="3185A480" w14:textId="77777777" w:rsidR="00011577" w:rsidRPr="002A54AF" w:rsidRDefault="00011577" w:rsidP="00011577">
      <w:pPr>
        <w:pStyle w:val="BodyText2"/>
        <w:tabs>
          <w:tab w:val="left" w:pos="567"/>
        </w:tabs>
        <w:rPr>
          <w:szCs w:val="22"/>
        </w:rPr>
      </w:pPr>
      <w:r w:rsidRPr="002A54AF">
        <w:rPr>
          <w:szCs w:val="22"/>
        </w:rPr>
        <w:t>A análise farmacocinética/farmacodinâmica de dados de ensaios clínicos identificou associações positivas entre as concentrações plasmáticas de voriconazol e ambas as</w:t>
      </w:r>
      <w:r w:rsidRPr="002A54AF">
        <w:rPr>
          <w:b/>
          <w:szCs w:val="22"/>
        </w:rPr>
        <w:t xml:space="preserve"> </w:t>
      </w:r>
      <w:r w:rsidRPr="002A54AF">
        <w:rPr>
          <w:szCs w:val="22"/>
        </w:rPr>
        <w:t>alterações dos testes da função hepática e os distúrbios oculares.</w:t>
      </w:r>
      <w:r w:rsidR="00E01D64" w:rsidRPr="002A54AF">
        <w:rPr>
          <w:szCs w:val="22"/>
        </w:rPr>
        <w:t xml:space="preserve"> Os ajustes de dose não foram explorados em estudos em profilaxia.</w:t>
      </w:r>
    </w:p>
    <w:p w14:paraId="6F04876E" w14:textId="77777777" w:rsidR="00011577" w:rsidRPr="002A54AF" w:rsidRDefault="00011577" w:rsidP="00011577">
      <w:pPr>
        <w:tabs>
          <w:tab w:val="left" w:pos="567"/>
        </w:tabs>
        <w:suppressAutoHyphens/>
        <w:rPr>
          <w:szCs w:val="22"/>
          <w:u w:val="single"/>
          <w:lang w:val="pt-PT"/>
        </w:rPr>
      </w:pPr>
    </w:p>
    <w:p w14:paraId="1BCC8B5D" w14:textId="77777777" w:rsidR="00011577" w:rsidRDefault="00011577" w:rsidP="00011577">
      <w:pPr>
        <w:tabs>
          <w:tab w:val="left" w:pos="567"/>
        </w:tabs>
        <w:suppressAutoHyphens/>
        <w:rPr>
          <w:szCs w:val="22"/>
          <w:u w:val="single"/>
          <w:lang w:val="pt-PT"/>
        </w:rPr>
      </w:pPr>
      <w:r w:rsidRPr="002A54AF">
        <w:rPr>
          <w:szCs w:val="22"/>
          <w:u w:val="single"/>
          <w:lang w:val="pt-PT"/>
        </w:rPr>
        <w:t>Eficácia e segurança clínica</w:t>
      </w:r>
    </w:p>
    <w:p w14:paraId="110B20C4" w14:textId="77777777" w:rsidR="00155E2F" w:rsidRPr="002A54AF" w:rsidRDefault="00155E2F" w:rsidP="00011577">
      <w:pPr>
        <w:tabs>
          <w:tab w:val="left" w:pos="567"/>
        </w:tabs>
        <w:suppressAutoHyphens/>
        <w:rPr>
          <w:szCs w:val="22"/>
          <w:u w:val="single"/>
          <w:lang w:val="pt-PT"/>
        </w:rPr>
      </w:pPr>
    </w:p>
    <w:p w14:paraId="72F4B898" w14:textId="77777777" w:rsidR="00011577" w:rsidRPr="002A54AF" w:rsidRDefault="00011577" w:rsidP="00011577">
      <w:pPr>
        <w:tabs>
          <w:tab w:val="left" w:pos="567"/>
        </w:tabs>
        <w:suppressAutoHyphens/>
        <w:rPr>
          <w:szCs w:val="22"/>
          <w:lang w:val="pt-PT"/>
        </w:rPr>
      </w:pPr>
      <w:r w:rsidRPr="002A54AF">
        <w:rPr>
          <w:i/>
          <w:szCs w:val="22"/>
          <w:lang w:val="pt-PT"/>
        </w:rPr>
        <w:t>In vitro,</w:t>
      </w:r>
      <w:r w:rsidRPr="002A54AF">
        <w:rPr>
          <w:szCs w:val="22"/>
          <w:lang w:val="pt-PT"/>
        </w:rPr>
        <w:t xml:space="preserve"> o voriconazol, apresenta atividade antifúngica de largo espectro com ação contra espécies de </w:t>
      </w:r>
      <w:r w:rsidRPr="002A54AF">
        <w:rPr>
          <w:i/>
          <w:szCs w:val="22"/>
          <w:lang w:val="pt-PT"/>
        </w:rPr>
        <w:t>Candida</w:t>
      </w:r>
      <w:r w:rsidRPr="002A54AF">
        <w:rPr>
          <w:szCs w:val="22"/>
          <w:lang w:val="pt-PT"/>
        </w:rPr>
        <w:t xml:space="preserve"> (incluindo </w:t>
      </w:r>
      <w:r w:rsidRPr="002A54AF">
        <w:rPr>
          <w:i/>
          <w:szCs w:val="22"/>
          <w:lang w:val="pt-PT"/>
        </w:rPr>
        <w:t xml:space="preserve">C. krusei </w:t>
      </w:r>
      <w:r w:rsidRPr="002A54AF">
        <w:rPr>
          <w:szCs w:val="22"/>
          <w:lang w:val="pt-PT"/>
        </w:rPr>
        <w:t xml:space="preserve">resistente ao fluconazol e estirpes resistentes de </w:t>
      </w:r>
      <w:r w:rsidRPr="002A54AF">
        <w:rPr>
          <w:i/>
          <w:szCs w:val="22"/>
          <w:lang w:val="pt-PT"/>
        </w:rPr>
        <w:t xml:space="preserve">C. glabrata </w:t>
      </w:r>
      <w:r w:rsidRPr="002A54AF">
        <w:rPr>
          <w:szCs w:val="22"/>
          <w:lang w:val="pt-PT"/>
        </w:rPr>
        <w:t xml:space="preserve">e </w:t>
      </w:r>
      <w:r w:rsidRPr="002A54AF">
        <w:rPr>
          <w:i/>
          <w:szCs w:val="22"/>
          <w:lang w:val="pt-PT"/>
        </w:rPr>
        <w:t>C. albicans</w:t>
      </w:r>
      <w:r w:rsidRPr="002A54AF">
        <w:rPr>
          <w:szCs w:val="22"/>
          <w:lang w:val="pt-PT"/>
        </w:rPr>
        <w:t xml:space="preserve">) e atividade fungicida contra todas as espécies de </w:t>
      </w:r>
      <w:r w:rsidRPr="002A54AF">
        <w:rPr>
          <w:i/>
          <w:szCs w:val="22"/>
          <w:lang w:val="pt-PT"/>
        </w:rPr>
        <w:t>Aspergillus</w:t>
      </w:r>
      <w:r w:rsidRPr="002A54AF">
        <w:rPr>
          <w:szCs w:val="22"/>
          <w:lang w:val="pt-PT"/>
        </w:rPr>
        <w:t xml:space="preserve"> testadas. Adicionalmente, o voriconazol apresenta atividade fungicida </w:t>
      </w:r>
      <w:r w:rsidRPr="002A54AF">
        <w:rPr>
          <w:i/>
          <w:szCs w:val="22"/>
          <w:lang w:val="pt-PT"/>
        </w:rPr>
        <w:t>in vitro</w:t>
      </w:r>
      <w:r w:rsidRPr="002A54AF">
        <w:rPr>
          <w:szCs w:val="22"/>
          <w:lang w:val="pt-PT"/>
        </w:rPr>
        <w:t xml:space="preserve"> contra agentes patogénicos fúngicos emergentes, incluindo </w:t>
      </w:r>
      <w:r w:rsidRPr="002A54AF">
        <w:rPr>
          <w:i/>
          <w:szCs w:val="22"/>
          <w:lang w:val="pt-PT"/>
        </w:rPr>
        <w:t xml:space="preserve">Scedosporium </w:t>
      </w:r>
      <w:r w:rsidRPr="002A54AF">
        <w:rPr>
          <w:szCs w:val="22"/>
          <w:lang w:val="pt-PT"/>
        </w:rPr>
        <w:t xml:space="preserve">ou </w:t>
      </w:r>
      <w:r w:rsidRPr="002A54AF">
        <w:rPr>
          <w:i/>
          <w:szCs w:val="22"/>
          <w:lang w:val="pt-PT"/>
        </w:rPr>
        <w:t xml:space="preserve">Fusarium </w:t>
      </w:r>
      <w:r w:rsidRPr="002A54AF">
        <w:rPr>
          <w:szCs w:val="22"/>
          <w:lang w:val="pt-PT"/>
        </w:rPr>
        <w:t xml:space="preserve">que possuem sensibilidade limitada aos agentes antifúngicos existentes. </w:t>
      </w:r>
    </w:p>
    <w:p w14:paraId="315AA4AB" w14:textId="77777777" w:rsidR="00011577" w:rsidRPr="002A54AF" w:rsidRDefault="00011577" w:rsidP="00011577">
      <w:pPr>
        <w:tabs>
          <w:tab w:val="left" w:pos="567"/>
        </w:tabs>
        <w:suppressAutoHyphens/>
        <w:rPr>
          <w:szCs w:val="22"/>
          <w:u w:val="single"/>
          <w:lang w:val="pt-PT"/>
        </w:rPr>
      </w:pPr>
    </w:p>
    <w:p w14:paraId="7D6BFAED" w14:textId="77777777" w:rsidR="00011577" w:rsidRPr="002A54AF" w:rsidRDefault="00011577" w:rsidP="00011577">
      <w:pPr>
        <w:tabs>
          <w:tab w:val="left" w:pos="567"/>
        </w:tabs>
        <w:suppressAutoHyphens/>
        <w:rPr>
          <w:szCs w:val="22"/>
          <w:lang w:val="pt-PT"/>
        </w:rPr>
      </w:pPr>
      <w:r w:rsidRPr="002A54AF">
        <w:rPr>
          <w:szCs w:val="22"/>
          <w:lang w:val="pt-PT"/>
        </w:rPr>
        <w:t>Tem sido demonstrada eficácia clínica</w:t>
      </w:r>
      <w:r w:rsidR="00E01D64" w:rsidRPr="002A54AF">
        <w:rPr>
          <w:szCs w:val="22"/>
          <w:lang w:val="pt-PT"/>
        </w:rPr>
        <w:t>,</w:t>
      </w:r>
      <w:r w:rsidRPr="002A54AF">
        <w:rPr>
          <w:szCs w:val="22"/>
          <w:lang w:val="pt-PT"/>
        </w:rPr>
        <w:t xml:space="preserve"> </w:t>
      </w:r>
      <w:r w:rsidR="00E01D64" w:rsidRPr="002A54AF">
        <w:rPr>
          <w:szCs w:val="22"/>
          <w:lang w:val="pt-PT"/>
        </w:rPr>
        <w:t xml:space="preserve">definida </w:t>
      </w:r>
      <w:r w:rsidRPr="002A54AF">
        <w:rPr>
          <w:szCs w:val="22"/>
          <w:lang w:val="pt-PT"/>
        </w:rPr>
        <w:t>com</w:t>
      </w:r>
      <w:r w:rsidR="00E01D64" w:rsidRPr="002A54AF">
        <w:rPr>
          <w:szCs w:val="22"/>
          <w:lang w:val="pt-PT"/>
        </w:rPr>
        <w:t>o</w:t>
      </w:r>
      <w:r w:rsidRPr="002A54AF">
        <w:rPr>
          <w:szCs w:val="22"/>
          <w:lang w:val="pt-PT"/>
        </w:rPr>
        <w:t xml:space="preserve"> resposta completa ou parcial, para </w:t>
      </w:r>
      <w:r w:rsidRPr="002A54AF">
        <w:rPr>
          <w:i/>
          <w:szCs w:val="22"/>
          <w:lang w:val="pt-PT"/>
        </w:rPr>
        <w:t xml:space="preserve">Aspergillus </w:t>
      </w:r>
      <w:r w:rsidRPr="002A54AF">
        <w:rPr>
          <w:szCs w:val="22"/>
          <w:lang w:val="pt-PT"/>
        </w:rPr>
        <w:t xml:space="preserve">spp., incluindo </w:t>
      </w:r>
      <w:r w:rsidRPr="002A54AF">
        <w:rPr>
          <w:i/>
          <w:szCs w:val="22"/>
          <w:lang w:val="pt-PT"/>
        </w:rPr>
        <w:t xml:space="preserve">A. flavus, A. fumigatus, A. terreus, A. niger, A. nidulans, Candida </w:t>
      </w:r>
      <w:r w:rsidRPr="002A54AF">
        <w:rPr>
          <w:szCs w:val="22"/>
          <w:lang w:val="pt-PT"/>
        </w:rPr>
        <w:t>spp., incluindo</w:t>
      </w:r>
      <w:r w:rsidRPr="002A54AF">
        <w:rPr>
          <w:i/>
          <w:szCs w:val="22"/>
          <w:lang w:val="pt-PT"/>
        </w:rPr>
        <w:t xml:space="preserve"> C. albicans, C. glabrata, C. krusei, C. parapsilosis e C. tropicalis </w:t>
      </w:r>
      <w:r w:rsidRPr="002A54AF">
        <w:rPr>
          <w:szCs w:val="22"/>
          <w:lang w:val="pt-PT"/>
        </w:rPr>
        <w:t xml:space="preserve">e um número limitado de </w:t>
      </w:r>
      <w:r w:rsidRPr="002A54AF">
        <w:rPr>
          <w:i/>
          <w:szCs w:val="22"/>
          <w:lang w:val="pt-PT"/>
        </w:rPr>
        <w:t>C. dubliniensis, C. incunspicua</w:t>
      </w:r>
      <w:r w:rsidRPr="002A54AF">
        <w:rPr>
          <w:szCs w:val="22"/>
          <w:lang w:val="pt-PT"/>
        </w:rPr>
        <w:t xml:space="preserve"> e </w:t>
      </w:r>
      <w:r w:rsidRPr="002A54AF">
        <w:rPr>
          <w:i/>
          <w:szCs w:val="22"/>
          <w:lang w:val="pt-PT"/>
        </w:rPr>
        <w:t>C. guilliermondii, Scedosporium</w:t>
      </w:r>
      <w:r w:rsidRPr="002A54AF">
        <w:rPr>
          <w:szCs w:val="22"/>
          <w:lang w:val="pt-PT"/>
        </w:rPr>
        <w:t xml:space="preserve"> spp. incluindo </w:t>
      </w:r>
      <w:r w:rsidRPr="002A54AF">
        <w:rPr>
          <w:i/>
          <w:szCs w:val="22"/>
          <w:lang w:val="pt-PT"/>
        </w:rPr>
        <w:t xml:space="preserve">S. apiospermum, S. prolificans </w:t>
      </w:r>
      <w:r w:rsidRPr="002A54AF">
        <w:rPr>
          <w:szCs w:val="22"/>
          <w:lang w:val="pt-PT"/>
        </w:rPr>
        <w:t xml:space="preserve">e </w:t>
      </w:r>
      <w:r w:rsidRPr="002A54AF">
        <w:rPr>
          <w:i/>
          <w:szCs w:val="22"/>
          <w:lang w:val="pt-PT"/>
        </w:rPr>
        <w:t xml:space="preserve">Fusarium </w:t>
      </w:r>
      <w:r w:rsidRPr="002A54AF">
        <w:rPr>
          <w:szCs w:val="22"/>
          <w:lang w:val="pt-PT"/>
        </w:rPr>
        <w:t>spp..</w:t>
      </w:r>
    </w:p>
    <w:p w14:paraId="328648E4" w14:textId="77777777" w:rsidR="00011577" w:rsidRPr="002A54AF" w:rsidRDefault="00011577" w:rsidP="00011577">
      <w:pPr>
        <w:tabs>
          <w:tab w:val="left" w:pos="567"/>
        </w:tabs>
        <w:suppressAutoHyphens/>
        <w:rPr>
          <w:szCs w:val="22"/>
          <w:lang w:val="pt-PT"/>
        </w:rPr>
      </w:pPr>
    </w:p>
    <w:p w14:paraId="64A710CB" w14:textId="77777777" w:rsidR="00011577" w:rsidRPr="002A54AF" w:rsidRDefault="00011577" w:rsidP="00011577">
      <w:pPr>
        <w:tabs>
          <w:tab w:val="left" w:pos="567"/>
        </w:tabs>
        <w:suppressAutoHyphens/>
        <w:rPr>
          <w:i/>
          <w:szCs w:val="22"/>
          <w:lang w:val="pt-PT"/>
        </w:rPr>
      </w:pPr>
      <w:r w:rsidRPr="002A54AF">
        <w:rPr>
          <w:szCs w:val="22"/>
          <w:lang w:val="pt-PT"/>
        </w:rPr>
        <w:t>Outras infeções fúngicas tratadas (frequente</w:t>
      </w:r>
      <w:r w:rsidR="00E01D64" w:rsidRPr="002A54AF">
        <w:rPr>
          <w:szCs w:val="22"/>
          <w:lang w:val="pt-PT"/>
        </w:rPr>
        <w:t>mente</w:t>
      </w:r>
      <w:r w:rsidRPr="002A54AF">
        <w:rPr>
          <w:szCs w:val="22"/>
          <w:lang w:val="pt-PT"/>
        </w:rPr>
        <w:t xml:space="preserve"> </w:t>
      </w:r>
      <w:r w:rsidR="00E01D64" w:rsidRPr="002A54AF">
        <w:rPr>
          <w:szCs w:val="22"/>
          <w:lang w:val="pt-PT"/>
        </w:rPr>
        <w:t xml:space="preserve">com </w:t>
      </w:r>
      <w:r w:rsidRPr="002A54AF">
        <w:rPr>
          <w:szCs w:val="22"/>
          <w:lang w:val="pt-PT"/>
        </w:rPr>
        <w:t xml:space="preserve">resposta completa ou parcial) incluem casos isolados de </w:t>
      </w:r>
      <w:r w:rsidRPr="002A54AF">
        <w:rPr>
          <w:i/>
          <w:szCs w:val="22"/>
          <w:lang w:val="pt-PT"/>
        </w:rPr>
        <w:t xml:space="preserve">Alternaria </w:t>
      </w:r>
      <w:r w:rsidRPr="002A54AF">
        <w:rPr>
          <w:szCs w:val="22"/>
          <w:lang w:val="pt-PT"/>
        </w:rPr>
        <w:t xml:space="preserve">spp., </w:t>
      </w:r>
      <w:r w:rsidRPr="002A54AF">
        <w:rPr>
          <w:i/>
          <w:szCs w:val="22"/>
          <w:lang w:val="pt-PT"/>
        </w:rPr>
        <w:t>Blastomyces dermatitidis, Blastoschizomyces capitatus, Cladosporium</w:t>
      </w:r>
      <w:r w:rsidRPr="002A54AF">
        <w:rPr>
          <w:szCs w:val="22"/>
          <w:lang w:val="pt-PT"/>
        </w:rPr>
        <w:t xml:space="preserve"> spp., </w:t>
      </w:r>
      <w:r w:rsidRPr="002A54AF">
        <w:rPr>
          <w:i/>
          <w:szCs w:val="22"/>
          <w:lang w:val="pt-PT"/>
        </w:rPr>
        <w:t xml:space="preserve">Coccidioides immitis, Conidiobolus coronatus, Cryptococcus neoformans, Exserohilum rostratum, Exophiala spinifera, Fonsecaea pedrosoi, Madurella mycetomatis, Paecilomyces lilacinus, Penicillium </w:t>
      </w:r>
      <w:r w:rsidRPr="002A54AF">
        <w:rPr>
          <w:szCs w:val="22"/>
          <w:lang w:val="pt-PT"/>
        </w:rPr>
        <w:t>spp.</w:t>
      </w:r>
      <w:r w:rsidRPr="002A54AF">
        <w:rPr>
          <w:i/>
          <w:szCs w:val="22"/>
          <w:lang w:val="pt-PT"/>
        </w:rPr>
        <w:t xml:space="preserve">, </w:t>
      </w:r>
      <w:r w:rsidRPr="002A54AF">
        <w:rPr>
          <w:szCs w:val="22"/>
          <w:lang w:val="pt-PT"/>
        </w:rPr>
        <w:t xml:space="preserve">incluindo </w:t>
      </w:r>
      <w:r w:rsidRPr="002A54AF">
        <w:rPr>
          <w:i/>
          <w:szCs w:val="22"/>
          <w:lang w:val="pt-PT"/>
        </w:rPr>
        <w:t xml:space="preserve">P. marneffei, Phialophora richardsiae, Scopulariopsis brevicaulis </w:t>
      </w:r>
      <w:r w:rsidRPr="002A54AF">
        <w:rPr>
          <w:szCs w:val="22"/>
          <w:lang w:val="pt-PT"/>
        </w:rPr>
        <w:t xml:space="preserve">e </w:t>
      </w:r>
      <w:r w:rsidRPr="002A54AF">
        <w:rPr>
          <w:i/>
          <w:szCs w:val="22"/>
          <w:lang w:val="pt-PT"/>
        </w:rPr>
        <w:t xml:space="preserve">Trichosporon </w:t>
      </w:r>
      <w:r w:rsidRPr="002A54AF">
        <w:rPr>
          <w:szCs w:val="22"/>
          <w:lang w:val="pt-PT"/>
        </w:rPr>
        <w:t xml:space="preserve">spp. incluindo infeções por </w:t>
      </w:r>
      <w:r w:rsidRPr="002A54AF">
        <w:rPr>
          <w:i/>
          <w:szCs w:val="22"/>
          <w:lang w:val="pt-PT"/>
        </w:rPr>
        <w:t>T. beigelii.</w:t>
      </w:r>
    </w:p>
    <w:p w14:paraId="783C1DE6" w14:textId="77777777" w:rsidR="00011577" w:rsidRPr="002A54AF" w:rsidRDefault="00011577" w:rsidP="00011577">
      <w:pPr>
        <w:tabs>
          <w:tab w:val="left" w:pos="567"/>
        </w:tabs>
        <w:suppressAutoHyphens/>
        <w:rPr>
          <w:i/>
          <w:szCs w:val="22"/>
          <w:lang w:val="pt-PT"/>
        </w:rPr>
      </w:pPr>
    </w:p>
    <w:p w14:paraId="3553FECF" w14:textId="77777777" w:rsidR="00011577" w:rsidRDefault="00011577" w:rsidP="00011577">
      <w:pPr>
        <w:tabs>
          <w:tab w:val="left" w:pos="567"/>
        </w:tabs>
        <w:suppressAutoHyphens/>
        <w:rPr>
          <w:szCs w:val="22"/>
          <w:lang w:val="pt-PT"/>
        </w:rPr>
      </w:pPr>
      <w:r w:rsidRPr="002A54AF">
        <w:rPr>
          <w:szCs w:val="22"/>
          <w:lang w:val="pt-PT"/>
        </w:rPr>
        <w:t xml:space="preserve">Tem sido observada atividade </w:t>
      </w:r>
      <w:r w:rsidRPr="002A54AF">
        <w:rPr>
          <w:i/>
          <w:szCs w:val="22"/>
          <w:lang w:val="pt-PT"/>
        </w:rPr>
        <w:t>in vitro</w:t>
      </w:r>
      <w:r w:rsidRPr="002A54AF">
        <w:rPr>
          <w:szCs w:val="22"/>
          <w:lang w:val="pt-PT"/>
        </w:rPr>
        <w:t xml:space="preserve"> contra os agentes isolados na clínica de </w:t>
      </w:r>
      <w:r w:rsidRPr="002A54AF">
        <w:rPr>
          <w:i/>
          <w:szCs w:val="22"/>
          <w:lang w:val="pt-PT"/>
        </w:rPr>
        <w:t xml:space="preserve">Acremonium </w:t>
      </w:r>
      <w:r w:rsidRPr="002A54AF">
        <w:rPr>
          <w:szCs w:val="22"/>
          <w:lang w:val="pt-PT"/>
        </w:rPr>
        <w:t>spp.</w:t>
      </w:r>
      <w:r w:rsidRPr="002A54AF">
        <w:rPr>
          <w:i/>
          <w:szCs w:val="22"/>
          <w:lang w:val="pt-PT"/>
        </w:rPr>
        <w:t xml:space="preserve">, Alternaria </w:t>
      </w:r>
      <w:r w:rsidRPr="002A54AF">
        <w:rPr>
          <w:szCs w:val="22"/>
          <w:lang w:val="pt-PT"/>
        </w:rPr>
        <w:t xml:space="preserve">spp., </w:t>
      </w:r>
      <w:r w:rsidRPr="002A54AF">
        <w:rPr>
          <w:i/>
          <w:szCs w:val="22"/>
          <w:lang w:val="pt-PT"/>
        </w:rPr>
        <w:t xml:space="preserve">Bipolaris </w:t>
      </w:r>
      <w:r w:rsidRPr="002A54AF">
        <w:rPr>
          <w:szCs w:val="22"/>
          <w:lang w:val="pt-PT"/>
        </w:rPr>
        <w:t xml:space="preserve">spp., </w:t>
      </w:r>
      <w:r w:rsidRPr="002A54AF">
        <w:rPr>
          <w:i/>
          <w:szCs w:val="22"/>
          <w:lang w:val="pt-PT"/>
        </w:rPr>
        <w:t xml:space="preserve">Cladophialophora </w:t>
      </w:r>
      <w:r w:rsidRPr="002A54AF">
        <w:rPr>
          <w:szCs w:val="22"/>
          <w:lang w:val="pt-PT"/>
        </w:rPr>
        <w:t>spp</w:t>
      </w:r>
      <w:r w:rsidR="00E01D64" w:rsidRPr="002A54AF">
        <w:rPr>
          <w:szCs w:val="22"/>
          <w:lang w:val="pt-PT"/>
        </w:rPr>
        <w:t xml:space="preserve">. e </w:t>
      </w:r>
      <w:r w:rsidRPr="002A54AF">
        <w:rPr>
          <w:i/>
          <w:szCs w:val="22"/>
          <w:lang w:val="pt-PT"/>
        </w:rPr>
        <w:t xml:space="preserve">Histoplasma capsulatum </w:t>
      </w:r>
      <w:r w:rsidRPr="002A54AF">
        <w:rPr>
          <w:szCs w:val="22"/>
          <w:lang w:val="pt-PT"/>
        </w:rPr>
        <w:t>sendo a maioria das estirpes inibida por concentrações de voriconazol no intervalo de 0,05 a 2 </w:t>
      </w:r>
      <w:r w:rsidR="00DC7907">
        <w:rPr>
          <w:szCs w:val="22"/>
          <w:lang w:val="pt-PT"/>
        </w:rPr>
        <w:t>µ</w:t>
      </w:r>
      <w:r w:rsidRPr="002A54AF">
        <w:rPr>
          <w:szCs w:val="22"/>
          <w:lang w:val="pt-PT"/>
        </w:rPr>
        <w:t>g/ml.</w:t>
      </w:r>
    </w:p>
    <w:p w14:paraId="72632795" w14:textId="77777777" w:rsidR="00DC7907" w:rsidRPr="002A54AF" w:rsidRDefault="00DC7907" w:rsidP="00011577">
      <w:pPr>
        <w:tabs>
          <w:tab w:val="left" w:pos="567"/>
        </w:tabs>
        <w:suppressAutoHyphens/>
        <w:rPr>
          <w:szCs w:val="22"/>
          <w:lang w:val="pt-PT"/>
        </w:rPr>
      </w:pPr>
    </w:p>
    <w:p w14:paraId="60F27DE8" w14:textId="77777777" w:rsidR="00011577" w:rsidRPr="002A54AF" w:rsidRDefault="00011577" w:rsidP="00011577">
      <w:pPr>
        <w:tabs>
          <w:tab w:val="left" w:pos="567"/>
        </w:tabs>
        <w:suppressAutoHyphens/>
        <w:rPr>
          <w:szCs w:val="22"/>
          <w:lang w:val="pt-PT"/>
        </w:rPr>
      </w:pPr>
      <w:r w:rsidRPr="002A54AF">
        <w:rPr>
          <w:szCs w:val="22"/>
          <w:lang w:val="pt-PT"/>
        </w:rPr>
        <w:t xml:space="preserve">Foi demonstrada atividade </w:t>
      </w:r>
      <w:r w:rsidRPr="002A54AF">
        <w:rPr>
          <w:i/>
          <w:szCs w:val="22"/>
          <w:lang w:val="pt-PT"/>
        </w:rPr>
        <w:t>in vitro</w:t>
      </w:r>
      <w:r w:rsidRPr="002A54AF">
        <w:rPr>
          <w:szCs w:val="22"/>
          <w:lang w:val="pt-PT"/>
        </w:rPr>
        <w:t xml:space="preserve"> para os agentes patogénicos que se seguem, sendo o significado clínico desconhecido: </w:t>
      </w:r>
      <w:r w:rsidRPr="002A54AF">
        <w:rPr>
          <w:i/>
          <w:szCs w:val="22"/>
          <w:lang w:val="pt-PT"/>
        </w:rPr>
        <w:t xml:space="preserve">Curvularia </w:t>
      </w:r>
      <w:r w:rsidRPr="002A54AF">
        <w:rPr>
          <w:szCs w:val="22"/>
          <w:lang w:val="pt-PT"/>
        </w:rPr>
        <w:t>spp. e</w:t>
      </w:r>
      <w:r w:rsidRPr="002A54AF">
        <w:rPr>
          <w:i/>
          <w:szCs w:val="22"/>
          <w:lang w:val="pt-PT"/>
        </w:rPr>
        <w:t xml:space="preserve"> Sporothrix </w:t>
      </w:r>
      <w:r w:rsidRPr="002A54AF">
        <w:rPr>
          <w:szCs w:val="22"/>
          <w:lang w:val="pt-PT"/>
        </w:rPr>
        <w:t>spp.</w:t>
      </w:r>
    </w:p>
    <w:p w14:paraId="51D51402" w14:textId="77777777" w:rsidR="00011577" w:rsidRPr="002A54AF" w:rsidRDefault="00011577" w:rsidP="00011577">
      <w:pPr>
        <w:tabs>
          <w:tab w:val="left" w:pos="567"/>
        </w:tabs>
        <w:suppressAutoHyphens/>
        <w:rPr>
          <w:szCs w:val="22"/>
          <w:u w:val="single"/>
          <w:lang w:val="pt-PT"/>
        </w:rPr>
      </w:pPr>
    </w:p>
    <w:p w14:paraId="766D6BB0" w14:textId="77777777" w:rsidR="00011577" w:rsidRPr="00CB39F3" w:rsidRDefault="00011577" w:rsidP="00011577">
      <w:pPr>
        <w:tabs>
          <w:tab w:val="left" w:pos="567"/>
        </w:tabs>
        <w:suppressAutoHyphens/>
        <w:rPr>
          <w:i/>
          <w:szCs w:val="22"/>
          <w:lang w:val="pt-PT"/>
        </w:rPr>
      </w:pPr>
      <w:r w:rsidRPr="00CB39F3">
        <w:rPr>
          <w:i/>
          <w:szCs w:val="22"/>
          <w:lang w:val="pt-PT"/>
        </w:rPr>
        <w:t>Parâmetros de avaliação</w:t>
      </w:r>
    </w:p>
    <w:p w14:paraId="5EC92C68" w14:textId="77777777" w:rsidR="00CE59DC" w:rsidRPr="002A54AF" w:rsidRDefault="00011577" w:rsidP="00011577">
      <w:pPr>
        <w:tabs>
          <w:tab w:val="left" w:pos="567"/>
        </w:tabs>
        <w:suppressAutoHyphens/>
        <w:rPr>
          <w:szCs w:val="22"/>
          <w:lang w:val="pt-PT"/>
        </w:rPr>
      </w:pPr>
      <w:r w:rsidRPr="002A54AF">
        <w:rPr>
          <w:szCs w:val="22"/>
          <w:lang w:val="pt-PT"/>
        </w:rPr>
        <w:t>Antes do início da terapêutica devem ser obtidas amostras para cultura fúngica e para outros estudos</w:t>
      </w:r>
    </w:p>
    <w:p w14:paraId="66B97A28" w14:textId="77777777" w:rsidR="00011577" w:rsidRPr="002A54AF" w:rsidRDefault="00011577" w:rsidP="00011577">
      <w:pPr>
        <w:tabs>
          <w:tab w:val="left" w:pos="567"/>
        </w:tabs>
        <w:suppressAutoHyphens/>
        <w:rPr>
          <w:szCs w:val="22"/>
          <w:lang w:val="pt-PT"/>
        </w:rPr>
      </w:pPr>
      <w:r w:rsidRPr="002A54AF">
        <w:rPr>
          <w:szCs w:val="22"/>
          <w:lang w:val="pt-PT"/>
        </w:rPr>
        <w:t>laboratoriais relevantes (serologia, histopatologia) para isolar e identificar os microrganismos causais. A terapêutica pode ser instituída antes do resultado das culturas e de outros estudos laboratoriais serem conhecidos; no entanto, logo que estes resultados estejam disponíveis, a terapêutica anti-infeciosa deve ser ajustada em conformidade.</w:t>
      </w:r>
    </w:p>
    <w:p w14:paraId="74902B57" w14:textId="77777777" w:rsidR="00011577" w:rsidRPr="002A54AF" w:rsidRDefault="00011577" w:rsidP="00011577">
      <w:pPr>
        <w:tabs>
          <w:tab w:val="left" w:pos="567"/>
        </w:tabs>
        <w:suppressAutoHyphens/>
        <w:rPr>
          <w:szCs w:val="22"/>
          <w:lang w:val="pt-PT"/>
        </w:rPr>
      </w:pPr>
    </w:p>
    <w:p w14:paraId="59DBAE80" w14:textId="77777777" w:rsidR="00011577" w:rsidRPr="002A54AF" w:rsidRDefault="00011577" w:rsidP="00011577">
      <w:pPr>
        <w:tabs>
          <w:tab w:val="left" w:pos="567"/>
        </w:tabs>
        <w:suppressAutoHyphens/>
        <w:rPr>
          <w:szCs w:val="22"/>
          <w:lang w:val="pt-PT"/>
        </w:rPr>
      </w:pPr>
      <w:r w:rsidRPr="002A54AF">
        <w:rPr>
          <w:szCs w:val="22"/>
          <w:lang w:val="pt-PT"/>
        </w:rPr>
        <w:t xml:space="preserve">As espécies envolvidas com maior frequência em infeções humanas incluem: </w:t>
      </w:r>
      <w:r w:rsidRPr="002A54AF">
        <w:rPr>
          <w:i/>
          <w:szCs w:val="22"/>
          <w:lang w:val="pt-PT"/>
        </w:rPr>
        <w:t>C. albicans</w:t>
      </w:r>
      <w:r w:rsidRPr="002A54AF">
        <w:rPr>
          <w:szCs w:val="22"/>
          <w:lang w:val="pt-PT"/>
        </w:rPr>
        <w:t xml:space="preserve">, </w:t>
      </w:r>
      <w:r w:rsidRPr="002A54AF">
        <w:rPr>
          <w:i/>
          <w:szCs w:val="22"/>
          <w:lang w:val="pt-PT"/>
        </w:rPr>
        <w:t>C. parapsilosis, C. tropicalis, C. glabrata</w:t>
      </w:r>
      <w:r w:rsidRPr="002A54AF">
        <w:rPr>
          <w:szCs w:val="22"/>
          <w:lang w:val="pt-PT"/>
        </w:rPr>
        <w:t xml:space="preserve">  e </w:t>
      </w:r>
      <w:r w:rsidRPr="002A54AF">
        <w:rPr>
          <w:i/>
          <w:szCs w:val="22"/>
          <w:lang w:val="pt-PT"/>
        </w:rPr>
        <w:t>C. krusei</w:t>
      </w:r>
      <w:r w:rsidRPr="002A54AF">
        <w:rPr>
          <w:szCs w:val="22"/>
          <w:lang w:val="pt-PT"/>
        </w:rPr>
        <w:t xml:space="preserve">, as quais exibem usualmente valores das </w:t>
      </w:r>
      <w:r w:rsidR="00E63E5B" w:rsidRPr="002A54AF">
        <w:rPr>
          <w:szCs w:val="22"/>
          <w:lang w:val="pt-PT"/>
        </w:rPr>
        <w:t>concentrações inibidoras mínimas (</w:t>
      </w:r>
      <w:r w:rsidRPr="002A54AF">
        <w:rPr>
          <w:szCs w:val="22"/>
          <w:lang w:val="pt-PT"/>
        </w:rPr>
        <w:t>CIM</w:t>
      </w:r>
      <w:r w:rsidR="00E63E5B" w:rsidRPr="002A54AF">
        <w:rPr>
          <w:szCs w:val="22"/>
          <w:lang w:val="pt-PT"/>
        </w:rPr>
        <w:t>s)</w:t>
      </w:r>
      <w:r w:rsidRPr="002A54AF">
        <w:rPr>
          <w:szCs w:val="22"/>
          <w:lang w:val="pt-PT"/>
        </w:rPr>
        <w:t xml:space="preserve"> de menos de 1</w:t>
      </w:r>
      <w:r w:rsidR="0020636B" w:rsidRPr="002A54AF">
        <w:rPr>
          <w:szCs w:val="22"/>
          <w:lang w:val="pt-PT"/>
        </w:rPr>
        <w:t> </w:t>
      </w:r>
      <w:r w:rsidRPr="002A54AF">
        <w:rPr>
          <w:szCs w:val="22"/>
          <w:lang w:val="pt-PT"/>
        </w:rPr>
        <w:t>mg/l para o voriconazol.</w:t>
      </w:r>
    </w:p>
    <w:p w14:paraId="5BC2551E" w14:textId="77777777" w:rsidR="00011577" w:rsidRPr="002A54AF" w:rsidRDefault="00011577" w:rsidP="00011577">
      <w:pPr>
        <w:tabs>
          <w:tab w:val="left" w:pos="567"/>
        </w:tabs>
        <w:suppressAutoHyphens/>
        <w:rPr>
          <w:szCs w:val="22"/>
          <w:lang w:val="pt-PT"/>
        </w:rPr>
      </w:pPr>
    </w:p>
    <w:p w14:paraId="494839F6" w14:textId="77777777" w:rsidR="00011577" w:rsidRPr="002A54AF" w:rsidRDefault="00011577" w:rsidP="00011577">
      <w:pPr>
        <w:tabs>
          <w:tab w:val="left" w:pos="567"/>
        </w:tabs>
        <w:suppressAutoHyphens/>
        <w:rPr>
          <w:szCs w:val="22"/>
          <w:lang w:val="pt-PT"/>
        </w:rPr>
      </w:pPr>
      <w:r w:rsidRPr="002A54AF">
        <w:rPr>
          <w:szCs w:val="22"/>
          <w:lang w:val="pt-PT"/>
        </w:rPr>
        <w:t xml:space="preserve">No entanto, a atividade </w:t>
      </w:r>
      <w:r w:rsidRPr="002A54AF">
        <w:rPr>
          <w:i/>
          <w:szCs w:val="22"/>
          <w:lang w:val="pt-PT"/>
        </w:rPr>
        <w:t xml:space="preserve">in vitro </w:t>
      </w:r>
      <w:r w:rsidRPr="002A54AF">
        <w:rPr>
          <w:szCs w:val="22"/>
          <w:lang w:val="pt-PT"/>
        </w:rPr>
        <w:t xml:space="preserve">do voriconazol contra espécies de </w:t>
      </w:r>
      <w:r w:rsidRPr="002A54AF">
        <w:rPr>
          <w:i/>
          <w:szCs w:val="22"/>
          <w:lang w:val="pt-PT"/>
        </w:rPr>
        <w:t xml:space="preserve">Candida </w:t>
      </w:r>
      <w:r w:rsidRPr="002A54AF">
        <w:rPr>
          <w:szCs w:val="22"/>
          <w:lang w:val="pt-PT"/>
        </w:rPr>
        <w:t xml:space="preserve">não é uniforme. Especificamente para a </w:t>
      </w:r>
      <w:r w:rsidRPr="002A54AF">
        <w:rPr>
          <w:i/>
          <w:szCs w:val="22"/>
          <w:lang w:val="pt-PT"/>
        </w:rPr>
        <w:t xml:space="preserve">C. glabrata, </w:t>
      </w:r>
      <w:r w:rsidRPr="002A54AF">
        <w:rPr>
          <w:szCs w:val="22"/>
          <w:lang w:val="pt-PT"/>
        </w:rPr>
        <w:t xml:space="preserve">as CIM do voriconazol para agentes isolados resistentes ao fluconazol são proporcionalmente maiores que as CIM do voriconazol para agentes isolados sensíveis ao fluconazol. Desta forma, devem ser feitas todas as tentativas para identificar a </w:t>
      </w:r>
      <w:r w:rsidRPr="002A54AF">
        <w:rPr>
          <w:i/>
          <w:szCs w:val="22"/>
          <w:lang w:val="pt-PT"/>
        </w:rPr>
        <w:t xml:space="preserve">Candida </w:t>
      </w:r>
      <w:r w:rsidRPr="002A54AF">
        <w:rPr>
          <w:szCs w:val="22"/>
          <w:lang w:val="pt-PT"/>
        </w:rPr>
        <w:t xml:space="preserve">ao nível da espécie. Se estiver disponível um teste de sensibilidade antifúngica, os resultados da CIM podem ser interpretados utilizando o critério de </w:t>
      </w:r>
      <w:r w:rsidRPr="002A54AF">
        <w:rPr>
          <w:i/>
          <w:szCs w:val="22"/>
          <w:lang w:val="pt-PT"/>
        </w:rPr>
        <w:t>breakpoint</w:t>
      </w:r>
      <w:r w:rsidRPr="002A54AF">
        <w:rPr>
          <w:szCs w:val="22"/>
          <w:lang w:val="pt-PT"/>
        </w:rPr>
        <w:t xml:space="preserve"> estabelecido pelo Comité Europeu de Avaliação de suscetibilidade Antimicrobiana (EUCAST).</w:t>
      </w:r>
    </w:p>
    <w:p w14:paraId="72E478F1" w14:textId="77777777" w:rsidR="00D60E92" w:rsidRPr="002A54AF" w:rsidRDefault="00D60E92" w:rsidP="00011577">
      <w:pPr>
        <w:tabs>
          <w:tab w:val="left" w:pos="567"/>
        </w:tabs>
        <w:suppressAutoHyphens/>
        <w:rPr>
          <w:szCs w:val="22"/>
          <w:lang w:val="pt-PT"/>
        </w:rPr>
      </w:pPr>
    </w:p>
    <w:p w14:paraId="2415ED63" w14:textId="77777777" w:rsidR="00D43EFF" w:rsidRPr="00E53416" w:rsidRDefault="00D43EFF" w:rsidP="00D43EFF">
      <w:pPr>
        <w:tabs>
          <w:tab w:val="left" w:pos="567"/>
        </w:tabs>
        <w:suppressAutoHyphens/>
        <w:rPr>
          <w:szCs w:val="22"/>
          <w:u w:val="single"/>
          <w:lang w:val="pt-PT"/>
        </w:rPr>
      </w:pPr>
      <w:r w:rsidRPr="00E53416">
        <w:rPr>
          <w:szCs w:val="22"/>
          <w:u w:val="single"/>
          <w:lang w:val="pt-PT"/>
        </w:rPr>
        <w:t xml:space="preserve">Limites dos testes de suscetibilidade </w:t>
      </w:r>
    </w:p>
    <w:p w14:paraId="2752135F" w14:textId="77777777" w:rsidR="00D43EFF" w:rsidRDefault="00D43EFF" w:rsidP="00D43EFF">
      <w:pPr>
        <w:tabs>
          <w:tab w:val="left" w:pos="567"/>
        </w:tabs>
        <w:suppressAutoHyphens/>
        <w:rPr>
          <w:szCs w:val="22"/>
          <w:lang w:val="pt-PT"/>
        </w:rPr>
      </w:pPr>
    </w:p>
    <w:p w14:paraId="385148D7" w14:textId="1A492110" w:rsidR="00011577" w:rsidRDefault="00D43EFF" w:rsidP="00D43EFF">
      <w:pPr>
        <w:tabs>
          <w:tab w:val="left" w:pos="567"/>
        </w:tabs>
        <w:suppressAutoHyphens/>
        <w:rPr>
          <w:szCs w:val="22"/>
          <w:lang w:val="pt-PT"/>
        </w:rPr>
      </w:pPr>
      <w:r w:rsidRPr="00D43EFF">
        <w:rPr>
          <w:szCs w:val="22"/>
          <w:lang w:val="pt-PT"/>
        </w:rPr>
        <w:lastRenderedPageBreak/>
        <w:t>Os critérios interpretativos CIM (concentração inibitória mínima) para os testes de suscetibilidade</w:t>
      </w:r>
      <w:r>
        <w:rPr>
          <w:szCs w:val="22"/>
          <w:lang w:val="pt-PT"/>
        </w:rPr>
        <w:t xml:space="preserve"> </w:t>
      </w:r>
      <w:r w:rsidRPr="00D43EFF">
        <w:rPr>
          <w:szCs w:val="22"/>
          <w:lang w:val="pt-PT"/>
        </w:rPr>
        <w:t xml:space="preserve">foram estabelecidos pelo Comité Europeu de Avaliação de Suscetibilidade Antimicrobiana (EUCAST) para </w:t>
      </w:r>
      <w:r>
        <w:rPr>
          <w:szCs w:val="22"/>
          <w:lang w:val="pt-PT"/>
        </w:rPr>
        <w:t>voriconazol</w:t>
      </w:r>
      <w:r w:rsidRPr="00D43EFF">
        <w:rPr>
          <w:szCs w:val="22"/>
          <w:lang w:val="pt-PT"/>
        </w:rPr>
        <w:t xml:space="preserve"> e são enumerados no seguinte endereço: </w:t>
      </w:r>
      <w:hyperlink r:id="rId11" w:history="1">
        <w:r w:rsidRPr="0060003E">
          <w:rPr>
            <w:rStyle w:val="Hyperlink"/>
            <w:szCs w:val="22"/>
            <w:lang w:val="pt-PT"/>
          </w:rPr>
          <w:t>https://www.ema.europa.eu/documents/other/minimum-inhibitory-concentration-mic-breakpoints_en.xlsx</w:t>
        </w:r>
      </w:hyperlink>
      <w:r>
        <w:rPr>
          <w:szCs w:val="22"/>
          <w:lang w:val="pt-PT"/>
        </w:rPr>
        <w:t xml:space="preserve"> </w:t>
      </w:r>
    </w:p>
    <w:p w14:paraId="5F662F77" w14:textId="77777777" w:rsidR="00D43EFF" w:rsidRPr="002A54AF" w:rsidRDefault="00D43EFF" w:rsidP="00D43EFF">
      <w:pPr>
        <w:tabs>
          <w:tab w:val="left" w:pos="567"/>
        </w:tabs>
        <w:suppressAutoHyphens/>
        <w:rPr>
          <w:szCs w:val="22"/>
          <w:lang w:val="pt-PT"/>
        </w:rPr>
      </w:pPr>
    </w:p>
    <w:p w14:paraId="216433F4" w14:textId="77777777" w:rsidR="00011577" w:rsidRDefault="00011577" w:rsidP="00011577">
      <w:pPr>
        <w:tabs>
          <w:tab w:val="left" w:pos="567"/>
        </w:tabs>
        <w:suppressAutoHyphens/>
        <w:rPr>
          <w:szCs w:val="22"/>
          <w:u w:val="single"/>
          <w:lang w:val="pt-PT"/>
        </w:rPr>
      </w:pPr>
      <w:r w:rsidRPr="002A54AF">
        <w:rPr>
          <w:szCs w:val="22"/>
          <w:u w:val="single"/>
          <w:lang w:val="pt-PT"/>
        </w:rPr>
        <w:t>Experiência clínica</w:t>
      </w:r>
    </w:p>
    <w:p w14:paraId="1C29D4EF" w14:textId="77777777" w:rsidR="00155E2F" w:rsidRPr="002A54AF" w:rsidRDefault="00155E2F" w:rsidP="00011577">
      <w:pPr>
        <w:tabs>
          <w:tab w:val="left" w:pos="567"/>
        </w:tabs>
        <w:suppressAutoHyphens/>
        <w:rPr>
          <w:szCs w:val="22"/>
          <w:u w:val="single"/>
          <w:lang w:val="pt-PT"/>
        </w:rPr>
      </w:pPr>
    </w:p>
    <w:p w14:paraId="0BDA9EA2" w14:textId="77777777" w:rsidR="00011577" w:rsidRPr="002A54AF" w:rsidRDefault="00011577" w:rsidP="00011577">
      <w:pPr>
        <w:tabs>
          <w:tab w:val="left" w:pos="567"/>
        </w:tabs>
        <w:suppressAutoHyphens/>
        <w:rPr>
          <w:szCs w:val="22"/>
          <w:lang w:val="pt-PT"/>
        </w:rPr>
      </w:pPr>
      <w:r w:rsidRPr="002A54AF">
        <w:rPr>
          <w:szCs w:val="22"/>
          <w:lang w:val="pt-PT"/>
        </w:rPr>
        <w:t>Nesta secção o sucesso do tratamento é definido em termos de resposta completa ou parcial.</w:t>
      </w:r>
    </w:p>
    <w:p w14:paraId="5D045D1B" w14:textId="77777777" w:rsidR="00011577" w:rsidRPr="002A54AF" w:rsidRDefault="00011577" w:rsidP="00011577">
      <w:pPr>
        <w:tabs>
          <w:tab w:val="left" w:pos="567"/>
        </w:tabs>
        <w:suppressAutoHyphens/>
        <w:rPr>
          <w:szCs w:val="22"/>
          <w:lang w:val="pt-PT"/>
        </w:rPr>
      </w:pPr>
    </w:p>
    <w:p w14:paraId="0B74ADC1" w14:textId="77777777" w:rsidR="00011577" w:rsidRDefault="00011577" w:rsidP="00011577">
      <w:pPr>
        <w:pStyle w:val="Heading5"/>
        <w:keepNext w:val="0"/>
        <w:tabs>
          <w:tab w:val="left" w:pos="567"/>
        </w:tabs>
        <w:rPr>
          <w:b w:val="0"/>
          <w:szCs w:val="22"/>
          <w:u w:val="single"/>
        </w:rPr>
      </w:pPr>
      <w:r w:rsidRPr="002A54AF">
        <w:rPr>
          <w:b w:val="0"/>
          <w:szCs w:val="22"/>
          <w:u w:val="single"/>
        </w:rPr>
        <w:t xml:space="preserve">Infeções por </w:t>
      </w:r>
      <w:r w:rsidRPr="002A54AF">
        <w:rPr>
          <w:b w:val="0"/>
          <w:i/>
          <w:szCs w:val="22"/>
          <w:u w:val="single"/>
        </w:rPr>
        <w:t>Aspergillus</w:t>
      </w:r>
      <w:r w:rsidRPr="002A54AF">
        <w:rPr>
          <w:b w:val="0"/>
          <w:szCs w:val="22"/>
          <w:u w:val="single"/>
        </w:rPr>
        <w:t xml:space="preserve"> – eficácia em doentes com aspergilose com mau prognóstico</w:t>
      </w:r>
    </w:p>
    <w:p w14:paraId="163A6988" w14:textId="77777777" w:rsidR="00155E2F" w:rsidRPr="00CB39F3" w:rsidRDefault="00155E2F" w:rsidP="00CB39F3">
      <w:pPr>
        <w:rPr>
          <w:lang w:val="pt-PT"/>
        </w:rPr>
      </w:pPr>
    </w:p>
    <w:p w14:paraId="59EF4485" w14:textId="77777777" w:rsidR="00011577" w:rsidRPr="002A54AF" w:rsidRDefault="00011577" w:rsidP="00011577">
      <w:pPr>
        <w:tabs>
          <w:tab w:val="left" w:pos="567"/>
        </w:tabs>
        <w:suppressAutoHyphens/>
        <w:rPr>
          <w:szCs w:val="22"/>
          <w:lang w:val="pt-PT"/>
        </w:rPr>
      </w:pPr>
      <w:r w:rsidRPr="002A54AF">
        <w:rPr>
          <w:szCs w:val="22"/>
          <w:lang w:val="pt-PT"/>
        </w:rPr>
        <w:t xml:space="preserve">O voriconazol possui atividade fungicida </w:t>
      </w:r>
      <w:r w:rsidRPr="002A54AF">
        <w:rPr>
          <w:i/>
          <w:szCs w:val="22"/>
          <w:lang w:val="pt-PT"/>
        </w:rPr>
        <w:t xml:space="preserve">in vitro </w:t>
      </w:r>
      <w:r w:rsidRPr="002A54AF">
        <w:rPr>
          <w:szCs w:val="22"/>
          <w:lang w:val="pt-PT"/>
        </w:rPr>
        <w:t xml:space="preserve">contra </w:t>
      </w:r>
      <w:r w:rsidRPr="002A54AF">
        <w:rPr>
          <w:i/>
          <w:szCs w:val="22"/>
          <w:lang w:val="pt-PT"/>
        </w:rPr>
        <w:t xml:space="preserve">Aspergillus </w:t>
      </w:r>
      <w:r w:rsidRPr="002A54AF">
        <w:rPr>
          <w:szCs w:val="22"/>
          <w:lang w:val="pt-PT"/>
        </w:rPr>
        <w:t>spp.</w:t>
      </w:r>
      <w:r w:rsidR="00155E2F">
        <w:rPr>
          <w:szCs w:val="22"/>
          <w:lang w:val="pt-PT"/>
        </w:rPr>
        <w:t xml:space="preserve"> </w:t>
      </w:r>
      <w:r w:rsidRPr="002A54AF">
        <w:rPr>
          <w:szCs w:val="22"/>
          <w:lang w:val="pt-PT"/>
        </w:rPr>
        <w:t xml:space="preserve">A eficácia e o benefício em termos de sobrevida do voriconazol </w:t>
      </w:r>
      <w:r w:rsidRPr="002A54AF">
        <w:rPr>
          <w:i/>
          <w:szCs w:val="22"/>
          <w:lang w:val="pt-PT"/>
        </w:rPr>
        <w:t>versus</w:t>
      </w:r>
      <w:r w:rsidRPr="002A54AF">
        <w:rPr>
          <w:szCs w:val="22"/>
          <w:lang w:val="pt-PT"/>
        </w:rPr>
        <w:t xml:space="preserve"> anfotericina B convencional no tratamento primário da aspergilose invasiva aguda foram demonstrados num estudo multicêntrico, aberto e randomizado, em 277 doentes imunocomprometidos tratados durante 12 semanas. </w:t>
      </w:r>
    </w:p>
    <w:p w14:paraId="4B249269" w14:textId="77777777" w:rsidR="00011577" w:rsidRPr="002A54AF" w:rsidRDefault="00011577" w:rsidP="00011577">
      <w:pPr>
        <w:tabs>
          <w:tab w:val="left" w:pos="567"/>
        </w:tabs>
        <w:suppressAutoHyphens/>
        <w:rPr>
          <w:szCs w:val="22"/>
          <w:lang w:val="pt-PT"/>
        </w:rPr>
      </w:pPr>
      <w:r w:rsidRPr="002A54AF">
        <w:rPr>
          <w:szCs w:val="22"/>
          <w:lang w:val="pt-PT"/>
        </w:rPr>
        <w:t>Voriconazol foi administrado por via intravenosa com uma dose de carga de 6</w:t>
      </w:r>
      <w:r w:rsidR="0020636B" w:rsidRPr="002A54AF">
        <w:rPr>
          <w:szCs w:val="22"/>
          <w:lang w:val="pt-PT"/>
        </w:rPr>
        <w:t> </w:t>
      </w:r>
      <w:r w:rsidRPr="002A54AF">
        <w:rPr>
          <w:szCs w:val="22"/>
          <w:lang w:val="pt-PT"/>
        </w:rPr>
        <w:t>mg/kg de 12 em 12</w:t>
      </w:r>
      <w:r w:rsidR="0020636B" w:rsidRPr="002A54AF">
        <w:rPr>
          <w:szCs w:val="22"/>
          <w:lang w:val="pt-PT"/>
        </w:rPr>
        <w:t> </w:t>
      </w:r>
      <w:r w:rsidRPr="002A54AF">
        <w:rPr>
          <w:szCs w:val="22"/>
          <w:lang w:val="pt-PT"/>
        </w:rPr>
        <w:t>horas nas primeiras 24 horas, seguido de uma dose de manutenção de 4 mg/kg de 12 em 12 horas por um período mínimo de 7 dias. A terapêutica pôde depois ser alterada para a formulação oral, na dose de 200 mg a cada 12 horas. A duração média da terapêutica com voriconazol IV foi de 10 dias (intervalo de 2-85 dias). Após a terapêutica intravenosa com voriconazol, a duração média da terapêutica com voriconazol oral foi de 76 dias (intervalo de 2-232 dias).</w:t>
      </w:r>
    </w:p>
    <w:p w14:paraId="551195CB" w14:textId="77777777" w:rsidR="00011577" w:rsidRPr="002A54AF" w:rsidRDefault="00011577" w:rsidP="00011577">
      <w:pPr>
        <w:tabs>
          <w:tab w:val="left" w:pos="567"/>
        </w:tabs>
        <w:suppressAutoHyphens/>
        <w:rPr>
          <w:szCs w:val="22"/>
          <w:lang w:val="pt-PT"/>
        </w:rPr>
      </w:pPr>
    </w:p>
    <w:p w14:paraId="1EAC69CF" w14:textId="77777777" w:rsidR="00011577" w:rsidRPr="002A54AF" w:rsidRDefault="00011577" w:rsidP="00011577">
      <w:pPr>
        <w:tabs>
          <w:tab w:val="left" w:pos="567"/>
        </w:tabs>
        <w:suppressAutoHyphens/>
        <w:rPr>
          <w:szCs w:val="22"/>
          <w:lang w:val="pt-PT"/>
        </w:rPr>
      </w:pPr>
      <w:r w:rsidRPr="002A54AF">
        <w:rPr>
          <w:szCs w:val="22"/>
          <w:lang w:val="pt-PT"/>
        </w:rPr>
        <w:t>Foi observada uma resposta global satisfatória (resolução parcial ou completa de todos os sinais e sintomas atribuíveis, alterações radiográficas/broncoscópicas presentes inicialmente) em 53% dos doentes tratados com voriconazol comparativamente a 31% dos doentes tratados com o comparador. A taxa de sobrevivência ao dia 84 para o voriconazol foi estatística e significativamente superior ao registado para o comparador, tendo sido observado um benefício estatisticamente significativo a favor do voriconazol, quer no tempo até à morte como no tempo até à descontinuação, devido a toxicidade.</w:t>
      </w:r>
    </w:p>
    <w:p w14:paraId="5763F49A" w14:textId="77777777" w:rsidR="00011577" w:rsidRPr="002A54AF" w:rsidRDefault="00011577" w:rsidP="00011577">
      <w:pPr>
        <w:tabs>
          <w:tab w:val="left" w:pos="567"/>
        </w:tabs>
        <w:suppressAutoHyphens/>
        <w:rPr>
          <w:szCs w:val="22"/>
          <w:lang w:val="pt-PT"/>
        </w:rPr>
      </w:pPr>
    </w:p>
    <w:p w14:paraId="30AB9FF2" w14:textId="77777777" w:rsidR="00011577" w:rsidRPr="002A54AF" w:rsidRDefault="00011577" w:rsidP="00011577">
      <w:pPr>
        <w:tabs>
          <w:tab w:val="left" w:pos="567"/>
        </w:tabs>
        <w:suppressAutoHyphens/>
        <w:rPr>
          <w:szCs w:val="22"/>
          <w:lang w:val="pt-PT"/>
        </w:rPr>
      </w:pPr>
      <w:r w:rsidRPr="002A54AF">
        <w:rPr>
          <w:szCs w:val="22"/>
          <w:lang w:val="pt-PT"/>
        </w:rPr>
        <w:t xml:space="preserve">Este estudo confirma os achados de um estudo anterior prospetivo, de resultado clínico positivo, em doentes que apresentavam fatores de mau prognóstico, incluindo doença de enxerto </w:t>
      </w:r>
      <w:r w:rsidRPr="002A54AF">
        <w:rPr>
          <w:i/>
          <w:szCs w:val="22"/>
          <w:lang w:val="pt-PT"/>
        </w:rPr>
        <w:t>versus</w:t>
      </w:r>
      <w:r w:rsidRPr="002A54AF">
        <w:rPr>
          <w:szCs w:val="22"/>
          <w:lang w:val="pt-PT"/>
        </w:rPr>
        <w:t xml:space="preserve"> hospedeiro e, em particular, infeções cerebrais (normalmente associadas a uma mortalidade de 100%).</w:t>
      </w:r>
    </w:p>
    <w:p w14:paraId="4323E540" w14:textId="77777777" w:rsidR="00011577" w:rsidRPr="002A54AF" w:rsidRDefault="00011577" w:rsidP="00011577">
      <w:pPr>
        <w:tabs>
          <w:tab w:val="left" w:pos="567"/>
        </w:tabs>
        <w:suppressAutoHyphens/>
        <w:rPr>
          <w:szCs w:val="22"/>
          <w:lang w:val="pt-PT"/>
        </w:rPr>
      </w:pPr>
    </w:p>
    <w:p w14:paraId="531E9606" w14:textId="77777777" w:rsidR="00011577" w:rsidRPr="002A54AF" w:rsidRDefault="00011577" w:rsidP="00011577">
      <w:pPr>
        <w:tabs>
          <w:tab w:val="left" w:pos="567"/>
        </w:tabs>
        <w:suppressAutoHyphens/>
        <w:rPr>
          <w:szCs w:val="22"/>
          <w:lang w:val="pt-PT"/>
        </w:rPr>
      </w:pPr>
      <w:r w:rsidRPr="002A54AF">
        <w:rPr>
          <w:szCs w:val="22"/>
          <w:lang w:val="pt-PT"/>
        </w:rPr>
        <w:t>Estes estudos incluiram doentes com transplante de medula óssea e transplantados de orgãos sólidos, doenças hematológicas malignas, cancro e SIDA, com aspergilose cerebral, sinusal, pulmonar e disseminada.</w:t>
      </w:r>
    </w:p>
    <w:p w14:paraId="576E52D9" w14:textId="77777777" w:rsidR="00011577" w:rsidRPr="002A54AF" w:rsidRDefault="00011577" w:rsidP="00011577">
      <w:pPr>
        <w:tabs>
          <w:tab w:val="left" w:pos="567"/>
        </w:tabs>
        <w:suppressAutoHyphens/>
        <w:rPr>
          <w:szCs w:val="22"/>
          <w:lang w:val="pt-PT"/>
        </w:rPr>
      </w:pPr>
    </w:p>
    <w:p w14:paraId="3E6D3389" w14:textId="77777777" w:rsidR="00011577" w:rsidRDefault="00011577" w:rsidP="00011577">
      <w:pPr>
        <w:tabs>
          <w:tab w:val="left" w:pos="567"/>
        </w:tabs>
        <w:suppressAutoHyphens/>
        <w:rPr>
          <w:szCs w:val="22"/>
          <w:u w:val="single"/>
          <w:lang w:val="pt-PT"/>
        </w:rPr>
      </w:pPr>
      <w:r w:rsidRPr="002A54AF">
        <w:rPr>
          <w:szCs w:val="22"/>
          <w:u w:val="single"/>
          <w:lang w:val="pt-PT"/>
        </w:rPr>
        <w:t>Candidemia em doentes não neutropénicos</w:t>
      </w:r>
    </w:p>
    <w:p w14:paraId="7E5EED67" w14:textId="77777777" w:rsidR="00155E2F" w:rsidRPr="002A54AF" w:rsidRDefault="00155E2F" w:rsidP="00011577">
      <w:pPr>
        <w:tabs>
          <w:tab w:val="left" w:pos="567"/>
        </w:tabs>
        <w:suppressAutoHyphens/>
        <w:rPr>
          <w:szCs w:val="22"/>
          <w:u w:val="single"/>
          <w:lang w:val="pt-PT"/>
        </w:rPr>
      </w:pPr>
    </w:p>
    <w:p w14:paraId="1AC67212" w14:textId="77777777" w:rsidR="00011577" w:rsidRPr="002A54AF" w:rsidRDefault="00011577" w:rsidP="00011577">
      <w:pPr>
        <w:tabs>
          <w:tab w:val="left" w:pos="567"/>
        </w:tabs>
        <w:suppressAutoHyphens/>
        <w:rPr>
          <w:szCs w:val="22"/>
          <w:lang w:val="pt-PT"/>
        </w:rPr>
      </w:pPr>
      <w:r w:rsidRPr="002A54AF">
        <w:rPr>
          <w:szCs w:val="22"/>
          <w:lang w:val="pt-PT"/>
        </w:rPr>
        <w:t xml:space="preserve">Foi demonstrada a eficácia do voriconazol no tratamento primário da candidemia, comparando com um regime de anfotericina B seguido de fluconazol, num estudo comparativo aberto. Foram incluídos no estudo trezentos e setenta doentes não neutropénicos (acima dos 12 anos) com candidemia documentada, dos quais 248 foram tratados com voriconazol. Nove indivíduos do grupo tratado com voriconazol e cinco do grupo tratado com anfotericina B seguida de fluconazol também apresentavam infeção micológica documentada do tecido profundo. Os doentes com compromisso renal foram excluídos deste estudo. A duração média do tratamento foi de 15 dias em ambos os ramos de tratamento. Numa análise primária, definiu-se resposta positiva como resolução/melhoria de todos os sinais e sintomas clínicos de infeção com erradicação de </w:t>
      </w:r>
      <w:r w:rsidRPr="002A54AF">
        <w:rPr>
          <w:i/>
          <w:iCs/>
          <w:szCs w:val="22"/>
          <w:lang w:val="pt-PT"/>
        </w:rPr>
        <w:t>Candida</w:t>
      </w:r>
      <w:r w:rsidRPr="002A54AF">
        <w:rPr>
          <w:szCs w:val="22"/>
          <w:lang w:val="pt-PT"/>
        </w:rPr>
        <w:t xml:space="preserve"> do sangue e tecidos profundos infetados, 12 semanas após a conclusão do tratamento (</w:t>
      </w:r>
      <w:r w:rsidRPr="002A54AF">
        <w:rPr>
          <w:i/>
          <w:iCs/>
          <w:szCs w:val="22"/>
          <w:lang w:val="pt-PT"/>
        </w:rPr>
        <w:t>End of Therapy</w:t>
      </w:r>
      <w:r w:rsidRPr="002A54AF">
        <w:rPr>
          <w:szCs w:val="22"/>
          <w:lang w:val="pt-PT"/>
        </w:rPr>
        <w:t xml:space="preserve"> – EOT); esta resposta positiva foi avaliada por uma Comissão de Revisão de Dados (</w:t>
      </w:r>
      <w:r w:rsidRPr="002A54AF">
        <w:rPr>
          <w:i/>
          <w:iCs/>
          <w:szCs w:val="22"/>
          <w:lang w:val="pt-PT"/>
        </w:rPr>
        <w:t>Data Review Committee</w:t>
      </w:r>
      <w:r w:rsidRPr="002A54AF">
        <w:rPr>
          <w:szCs w:val="22"/>
          <w:lang w:val="pt-PT"/>
        </w:rPr>
        <w:t xml:space="preserve"> – DRC), que desconhecia o medicamento do estudo. Os doentes que não foram avaliados 12 semanas após a conclusão do tratamento foram considerados como falências. Com esta análise demonstrou-se uma resposta de sucesso em 41% dos doentes de ambos os ramos de tratamento.</w:t>
      </w:r>
    </w:p>
    <w:p w14:paraId="4A12D483" w14:textId="77777777" w:rsidR="00011577" w:rsidRPr="002A54AF" w:rsidRDefault="00011577" w:rsidP="00011577">
      <w:pPr>
        <w:tabs>
          <w:tab w:val="left" w:pos="567"/>
        </w:tabs>
        <w:suppressAutoHyphens/>
        <w:rPr>
          <w:szCs w:val="22"/>
          <w:lang w:val="pt-PT"/>
        </w:rPr>
      </w:pPr>
    </w:p>
    <w:p w14:paraId="4F6F735D" w14:textId="77777777" w:rsidR="00011577" w:rsidRPr="002A54AF" w:rsidRDefault="00011577" w:rsidP="00011577">
      <w:pPr>
        <w:pStyle w:val="BodyText2"/>
        <w:tabs>
          <w:tab w:val="left" w:pos="567"/>
        </w:tabs>
        <w:rPr>
          <w:szCs w:val="22"/>
        </w:rPr>
      </w:pPr>
      <w:r w:rsidRPr="002A54AF">
        <w:rPr>
          <w:szCs w:val="22"/>
        </w:rPr>
        <w:lastRenderedPageBreak/>
        <w:t xml:space="preserve">Numa análise secundária, que utilizou avaliações DRC no tempo máximo disponível (EOT, ou 2, 6 ou 12 semanas após EOT), as taxas de sucesso foram de 65% para o voriconazol e 71% para o regime de anfotericina B seguida por fluconazol. </w:t>
      </w:r>
    </w:p>
    <w:p w14:paraId="01A9A575" w14:textId="77777777" w:rsidR="00011577" w:rsidRPr="002A54AF" w:rsidRDefault="00011577" w:rsidP="00011577">
      <w:pPr>
        <w:pStyle w:val="BodyText2"/>
        <w:tabs>
          <w:tab w:val="left" w:pos="567"/>
        </w:tabs>
        <w:rPr>
          <w:szCs w:val="22"/>
        </w:rPr>
      </w:pPr>
    </w:p>
    <w:p w14:paraId="643D37D8" w14:textId="77777777" w:rsidR="00011577" w:rsidRPr="002A54AF" w:rsidRDefault="00011577" w:rsidP="00011577">
      <w:pPr>
        <w:pStyle w:val="BodyText2"/>
        <w:tabs>
          <w:tab w:val="left" w:pos="567"/>
        </w:tabs>
        <w:rPr>
          <w:szCs w:val="22"/>
        </w:rPr>
      </w:pPr>
      <w:r w:rsidRPr="002A54AF">
        <w:rPr>
          <w:szCs w:val="22"/>
        </w:rPr>
        <w:t>Apresenta-se na tabela seguinte a avaliação efetuada pelo Investigador dos resultados positivos para cada um destes pontos temporais.</w:t>
      </w:r>
    </w:p>
    <w:p w14:paraId="1B94381B" w14:textId="77777777" w:rsidR="00011577" w:rsidRPr="002A54AF" w:rsidRDefault="00011577" w:rsidP="00011577">
      <w:pPr>
        <w:pStyle w:val="BodyText2"/>
        <w:tabs>
          <w:tab w:val="left" w:pos="567"/>
        </w:tabs>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2633"/>
        <w:gridCol w:w="3948"/>
      </w:tblGrid>
      <w:tr w:rsidR="00011577" w:rsidRPr="002A54AF" w14:paraId="5F28C1D5" w14:textId="77777777" w:rsidTr="00011577">
        <w:tc>
          <w:tcPr>
            <w:tcW w:w="2410" w:type="dxa"/>
          </w:tcPr>
          <w:p w14:paraId="2039328F" w14:textId="77777777" w:rsidR="00011577" w:rsidRPr="002A54AF" w:rsidRDefault="00011577" w:rsidP="00011577">
            <w:pPr>
              <w:tabs>
                <w:tab w:val="left" w:pos="567"/>
              </w:tabs>
              <w:suppressAutoHyphens/>
              <w:rPr>
                <w:szCs w:val="22"/>
                <w:lang w:val="pt-PT"/>
              </w:rPr>
            </w:pPr>
            <w:r w:rsidRPr="002A54AF">
              <w:rPr>
                <w:b/>
                <w:i/>
                <w:szCs w:val="22"/>
                <w:lang w:val="pt-PT" w:eastAsia="nl-NL"/>
              </w:rPr>
              <w:t>Tempo</w:t>
            </w:r>
          </w:p>
        </w:tc>
        <w:tc>
          <w:tcPr>
            <w:tcW w:w="2693" w:type="dxa"/>
          </w:tcPr>
          <w:p w14:paraId="4D556E1E" w14:textId="77777777" w:rsidR="00011577" w:rsidRPr="002A54AF" w:rsidRDefault="00011577" w:rsidP="00011577">
            <w:pPr>
              <w:tabs>
                <w:tab w:val="left" w:pos="567"/>
              </w:tabs>
              <w:suppressAutoHyphens/>
              <w:rPr>
                <w:szCs w:val="22"/>
                <w:lang w:val="pt-PT"/>
              </w:rPr>
            </w:pPr>
            <w:r w:rsidRPr="002A54AF">
              <w:rPr>
                <w:b/>
                <w:i/>
                <w:szCs w:val="22"/>
                <w:lang w:val="pt-PT" w:eastAsia="nl-NL"/>
              </w:rPr>
              <w:t>Voriconazol (N=248)</w:t>
            </w:r>
          </w:p>
        </w:tc>
        <w:tc>
          <w:tcPr>
            <w:tcW w:w="4065" w:type="dxa"/>
          </w:tcPr>
          <w:p w14:paraId="616E4A64" w14:textId="77777777" w:rsidR="00011577" w:rsidRPr="002A54AF" w:rsidRDefault="00011577" w:rsidP="00011577">
            <w:pPr>
              <w:tabs>
                <w:tab w:val="left" w:pos="567"/>
              </w:tabs>
              <w:suppressAutoHyphens/>
              <w:rPr>
                <w:szCs w:val="22"/>
                <w:lang w:val="pt-PT"/>
              </w:rPr>
            </w:pPr>
            <w:r w:rsidRPr="002A54AF">
              <w:rPr>
                <w:b/>
                <w:i/>
                <w:szCs w:val="22"/>
                <w:lang w:val="pt-PT" w:eastAsia="nl-NL"/>
              </w:rPr>
              <w:t>Anfotericina B → fluconazol (N=122)</w:t>
            </w:r>
          </w:p>
        </w:tc>
      </w:tr>
      <w:tr w:rsidR="00011577" w:rsidRPr="002A54AF" w14:paraId="2C987D7B" w14:textId="77777777" w:rsidTr="00011577">
        <w:tc>
          <w:tcPr>
            <w:tcW w:w="2410" w:type="dxa"/>
          </w:tcPr>
          <w:p w14:paraId="39A0EA9C" w14:textId="77777777" w:rsidR="00011577" w:rsidRPr="002A54AF" w:rsidRDefault="00011577" w:rsidP="00011577">
            <w:pPr>
              <w:tabs>
                <w:tab w:val="left" w:pos="567"/>
              </w:tabs>
              <w:suppressAutoHyphens/>
              <w:rPr>
                <w:bCs/>
                <w:iCs/>
                <w:szCs w:val="22"/>
                <w:lang w:val="pt-PT"/>
              </w:rPr>
            </w:pPr>
            <w:r w:rsidRPr="002A54AF">
              <w:rPr>
                <w:bCs/>
                <w:iCs/>
                <w:szCs w:val="22"/>
                <w:lang w:val="pt-PT" w:eastAsia="nl-NL"/>
              </w:rPr>
              <w:t>EOT</w:t>
            </w:r>
          </w:p>
        </w:tc>
        <w:tc>
          <w:tcPr>
            <w:tcW w:w="2693" w:type="dxa"/>
          </w:tcPr>
          <w:p w14:paraId="6D554187" w14:textId="77777777" w:rsidR="00011577" w:rsidRPr="002A54AF" w:rsidRDefault="00011577" w:rsidP="00011577">
            <w:pPr>
              <w:tabs>
                <w:tab w:val="left" w:pos="567"/>
              </w:tabs>
              <w:suppressAutoHyphens/>
              <w:jc w:val="center"/>
              <w:rPr>
                <w:bCs/>
                <w:iCs/>
                <w:szCs w:val="22"/>
                <w:lang w:val="pt-PT"/>
              </w:rPr>
            </w:pPr>
            <w:r w:rsidRPr="002A54AF">
              <w:rPr>
                <w:bCs/>
                <w:iCs/>
                <w:szCs w:val="22"/>
                <w:lang w:val="pt-PT" w:eastAsia="nl-NL"/>
              </w:rPr>
              <w:t>178 (72%)</w:t>
            </w:r>
          </w:p>
        </w:tc>
        <w:tc>
          <w:tcPr>
            <w:tcW w:w="4065" w:type="dxa"/>
          </w:tcPr>
          <w:p w14:paraId="7ABFD698" w14:textId="77777777" w:rsidR="00011577" w:rsidRPr="002A54AF" w:rsidRDefault="00011577" w:rsidP="00011577">
            <w:pPr>
              <w:tabs>
                <w:tab w:val="left" w:pos="567"/>
              </w:tabs>
              <w:suppressAutoHyphens/>
              <w:jc w:val="center"/>
              <w:rPr>
                <w:bCs/>
                <w:iCs/>
                <w:szCs w:val="22"/>
                <w:lang w:val="pt-PT"/>
              </w:rPr>
            </w:pPr>
            <w:r w:rsidRPr="002A54AF">
              <w:rPr>
                <w:bCs/>
                <w:iCs/>
                <w:szCs w:val="22"/>
                <w:lang w:val="pt-PT" w:eastAsia="nl-NL"/>
              </w:rPr>
              <w:t>88 (72%)</w:t>
            </w:r>
          </w:p>
        </w:tc>
      </w:tr>
      <w:tr w:rsidR="00011577" w:rsidRPr="002A54AF" w14:paraId="2EBAD309" w14:textId="77777777" w:rsidTr="00011577">
        <w:tc>
          <w:tcPr>
            <w:tcW w:w="2410" w:type="dxa"/>
          </w:tcPr>
          <w:p w14:paraId="71129FB0" w14:textId="77777777" w:rsidR="00011577" w:rsidRPr="002A54AF" w:rsidRDefault="00011577" w:rsidP="00011577">
            <w:pPr>
              <w:tabs>
                <w:tab w:val="left" w:pos="567"/>
              </w:tabs>
              <w:suppressAutoHyphens/>
              <w:rPr>
                <w:bCs/>
                <w:iCs/>
                <w:szCs w:val="22"/>
                <w:lang w:val="pt-PT"/>
              </w:rPr>
            </w:pPr>
            <w:r w:rsidRPr="002A54AF">
              <w:rPr>
                <w:bCs/>
                <w:iCs/>
                <w:szCs w:val="22"/>
                <w:lang w:val="pt-PT" w:eastAsia="nl-NL"/>
              </w:rPr>
              <w:t>2 semanas após EOT</w:t>
            </w:r>
          </w:p>
        </w:tc>
        <w:tc>
          <w:tcPr>
            <w:tcW w:w="2693" w:type="dxa"/>
          </w:tcPr>
          <w:p w14:paraId="72851221" w14:textId="77777777" w:rsidR="00011577" w:rsidRPr="002A54AF" w:rsidRDefault="00011577" w:rsidP="00011577">
            <w:pPr>
              <w:tabs>
                <w:tab w:val="left" w:pos="567"/>
              </w:tabs>
              <w:suppressAutoHyphens/>
              <w:jc w:val="center"/>
              <w:rPr>
                <w:bCs/>
                <w:iCs/>
                <w:szCs w:val="22"/>
                <w:lang w:val="pt-PT"/>
              </w:rPr>
            </w:pPr>
            <w:r w:rsidRPr="002A54AF">
              <w:rPr>
                <w:bCs/>
                <w:iCs/>
                <w:szCs w:val="22"/>
                <w:lang w:val="pt-PT" w:eastAsia="nl-NL"/>
              </w:rPr>
              <w:t>125 (50%)</w:t>
            </w:r>
          </w:p>
        </w:tc>
        <w:tc>
          <w:tcPr>
            <w:tcW w:w="4065" w:type="dxa"/>
          </w:tcPr>
          <w:p w14:paraId="76156B1B" w14:textId="77777777" w:rsidR="00011577" w:rsidRPr="002A54AF" w:rsidRDefault="00011577" w:rsidP="00011577">
            <w:pPr>
              <w:tabs>
                <w:tab w:val="left" w:pos="567"/>
              </w:tabs>
              <w:suppressAutoHyphens/>
              <w:jc w:val="center"/>
              <w:rPr>
                <w:bCs/>
                <w:iCs/>
                <w:szCs w:val="22"/>
                <w:lang w:val="pt-PT"/>
              </w:rPr>
            </w:pPr>
            <w:r w:rsidRPr="002A54AF">
              <w:rPr>
                <w:bCs/>
                <w:iCs/>
                <w:szCs w:val="22"/>
                <w:lang w:val="nl-NL" w:eastAsia="nl-NL"/>
              </w:rPr>
              <w:t>62 (51%)</w:t>
            </w:r>
          </w:p>
        </w:tc>
      </w:tr>
      <w:tr w:rsidR="00011577" w:rsidRPr="002A54AF" w14:paraId="5F9B7B45" w14:textId="77777777" w:rsidTr="00011577">
        <w:tc>
          <w:tcPr>
            <w:tcW w:w="2410" w:type="dxa"/>
          </w:tcPr>
          <w:p w14:paraId="503ECD38" w14:textId="77777777" w:rsidR="00011577" w:rsidRPr="002A54AF" w:rsidRDefault="00011577" w:rsidP="00011577">
            <w:pPr>
              <w:tabs>
                <w:tab w:val="left" w:pos="567"/>
              </w:tabs>
              <w:suppressAutoHyphens/>
              <w:rPr>
                <w:bCs/>
                <w:iCs/>
                <w:szCs w:val="22"/>
                <w:lang w:val="pt-PT"/>
              </w:rPr>
            </w:pPr>
            <w:r w:rsidRPr="002A54AF">
              <w:rPr>
                <w:bCs/>
                <w:iCs/>
                <w:szCs w:val="22"/>
                <w:lang w:val="nl-NL" w:eastAsia="nl-NL"/>
              </w:rPr>
              <w:t>6 </w:t>
            </w:r>
            <w:r w:rsidRPr="002A54AF">
              <w:rPr>
                <w:bCs/>
                <w:iCs/>
                <w:szCs w:val="22"/>
                <w:lang w:val="pt-PT" w:eastAsia="nl-NL"/>
              </w:rPr>
              <w:t>semanas após</w:t>
            </w:r>
            <w:r w:rsidRPr="002A54AF">
              <w:rPr>
                <w:bCs/>
                <w:iCs/>
                <w:szCs w:val="22"/>
                <w:lang w:val="nl-NL" w:eastAsia="nl-NL"/>
              </w:rPr>
              <w:t xml:space="preserve"> EOT </w:t>
            </w:r>
          </w:p>
        </w:tc>
        <w:tc>
          <w:tcPr>
            <w:tcW w:w="2693" w:type="dxa"/>
          </w:tcPr>
          <w:p w14:paraId="1453CC17" w14:textId="77777777" w:rsidR="00011577" w:rsidRPr="002A54AF" w:rsidRDefault="00011577" w:rsidP="00011577">
            <w:pPr>
              <w:tabs>
                <w:tab w:val="left" w:pos="567"/>
              </w:tabs>
              <w:suppressAutoHyphens/>
              <w:jc w:val="center"/>
              <w:rPr>
                <w:bCs/>
                <w:iCs/>
                <w:szCs w:val="22"/>
                <w:lang w:val="pt-PT"/>
              </w:rPr>
            </w:pPr>
            <w:r w:rsidRPr="002A54AF">
              <w:rPr>
                <w:bCs/>
                <w:iCs/>
                <w:szCs w:val="22"/>
                <w:lang w:val="nl-NL" w:eastAsia="nl-NL"/>
              </w:rPr>
              <w:t>104 (42%)</w:t>
            </w:r>
          </w:p>
        </w:tc>
        <w:tc>
          <w:tcPr>
            <w:tcW w:w="4065" w:type="dxa"/>
          </w:tcPr>
          <w:p w14:paraId="6DC953A9" w14:textId="77777777" w:rsidR="00011577" w:rsidRPr="002A54AF" w:rsidRDefault="00011577" w:rsidP="00011577">
            <w:pPr>
              <w:tabs>
                <w:tab w:val="left" w:pos="567"/>
              </w:tabs>
              <w:suppressAutoHyphens/>
              <w:jc w:val="center"/>
              <w:rPr>
                <w:bCs/>
                <w:iCs/>
                <w:szCs w:val="22"/>
                <w:lang w:val="pt-PT"/>
              </w:rPr>
            </w:pPr>
            <w:r w:rsidRPr="002A54AF">
              <w:rPr>
                <w:bCs/>
                <w:iCs/>
                <w:szCs w:val="22"/>
                <w:lang w:val="nl-NL" w:eastAsia="nl-NL"/>
              </w:rPr>
              <w:t>55 (45%)</w:t>
            </w:r>
          </w:p>
        </w:tc>
      </w:tr>
      <w:tr w:rsidR="00011577" w:rsidRPr="002A54AF" w14:paraId="6FE446AB" w14:textId="77777777" w:rsidTr="00011577">
        <w:tc>
          <w:tcPr>
            <w:tcW w:w="2410" w:type="dxa"/>
          </w:tcPr>
          <w:p w14:paraId="6AD4F016" w14:textId="77777777" w:rsidR="00011577" w:rsidRPr="002A54AF" w:rsidRDefault="00011577" w:rsidP="00011577">
            <w:pPr>
              <w:tabs>
                <w:tab w:val="left" w:pos="567"/>
              </w:tabs>
              <w:suppressAutoHyphens/>
              <w:rPr>
                <w:bCs/>
                <w:iCs/>
                <w:szCs w:val="22"/>
                <w:lang w:val="pt-PT"/>
              </w:rPr>
            </w:pPr>
            <w:r w:rsidRPr="002A54AF">
              <w:rPr>
                <w:bCs/>
                <w:iCs/>
                <w:szCs w:val="22"/>
                <w:lang w:val="nl-NL" w:eastAsia="nl-NL"/>
              </w:rPr>
              <w:t>12 </w:t>
            </w:r>
            <w:r w:rsidRPr="002A54AF">
              <w:rPr>
                <w:bCs/>
                <w:iCs/>
                <w:szCs w:val="22"/>
                <w:lang w:val="pt-PT" w:eastAsia="nl-NL"/>
              </w:rPr>
              <w:t>semanas após</w:t>
            </w:r>
            <w:r w:rsidRPr="002A54AF">
              <w:rPr>
                <w:bCs/>
                <w:iCs/>
                <w:szCs w:val="22"/>
                <w:lang w:val="nl-NL" w:eastAsia="nl-NL"/>
              </w:rPr>
              <w:t xml:space="preserve"> EOT </w:t>
            </w:r>
          </w:p>
        </w:tc>
        <w:tc>
          <w:tcPr>
            <w:tcW w:w="2693" w:type="dxa"/>
          </w:tcPr>
          <w:p w14:paraId="060B7D06" w14:textId="77777777" w:rsidR="00011577" w:rsidRPr="002A54AF" w:rsidRDefault="00011577" w:rsidP="00011577">
            <w:pPr>
              <w:tabs>
                <w:tab w:val="left" w:pos="567"/>
              </w:tabs>
              <w:suppressAutoHyphens/>
              <w:jc w:val="center"/>
              <w:rPr>
                <w:bCs/>
                <w:iCs/>
                <w:szCs w:val="22"/>
                <w:lang w:val="pt-PT"/>
              </w:rPr>
            </w:pPr>
            <w:r w:rsidRPr="002A54AF">
              <w:rPr>
                <w:bCs/>
                <w:iCs/>
                <w:szCs w:val="22"/>
                <w:lang w:val="nl-NL" w:eastAsia="nl-NL"/>
              </w:rPr>
              <w:t>104 (42%)</w:t>
            </w:r>
          </w:p>
        </w:tc>
        <w:tc>
          <w:tcPr>
            <w:tcW w:w="4065" w:type="dxa"/>
          </w:tcPr>
          <w:p w14:paraId="01C7FA91" w14:textId="77777777" w:rsidR="00011577" w:rsidRPr="002A54AF" w:rsidRDefault="00011577" w:rsidP="00011577">
            <w:pPr>
              <w:tabs>
                <w:tab w:val="left" w:pos="567"/>
              </w:tabs>
              <w:suppressAutoHyphens/>
              <w:jc w:val="center"/>
              <w:rPr>
                <w:bCs/>
                <w:iCs/>
                <w:szCs w:val="22"/>
                <w:lang w:val="pt-PT"/>
              </w:rPr>
            </w:pPr>
            <w:r w:rsidRPr="002A54AF">
              <w:rPr>
                <w:bCs/>
                <w:iCs/>
                <w:szCs w:val="22"/>
                <w:lang w:val="nl-NL" w:eastAsia="nl-NL"/>
              </w:rPr>
              <w:t>51 (42%)</w:t>
            </w:r>
          </w:p>
        </w:tc>
      </w:tr>
    </w:tbl>
    <w:p w14:paraId="2377FE98" w14:textId="77777777" w:rsidR="00011577" w:rsidRPr="002A54AF" w:rsidRDefault="00011577" w:rsidP="00011577">
      <w:pPr>
        <w:tabs>
          <w:tab w:val="left" w:pos="567"/>
        </w:tabs>
        <w:suppressAutoHyphens/>
        <w:rPr>
          <w:szCs w:val="22"/>
          <w:lang w:val="pt-PT"/>
        </w:rPr>
      </w:pPr>
    </w:p>
    <w:p w14:paraId="4D6EC9FC" w14:textId="77777777" w:rsidR="00011577" w:rsidRDefault="00011577" w:rsidP="00011577">
      <w:pPr>
        <w:tabs>
          <w:tab w:val="left" w:pos="567"/>
        </w:tabs>
        <w:suppressAutoHyphens/>
        <w:rPr>
          <w:iCs/>
          <w:szCs w:val="22"/>
          <w:u w:val="single"/>
          <w:lang w:val="pt-PT"/>
        </w:rPr>
      </w:pPr>
      <w:r w:rsidRPr="002A54AF">
        <w:rPr>
          <w:szCs w:val="22"/>
          <w:u w:val="single"/>
          <w:lang w:val="pt-PT"/>
        </w:rPr>
        <w:t xml:space="preserve">Infeções graves refractárias por </w:t>
      </w:r>
      <w:r w:rsidRPr="002A54AF">
        <w:rPr>
          <w:i/>
          <w:szCs w:val="22"/>
          <w:u w:val="single"/>
          <w:lang w:val="pt-PT"/>
        </w:rPr>
        <w:t xml:space="preserve">Candida </w:t>
      </w:r>
      <w:r w:rsidRPr="002A54AF">
        <w:rPr>
          <w:iCs/>
          <w:szCs w:val="22"/>
          <w:u w:val="single"/>
          <w:lang w:val="pt-PT"/>
        </w:rPr>
        <w:t>spp.</w:t>
      </w:r>
    </w:p>
    <w:p w14:paraId="2E47AE4D" w14:textId="77777777" w:rsidR="00155E2F" w:rsidRPr="002A54AF" w:rsidRDefault="00155E2F" w:rsidP="00011577">
      <w:pPr>
        <w:tabs>
          <w:tab w:val="left" w:pos="567"/>
        </w:tabs>
        <w:suppressAutoHyphens/>
        <w:rPr>
          <w:i/>
          <w:szCs w:val="22"/>
          <w:u w:val="single"/>
          <w:lang w:val="pt-PT"/>
        </w:rPr>
      </w:pPr>
    </w:p>
    <w:p w14:paraId="0EF68D14" w14:textId="77777777" w:rsidR="00011577" w:rsidRPr="002A54AF" w:rsidRDefault="00011577" w:rsidP="00011577">
      <w:pPr>
        <w:pStyle w:val="BodyText2"/>
        <w:tabs>
          <w:tab w:val="left" w:pos="567"/>
        </w:tabs>
        <w:rPr>
          <w:szCs w:val="22"/>
        </w:rPr>
      </w:pPr>
      <w:r w:rsidRPr="002A54AF">
        <w:rPr>
          <w:szCs w:val="22"/>
        </w:rPr>
        <w:t xml:space="preserve">O estudo envolveu 55 doentes com infeções sistémicas refractárias graves por </w:t>
      </w:r>
      <w:r w:rsidRPr="002A54AF">
        <w:rPr>
          <w:i/>
          <w:szCs w:val="22"/>
        </w:rPr>
        <w:t>Candida</w:t>
      </w:r>
      <w:r w:rsidRPr="002A54AF">
        <w:rPr>
          <w:szCs w:val="22"/>
        </w:rPr>
        <w:t xml:space="preserve"> </w:t>
      </w:r>
      <w:r w:rsidRPr="002A54AF">
        <w:rPr>
          <w:iCs/>
          <w:szCs w:val="22"/>
          <w:u w:val="single"/>
        </w:rPr>
        <w:t>spp.</w:t>
      </w:r>
      <w:r w:rsidRPr="002A54AF">
        <w:rPr>
          <w:szCs w:val="22"/>
        </w:rPr>
        <w:t xml:space="preserve"> (incluindo candidemia, candidíase disseminada e outras candidíases invasivas) em que o tratamento antifúngico anterior, particularmente com fluconazol foi ineficaz. Foi observada resposta com sucesso em 24 doentes (15 respostas completas, 9 respostas parciais). Em espécies não </w:t>
      </w:r>
      <w:r w:rsidRPr="002A54AF">
        <w:rPr>
          <w:i/>
          <w:szCs w:val="22"/>
        </w:rPr>
        <w:t>albicans</w:t>
      </w:r>
      <w:r w:rsidRPr="002A54AF">
        <w:rPr>
          <w:szCs w:val="22"/>
        </w:rPr>
        <w:t xml:space="preserve"> resistentes ao fluconazol obteve-se sucesso no tratamento de 3/3 infeções por </w:t>
      </w:r>
      <w:r w:rsidRPr="002A54AF">
        <w:rPr>
          <w:i/>
          <w:szCs w:val="22"/>
        </w:rPr>
        <w:t>C. Krusei</w:t>
      </w:r>
      <w:r w:rsidRPr="002A54AF">
        <w:rPr>
          <w:szCs w:val="22"/>
        </w:rPr>
        <w:t xml:space="preserve"> (respostas completas) e de 6/8 infeções por </w:t>
      </w:r>
      <w:r w:rsidRPr="002A54AF">
        <w:rPr>
          <w:i/>
          <w:szCs w:val="22"/>
        </w:rPr>
        <w:t>C. glabrata</w:t>
      </w:r>
      <w:r w:rsidRPr="002A54AF">
        <w:rPr>
          <w:szCs w:val="22"/>
        </w:rPr>
        <w:t xml:space="preserve"> (5 respostas completas, 1 resposta parcial) os dados de eficácia clínica foram suportados por dados de sensibilidade limitados.</w:t>
      </w:r>
    </w:p>
    <w:p w14:paraId="238EE839" w14:textId="77777777" w:rsidR="00CE59DC" w:rsidRPr="002A54AF" w:rsidRDefault="00CE59DC" w:rsidP="00011577">
      <w:pPr>
        <w:tabs>
          <w:tab w:val="left" w:pos="567"/>
        </w:tabs>
        <w:suppressAutoHyphens/>
        <w:rPr>
          <w:szCs w:val="22"/>
          <w:lang w:val="pt-PT"/>
        </w:rPr>
      </w:pPr>
    </w:p>
    <w:p w14:paraId="3C6F8FC6" w14:textId="77777777" w:rsidR="00011577" w:rsidRDefault="00011577" w:rsidP="00011577">
      <w:pPr>
        <w:pStyle w:val="Heading5"/>
        <w:keepNext w:val="0"/>
        <w:tabs>
          <w:tab w:val="left" w:pos="567"/>
        </w:tabs>
        <w:rPr>
          <w:b w:val="0"/>
          <w:iCs/>
          <w:szCs w:val="22"/>
          <w:u w:val="single"/>
        </w:rPr>
      </w:pPr>
      <w:r w:rsidRPr="002A54AF">
        <w:rPr>
          <w:b w:val="0"/>
          <w:szCs w:val="22"/>
          <w:u w:val="single"/>
        </w:rPr>
        <w:t xml:space="preserve">Infeção por </w:t>
      </w:r>
      <w:r w:rsidRPr="002A54AF">
        <w:rPr>
          <w:b w:val="0"/>
          <w:i/>
          <w:szCs w:val="22"/>
          <w:u w:val="single"/>
        </w:rPr>
        <w:t>Scedosporium</w:t>
      </w:r>
      <w:r w:rsidRPr="002A54AF">
        <w:rPr>
          <w:b w:val="0"/>
          <w:iCs/>
          <w:szCs w:val="22"/>
          <w:u w:val="single"/>
        </w:rPr>
        <w:t xml:space="preserve"> spp.</w:t>
      </w:r>
      <w:r w:rsidRPr="002A54AF">
        <w:rPr>
          <w:b w:val="0"/>
          <w:i/>
          <w:szCs w:val="22"/>
          <w:u w:val="single"/>
        </w:rPr>
        <w:t xml:space="preserve"> </w:t>
      </w:r>
      <w:r w:rsidRPr="002A54AF">
        <w:rPr>
          <w:b w:val="0"/>
          <w:szCs w:val="22"/>
          <w:u w:val="single"/>
        </w:rPr>
        <w:t xml:space="preserve">e </w:t>
      </w:r>
      <w:r w:rsidRPr="002A54AF">
        <w:rPr>
          <w:b w:val="0"/>
          <w:i/>
          <w:szCs w:val="22"/>
          <w:u w:val="single"/>
        </w:rPr>
        <w:t xml:space="preserve">Fusarium </w:t>
      </w:r>
      <w:r w:rsidRPr="002A54AF">
        <w:rPr>
          <w:b w:val="0"/>
          <w:iCs/>
          <w:szCs w:val="22"/>
          <w:u w:val="single"/>
        </w:rPr>
        <w:t>spp.</w:t>
      </w:r>
    </w:p>
    <w:p w14:paraId="1EEB7A32" w14:textId="77777777" w:rsidR="00155E2F" w:rsidRPr="00CB39F3" w:rsidRDefault="00155E2F" w:rsidP="00CB39F3">
      <w:pPr>
        <w:rPr>
          <w:lang w:val="pt-PT"/>
        </w:rPr>
      </w:pPr>
    </w:p>
    <w:p w14:paraId="4ABB8CC8" w14:textId="77777777" w:rsidR="00011577" w:rsidRPr="002A54AF" w:rsidRDefault="00011577" w:rsidP="00011577">
      <w:pPr>
        <w:tabs>
          <w:tab w:val="left" w:pos="567"/>
        </w:tabs>
        <w:suppressAutoHyphens/>
        <w:rPr>
          <w:szCs w:val="22"/>
          <w:lang w:val="pt-PT"/>
        </w:rPr>
      </w:pPr>
      <w:r w:rsidRPr="002A54AF">
        <w:rPr>
          <w:szCs w:val="22"/>
          <w:lang w:val="pt-PT"/>
        </w:rPr>
        <w:t>O voriconazol mostrou ser eficaz contra os seguintes agentes patogénicos fúngicos raros:</w:t>
      </w:r>
    </w:p>
    <w:p w14:paraId="1814AC7A" w14:textId="77777777" w:rsidR="00011577" w:rsidRPr="002A54AF" w:rsidRDefault="00011577" w:rsidP="00011577">
      <w:pPr>
        <w:tabs>
          <w:tab w:val="left" w:pos="567"/>
        </w:tabs>
        <w:suppressAutoHyphens/>
        <w:rPr>
          <w:szCs w:val="22"/>
          <w:lang w:val="pt-PT"/>
        </w:rPr>
      </w:pPr>
    </w:p>
    <w:p w14:paraId="6C29734C" w14:textId="77777777" w:rsidR="00DC7907" w:rsidRDefault="00011577" w:rsidP="00011577">
      <w:pPr>
        <w:tabs>
          <w:tab w:val="left" w:pos="567"/>
        </w:tabs>
        <w:suppressAutoHyphens/>
        <w:rPr>
          <w:szCs w:val="22"/>
          <w:lang w:val="pt-PT"/>
        </w:rPr>
      </w:pPr>
      <w:r w:rsidRPr="002A54AF">
        <w:rPr>
          <w:i/>
          <w:szCs w:val="22"/>
          <w:lang w:val="pt-PT"/>
        </w:rPr>
        <w:t xml:space="preserve">Scedosporium </w:t>
      </w:r>
      <w:r w:rsidRPr="002A54AF">
        <w:rPr>
          <w:szCs w:val="22"/>
          <w:lang w:val="pt-PT"/>
        </w:rPr>
        <w:t>spp</w:t>
      </w:r>
    </w:p>
    <w:p w14:paraId="0D39268B" w14:textId="77777777" w:rsidR="00011577" w:rsidRPr="002A54AF" w:rsidRDefault="00011577" w:rsidP="00011577">
      <w:pPr>
        <w:tabs>
          <w:tab w:val="left" w:pos="567"/>
        </w:tabs>
        <w:suppressAutoHyphens/>
        <w:rPr>
          <w:szCs w:val="22"/>
          <w:lang w:val="pt-PT"/>
        </w:rPr>
      </w:pPr>
      <w:r w:rsidRPr="002A54AF">
        <w:rPr>
          <w:szCs w:val="22"/>
          <w:lang w:val="pt-PT"/>
        </w:rPr>
        <w:t xml:space="preserve">Foi observado sucesso terapêutico com voriconazol em 16 (6 respostas completas, 10 respostas parciais) de 28 doentes com </w:t>
      </w:r>
      <w:r w:rsidRPr="002A54AF">
        <w:rPr>
          <w:i/>
          <w:szCs w:val="22"/>
          <w:lang w:val="pt-PT"/>
        </w:rPr>
        <w:t xml:space="preserve">S. apiospermum </w:t>
      </w:r>
      <w:r w:rsidRPr="002A54AF">
        <w:rPr>
          <w:szCs w:val="22"/>
          <w:lang w:val="pt-PT"/>
        </w:rPr>
        <w:t xml:space="preserve">e em 2 (ambos resposta parcial) de 7 doentes com infeção por </w:t>
      </w:r>
      <w:r w:rsidRPr="002A54AF">
        <w:rPr>
          <w:i/>
          <w:szCs w:val="22"/>
          <w:lang w:val="pt-PT"/>
        </w:rPr>
        <w:t>S. prolificans.</w:t>
      </w:r>
      <w:r w:rsidRPr="002A54AF">
        <w:rPr>
          <w:szCs w:val="22"/>
          <w:lang w:val="pt-PT"/>
        </w:rPr>
        <w:t xml:space="preserve"> Adicionalmente, foi observado sucesso terapêutico em um de três doentes com infeções causadas por mais do que um organismo, incluíndo </w:t>
      </w:r>
      <w:r w:rsidRPr="002A54AF">
        <w:rPr>
          <w:i/>
          <w:szCs w:val="22"/>
          <w:lang w:val="pt-PT"/>
        </w:rPr>
        <w:t>Scedosporium</w:t>
      </w:r>
      <w:r w:rsidRPr="002A54AF">
        <w:rPr>
          <w:szCs w:val="22"/>
          <w:lang w:val="pt-PT"/>
        </w:rPr>
        <w:t xml:space="preserve"> spp.</w:t>
      </w:r>
    </w:p>
    <w:p w14:paraId="648866C1" w14:textId="77777777" w:rsidR="00011577" w:rsidRPr="002A54AF" w:rsidRDefault="00011577" w:rsidP="00011577">
      <w:pPr>
        <w:tabs>
          <w:tab w:val="left" w:pos="567"/>
        </w:tabs>
        <w:suppressAutoHyphens/>
        <w:rPr>
          <w:szCs w:val="22"/>
          <w:lang w:val="pt-PT"/>
        </w:rPr>
      </w:pPr>
    </w:p>
    <w:p w14:paraId="5FDAE629" w14:textId="77777777" w:rsidR="00DC7907" w:rsidRDefault="00011577" w:rsidP="00011577">
      <w:pPr>
        <w:tabs>
          <w:tab w:val="left" w:pos="567"/>
        </w:tabs>
        <w:suppressAutoHyphens/>
        <w:rPr>
          <w:szCs w:val="22"/>
          <w:lang w:val="pt-PT"/>
        </w:rPr>
      </w:pPr>
      <w:r w:rsidRPr="002A54AF">
        <w:rPr>
          <w:i/>
          <w:szCs w:val="22"/>
          <w:lang w:val="pt-PT"/>
        </w:rPr>
        <w:t xml:space="preserve">Fusarium </w:t>
      </w:r>
      <w:r w:rsidRPr="002A54AF">
        <w:rPr>
          <w:szCs w:val="22"/>
          <w:lang w:val="pt-PT"/>
        </w:rPr>
        <w:t>spp</w:t>
      </w:r>
    </w:p>
    <w:p w14:paraId="6BBC89E2" w14:textId="77777777" w:rsidR="00011577" w:rsidRPr="002A54AF" w:rsidRDefault="00011577" w:rsidP="00011577">
      <w:pPr>
        <w:tabs>
          <w:tab w:val="left" w:pos="567"/>
        </w:tabs>
        <w:suppressAutoHyphens/>
        <w:rPr>
          <w:szCs w:val="22"/>
          <w:lang w:val="pt-PT"/>
        </w:rPr>
      </w:pPr>
      <w:r w:rsidRPr="002A54AF">
        <w:rPr>
          <w:szCs w:val="22"/>
          <w:lang w:val="pt-PT"/>
        </w:rPr>
        <w:t>Sete (3 respostas completas, 4 respostas parciais) de 17 doentes foram tratados com sucesso com voriconazol. Destes 7 doentes, 3 tinham infeção ocular, um</w:t>
      </w:r>
      <w:r w:rsidR="00814BD4" w:rsidRPr="002A54AF">
        <w:rPr>
          <w:szCs w:val="22"/>
          <w:lang w:val="pt-PT"/>
        </w:rPr>
        <w:t>a</w:t>
      </w:r>
      <w:r w:rsidRPr="002A54AF">
        <w:rPr>
          <w:szCs w:val="22"/>
          <w:lang w:val="pt-PT"/>
        </w:rPr>
        <w:t xml:space="preserve"> infeção sinusal e 3 infeção disseminada. Quatro doentes adicionais com fusariose tinham infeção causada por vários organismos; </w:t>
      </w:r>
      <w:r w:rsidR="009759FC" w:rsidRPr="002A54AF">
        <w:rPr>
          <w:szCs w:val="22"/>
          <w:lang w:val="pt-PT"/>
        </w:rPr>
        <w:t xml:space="preserve">2 </w:t>
      </w:r>
      <w:r w:rsidRPr="002A54AF">
        <w:rPr>
          <w:szCs w:val="22"/>
          <w:lang w:val="pt-PT"/>
        </w:rPr>
        <w:t>destes doentes apresentaram sucesso terapêutico.</w:t>
      </w:r>
    </w:p>
    <w:p w14:paraId="3B029EE2" w14:textId="77777777" w:rsidR="00011577" w:rsidRPr="002A54AF" w:rsidRDefault="00011577" w:rsidP="00011577">
      <w:pPr>
        <w:tabs>
          <w:tab w:val="left" w:pos="567"/>
        </w:tabs>
        <w:suppressAutoHyphens/>
        <w:rPr>
          <w:szCs w:val="22"/>
          <w:lang w:val="pt-PT"/>
        </w:rPr>
      </w:pPr>
    </w:p>
    <w:p w14:paraId="6E9620A3" w14:textId="77777777" w:rsidR="00011577" w:rsidRPr="002A54AF" w:rsidRDefault="00011577" w:rsidP="00011577">
      <w:pPr>
        <w:tabs>
          <w:tab w:val="left" w:pos="567"/>
        </w:tabs>
        <w:suppressAutoHyphens/>
        <w:rPr>
          <w:szCs w:val="22"/>
          <w:lang w:val="pt-PT"/>
        </w:rPr>
      </w:pPr>
      <w:r w:rsidRPr="002A54AF">
        <w:rPr>
          <w:szCs w:val="22"/>
          <w:lang w:val="pt-PT"/>
        </w:rPr>
        <w:t>A maioria dos doentes medicados com voriconazol para as infeções raras acima mencionadas era intolerante, ou refratária à terapêutica antifúngica anterior.</w:t>
      </w:r>
    </w:p>
    <w:p w14:paraId="106EF392" w14:textId="77777777" w:rsidR="00011577" w:rsidRPr="002A54AF" w:rsidRDefault="00011577" w:rsidP="00011577">
      <w:pPr>
        <w:tabs>
          <w:tab w:val="left" w:pos="567"/>
        </w:tabs>
        <w:suppressAutoHyphens/>
        <w:rPr>
          <w:szCs w:val="22"/>
          <w:lang w:val="pt-PT"/>
        </w:rPr>
      </w:pPr>
    </w:p>
    <w:p w14:paraId="0B82E050" w14:textId="77777777" w:rsidR="009759FC" w:rsidRPr="00CB39F3" w:rsidRDefault="009759FC" w:rsidP="009759FC">
      <w:pPr>
        <w:tabs>
          <w:tab w:val="left" w:pos="567"/>
        </w:tabs>
        <w:suppressAutoHyphens/>
        <w:rPr>
          <w:szCs w:val="22"/>
          <w:u w:val="single"/>
          <w:lang w:val="pt-PT"/>
        </w:rPr>
      </w:pPr>
      <w:r w:rsidRPr="00CB39F3">
        <w:rPr>
          <w:szCs w:val="22"/>
          <w:u w:val="single"/>
          <w:lang w:val="pt-PT"/>
        </w:rPr>
        <w:t>Profilaxia primária de infeções fúngicas invasivas – Eficácia em recetores de HSCT sem IFI prévia comprovada ou provável</w:t>
      </w:r>
    </w:p>
    <w:p w14:paraId="36E42059" w14:textId="77777777" w:rsidR="00155E2F" w:rsidRPr="002A54AF" w:rsidRDefault="00155E2F" w:rsidP="009759FC">
      <w:pPr>
        <w:tabs>
          <w:tab w:val="left" w:pos="567"/>
        </w:tabs>
        <w:suppressAutoHyphens/>
        <w:rPr>
          <w:szCs w:val="22"/>
          <w:lang w:val="pt-PT"/>
        </w:rPr>
      </w:pPr>
    </w:p>
    <w:p w14:paraId="68B9D484" w14:textId="77777777" w:rsidR="009759FC" w:rsidRPr="002A54AF" w:rsidRDefault="009759FC" w:rsidP="009759FC">
      <w:pPr>
        <w:tabs>
          <w:tab w:val="left" w:pos="567"/>
        </w:tabs>
        <w:suppressAutoHyphens/>
        <w:rPr>
          <w:szCs w:val="22"/>
          <w:lang w:val="pt-PT"/>
        </w:rPr>
      </w:pPr>
      <w:r w:rsidRPr="002A54AF">
        <w:rPr>
          <w:szCs w:val="22"/>
          <w:lang w:val="pt-PT"/>
        </w:rPr>
        <w:t>O voriconazol foi comparado ao itraconazol como profilaxia primária num estudo aberto, comparativo, multicêntrico de recetores adultos e adolescentes de HSCT alogénico sem IFI prévia comprovada ou provável. O sucesso foi definido como a capacidade de continuar a profilaxia com o fármaco em estudo durante 100 dias após o HSCT (sem interrupção durante &gt;14 dias) e de sobreviver sem IFI comprovada ou provável durante 180 dias após o HSCT. O grupo em intenção de tratar modificada (MITT) incluiu 465 recetores de HSCT alogénico, sendo que 45% dos doentes tinham leucemia mieloide aguda (LMA). De todos os doentes, 58% foram sujeitos a regimes de condicionamento mieloablativo. A profilaxia com o fármaco em estudo foi iniciada imediatamente após o HSCT: 224 doentes receberam voriconazol e 241 receberam itraconazol. A duração mediana da profilaxia com o fármaco em estudo foi de 96 dias para o voriconazol e 68 dias para o intraconazol no grupo MITT.</w:t>
      </w:r>
    </w:p>
    <w:p w14:paraId="3C1AB228" w14:textId="77777777" w:rsidR="009759FC" w:rsidRPr="00AE78B4" w:rsidRDefault="009759FC" w:rsidP="009759FC">
      <w:pPr>
        <w:tabs>
          <w:tab w:val="left" w:pos="567"/>
        </w:tabs>
        <w:suppressAutoHyphens/>
        <w:rPr>
          <w:sz w:val="8"/>
          <w:szCs w:val="22"/>
          <w:lang w:val="pt-PT"/>
        </w:rPr>
      </w:pPr>
    </w:p>
    <w:p w14:paraId="67317914" w14:textId="77777777" w:rsidR="009759FC" w:rsidRDefault="009759FC" w:rsidP="009759FC">
      <w:pPr>
        <w:keepNext/>
        <w:tabs>
          <w:tab w:val="left" w:pos="567"/>
        </w:tabs>
        <w:suppressAutoHyphens/>
        <w:rPr>
          <w:szCs w:val="22"/>
          <w:lang w:val="pt-PT"/>
        </w:rPr>
      </w:pPr>
      <w:r w:rsidRPr="002A54AF">
        <w:rPr>
          <w:szCs w:val="22"/>
          <w:lang w:val="pt-PT"/>
        </w:rPr>
        <w:lastRenderedPageBreak/>
        <w:t>As taxas de sucesso e outros parâmetros de avaliação secundários são apresentadas na tabela seguinte:</w:t>
      </w:r>
    </w:p>
    <w:p w14:paraId="6FFED838" w14:textId="77777777" w:rsidR="00DF4748" w:rsidRPr="002A54AF" w:rsidRDefault="00DF4748" w:rsidP="009759FC">
      <w:pPr>
        <w:keepNext/>
        <w:tabs>
          <w:tab w:val="left" w:pos="567"/>
        </w:tabs>
        <w:suppressAutoHyphens/>
        <w:rPr>
          <w:szCs w:val="22"/>
          <w:lang w:val="pt-PT"/>
        </w:rPr>
      </w:pPr>
    </w:p>
    <w:p w14:paraId="1EB9C206" w14:textId="77777777" w:rsidR="009759FC" w:rsidRPr="00AE78B4" w:rsidRDefault="009759FC" w:rsidP="009759FC">
      <w:pPr>
        <w:keepNext/>
        <w:tabs>
          <w:tab w:val="left" w:pos="567"/>
        </w:tabs>
        <w:suppressAutoHyphens/>
        <w:rPr>
          <w:sz w:val="8"/>
          <w:szCs w:val="22"/>
          <w:lang w:val="pt-P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530"/>
        <w:gridCol w:w="1440"/>
        <w:gridCol w:w="2430"/>
        <w:gridCol w:w="1080"/>
      </w:tblGrid>
      <w:tr w:rsidR="009759FC" w:rsidRPr="002A54AF" w14:paraId="57E24809" w14:textId="77777777" w:rsidTr="009759FC">
        <w:tc>
          <w:tcPr>
            <w:tcW w:w="3240" w:type="dxa"/>
            <w:tcBorders>
              <w:top w:val="single" w:sz="4" w:space="0" w:color="000000"/>
              <w:left w:val="single" w:sz="4" w:space="0" w:color="000000"/>
              <w:bottom w:val="single" w:sz="4" w:space="0" w:color="000000"/>
              <w:right w:val="single" w:sz="4" w:space="0" w:color="000000"/>
            </w:tcBorders>
            <w:shd w:val="clear" w:color="auto" w:fill="EEECE1"/>
            <w:hideMark/>
          </w:tcPr>
          <w:p w14:paraId="57552663" w14:textId="77777777" w:rsidR="009759FC" w:rsidRPr="002A54AF" w:rsidRDefault="009759FC">
            <w:pPr>
              <w:pStyle w:val="Default"/>
              <w:keepNext/>
              <w:rPr>
                <w:rFonts w:ascii="Times New Roman" w:hAnsi="Times New Roman" w:cs="Times New Roman"/>
                <w:b/>
                <w:sz w:val="22"/>
                <w:szCs w:val="22"/>
                <w:lang w:val="pt-PT"/>
              </w:rPr>
            </w:pPr>
            <w:r w:rsidRPr="002A54AF">
              <w:rPr>
                <w:rFonts w:ascii="Times New Roman" w:hAnsi="Times New Roman" w:cs="Times New Roman"/>
                <w:b/>
                <w:sz w:val="22"/>
                <w:szCs w:val="22"/>
                <w:lang w:val="pt-PT"/>
              </w:rPr>
              <w:t>Parâmetros de avaliação do estudo</w:t>
            </w:r>
          </w:p>
        </w:tc>
        <w:tc>
          <w:tcPr>
            <w:tcW w:w="1530" w:type="dxa"/>
            <w:tcBorders>
              <w:top w:val="single" w:sz="4" w:space="0" w:color="000000"/>
              <w:left w:val="single" w:sz="4" w:space="0" w:color="000000"/>
              <w:bottom w:val="single" w:sz="4" w:space="0" w:color="000000"/>
              <w:right w:val="single" w:sz="4" w:space="0" w:color="000000"/>
            </w:tcBorders>
            <w:shd w:val="clear" w:color="auto" w:fill="EEECE1"/>
            <w:hideMark/>
          </w:tcPr>
          <w:p w14:paraId="78AE855E" w14:textId="77777777" w:rsidR="009759FC" w:rsidRPr="002A54AF" w:rsidRDefault="009759FC">
            <w:pPr>
              <w:pStyle w:val="Default"/>
              <w:keepNext/>
              <w:rPr>
                <w:rFonts w:ascii="Times New Roman" w:hAnsi="Times New Roman" w:cs="Times New Roman"/>
                <w:b/>
                <w:sz w:val="22"/>
                <w:szCs w:val="22"/>
                <w:lang w:val="pt-PT"/>
              </w:rPr>
            </w:pPr>
            <w:r w:rsidRPr="002A54AF">
              <w:rPr>
                <w:rFonts w:ascii="Times New Roman" w:hAnsi="Times New Roman" w:cs="Times New Roman"/>
                <w:b/>
                <w:sz w:val="22"/>
                <w:szCs w:val="22"/>
                <w:lang w:val="pt-PT"/>
              </w:rPr>
              <w:t>Voriconazol</w:t>
            </w:r>
            <w:r w:rsidRPr="002A54AF">
              <w:rPr>
                <w:rFonts w:ascii="Times New Roman" w:hAnsi="Times New Roman" w:cs="Times New Roman"/>
                <w:b/>
                <w:sz w:val="22"/>
                <w:szCs w:val="22"/>
                <w:lang w:val="pt-PT"/>
              </w:rPr>
              <w:br/>
              <w:t>N=224</w:t>
            </w:r>
          </w:p>
        </w:tc>
        <w:tc>
          <w:tcPr>
            <w:tcW w:w="1440" w:type="dxa"/>
            <w:tcBorders>
              <w:top w:val="single" w:sz="4" w:space="0" w:color="000000"/>
              <w:left w:val="single" w:sz="4" w:space="0" w:color="000000"/>
              <w:bottom w:val="single" w:sz="4" w:space="0" w:color="000000"/>
              <w:right w:val="single" w:sz="4" w:space="0" w:color="000000"/>
            </w:tcBorders>
            <w:shd w:val="clear" w:color="auto" w:fill="EEECE1"/>
            <w:hideMark/>
          </w:tcPr>
          <w:p w14:paraId="5A3F6C72" w14:textId="77777777" w:rsidR="009759FC" w:rsidRPr="002A54AF" w:rsidRDefault="009759FC">
            <w:pPr>
              <w:pStyle w:val="Default"/>
              <w:keepNext/>
              <w:rPr>
                <w:rFonts w:ascii="Times New Roman" w:hAnsi="Times New Roman" w:cs="Times New Roman"/>
                <w:b/>
                <w:sz w:val="22"/>
                <w:szCs w:val="22"/>
                <w:lang w:val="pt-PT"/>
              </w:rPr>
            </w:pPr>
            <w:r w:rsidRPr="002A54AF">
              <w:rPr>
                <w:rFonts w:ascii="Times New Roman" w:hAnsi="Times New Roman" w:cs="Times New Roman"/>
                <w:b/>
                <w:sz w:val="22"/>
                <w:szCs w:val="22"/>
                <w:lang w:val="pt-PT"/>
              </w:rPr>
              <w:t>Itraconazol</w:t>
            </w:r>
            <w:r w:rsidRPr="002A54AF">
              <w:rPr>
                <w:rFonts w:ascii="Times New Roman" w:hAnsi="Times New Roman" w:cs="Times New Roman"/>
                <w:b/>
                <w:sz w:val="22"/>
                <w:szCs w:val="22"/>
                <w:lang w:val="pt-PT"/>
              </w:rPr>
              <w:br/>
              <w:t>N=241</w:t>
            </w:r>
          </w:p>
        </w:tc>
        <w:tc>
          <w:tcPr>
            <w:tcW w:w="2430" w:type="dxa"/>
            <w:tcBorders>
              <w:top w:val="single" w:sz="4" w:space="0" w:color="000000"/>
              <w:left w:val="single" w:sz="4" w:space="0" w:color="000000"/>
              <w:bottom w:val="single" w:sz="4" w:space="0" w:color="000000"/>
              <w:right w:val="single" w:sz="4" w:space="0" w:color="000000"/>
            </w:tcBorders>
            <w:shd w:val="clear" w:color="auto" w:fill="EEECE1"/>
            <w:hideMark/>
          </w:tcPr>
          <w:p w14:paraId="4E3030A6" w14:textId="77777777" w:rsidR="009759FC" w:rsidRPr="002A54AF" w:rsidRDefault="009759FC">
            <w:pPr>
              <w:pStyle w:val="Default"/>
              <w:keepNext/>
              <w:jc w:val="center"/>
              <w:rPr>
                <w:rFonts w:ascii="Times New Roman" w:hAnsi="Times New Roman" w:cs="Times New Roman"/>
                <w:b/>
                <w:sz w:val="22"/>
                <w:szCs w:val="22"/>
                <w:lang w:val="pt-PT"/>
              </w:rPr>
            </w:pPr>
            <w:r w:rsidRPr="002A54AF">
              <w:rPr>
                <w:rFonts w:ascii="Times New Roman" w:hAnsi="Times New Roman" w:cs="Times New Roman"/>
                <w:b/>
                <w:sz w:val="22"/>
                <w:szCs w:val="22"/>
                <w:lang w:val="pt-PT"/>
              </w:rPr>
              <w:t>Diferença na percentagem e intervalo de confiança (IC) de 95%</w:t>
            </w:r>
          </w:p>
        </w:tc>
        <w:tc>
          <w:tcPr>
            <w:tcW w:w="1080" w:type="dxa"/>
            <w:tcBorders>
              <w:top w:val="single" w:sz="4" w:space="0" w:color="000000"/>
              <w:left w:val="single" w:sz="4" w:space="0" w:color="000000"/>
              <w:bottom w:val="single" w:sz="4" w:space="0" w:color="000000"/>
              <w:right w:val="single" w:sz="4" w:space="0" w:color="000000"/>
            </w:tcBorders>
            <w:shd w:val="clear" w:color="auto" w:fill="EEECE1"/>
            <w:hideMark/>
          </w:tcPr>
          <w:p w14:paraId="29C724FA" w14:textId="77777777" w:rsidR="009759FC" w:rsidRPr="002A54AF" w:rsidRDefault="009759FC">
            <w:pPr>
              <w:pStyle w:val="Default"/>
              <w:keepNext/>
              <w:jc w:val="center"/>
              <w:rPr>
                <w:rFonts w:ascii="Times New Roman" w:hAnsi="Times New Roman" w:cs="Times New Roman"/>
                <w:b/>
                <w:sz w:val="22"/>
                <w:szCs w:val="22"/>
                <w:lang w:val="pt-PT"/>
              </w:rPr>
            </w:pPr>
            <w:r w:rsidRPr="002A54AF">
              <w:rPr>
                <w:rFonts w:ascii="Times New Roman" w:hAnsi="Times New Roman" w:cs="Times New Roman"/>
                <w:b/>
                <w:sz w:val="22"/>
                <w:szCs w:val="22"/>
                <w:lang w:val="pt-PT"/>
              </w:rPr>
              <w:t>Valor p</w:t>
            </w:r>
          </w:p>
        </w:tc>
      </w:tr>
      <w:tr w:rsidR="009759FC" w:rsidRPr="002A54AF" w14:paraId="018E71C0" w14:textId="77777777" w:rsidTr="009759FC">
        <w:tc>
          <w:tcPr>
            <w:tcW w:w="3240" w:type="dxa"/>
            <w:tcBorders>
              <w:top w:val="single" w:sz="4" w:space="0" w:color="000000"/>
              <w:left w:val="single" w:sz="4" w:space="0" w:color="000000"/>
              <w:bottom w:val="single" w:sz="4" w:space="0" w:color="000000"/>
              <w:right w:val="single" w:sz="4" w:space="0" w:color="000000"/>
            </w:tcBorders>
            <w:hideMark/>
          </w:tcPr>
          <w:p w14:paraId="1EF26A79" w14:textId="77777777" w:rsidR="009759FC" w:rsidRPr="002A54AF" w:rsidRDefault="009759FC">
            <w:pPr>
              <w:pStyle w:val="Default"/>
              <w:keepNext/>
              <w:rPr>
                <w:rFonts w:ascii="Times New Roman" w:hAnsi="Times New Roman" w:cs="Times New Roman"/>
                <w:sz w:val="22"/>
                <w:szCs w:val="22"/>
                <w:lang w:val="pt-PT"/>
              </w:rPr>
            </w:pPr>
            <w:r w:rsidRPr="002A54AF">
              <w:rPr>
                <w:rFonts w:ascii="Times New Roman" w:hAnsi="Times New Roman" w:cs="Times New Roman"/>
                <w:sz w:val="22"/>
                <w:szCs w:val="22"/>
                <w:lang w:val="pt-PT"/>
              </w:rPr>
              <w:t>Sucesso no dia 180*</w:t>
            </w:r>
          </w:p>
        </w:tc>
        <w:tc>
          <w:tcPr>
            <w:tcW w:w="1530" w:type="dxa"/>
            <w:tcBorders>
              <w:top w:val="single" w:sz="4" w:space="0" w:color="000000"/>
              <w:left w:val="single" w:sz="4" w:space="0" w:color="000000"/>
              <w:bottom w:val="single" w:sz="4" w:space="0" w:color="000000"/>
              <w:right w:val="single" w:sz="4" w:space="0" w:color="000000"/>
            </w:tcBorders>
            <w:hideMark/>
          </w:tcPr>
          <w:p w14:paraId="54EB5855" w14:textId="77777777" w:rsidR="009759FC" w:rsidRPr="002A54AF" w:rsidRDefault="009759FC">
            <w:pPr>
              <w:pStyle w:val="Default"/>
              <w:keepNext/>
              <w:rPr>
                <w:rFonts w:ascii="Times New Roman" w:hAnsi="Times New Roman" w:cs="Times New Roman"/>
                <w:sz w:val="22"/>
                <w:szCs w:val="22"/>
                <w:lang w:val="pt-PT"/>
              </w:rPr>
            </w:pPr>
            <w:r w:rsidRPr="002A54AF">
              <w:rPr>
                <w:rFonts w:ascii="Times New Roman" w:hAnsi="Times New Roman" w:cs="Times New Roman"/>
                <w:sz w:val="22"/>
                <w:szCs w:val="22"/>
                <w:lang w:val="pt-PT"/>
              </w:rPr>
              <w:t>109 (48,7%)</w:t>
            </w:r>
          </w:p>
        </w:tc>
        <w:tc>
          <w:tcPr>
            <w:tcW w:w="1440" w:type="dxa"/>
            <w:tcBorders>
              <w:top w:val="single" w:sz="4" w:space="0" w:color="000000"/>
              <w:left w:val="single" w:sz="4" w:space="0" w:color="000000"/>
              <w:bottom w:val="single" w:sz="4" w:space="0" w:color="000000"/>
              <w:right w:val="single" w:sz="4" w:space="0" w:color="000000"/>
            </w:tcBorders>
            <w:hideMark/>
          </w:tcPr>
          <w:p w14:paraId="63A88D71" w14:textId="77777777" w:rsidR="009759FC" w:rsidRPr="002A54AF" w:rsidRDefault="009759FC">
            <w:pPr>
              <w:pStyle w:val="Default"/>
              <w:keepNext/>
              <w:rPr>
                <w:rFonts w:ascii="Times New Roman" w:hAnsi="Times New Roman" w:cs="Times New Roman"/>
                <w:sz w:val="22"/>
                <w:szCs w:val="22"/>
                <w:lang w:val="pt-PT"/>
              </w:rPr>
            </w:pPr>
            <w:r w:rsidRPr="002A54AF">
              <w:rPr>
                <w:rFonts w:ascii="Times New Roman" w:hAnsi="Times New Roman" w:cs="Times New Roman"/>
                <w:sz w:val="22"/>
                <w:szCs w:val="22"/>
                <w:lang w:val="pt-PT"/>
              </w:rPr>
              <w:t>80 (33,2%)</w:t>
            </w:r>
          </w:p>
        </w:tc>
        <w:tc>
          <w:tcPr>
            <w:tcW w:w="2430" w:type="dxa"/>
            <w:tcBorders>
              <w:top w:val="single" w:sz="4" w:space="0" w:color="000000"/>
              <w:left w:val="single" w:sz="4" w:space="0" w:color="000000"/>
              <w:bottom w:val="single" w:sz="4" w:space="0" w:color="000000"/>
              <w:right w:val="single" w:sz="4" w:space="0" w:color="000000"/>
            </w:tcBorders>
            <w:hideMark/>
          </w:tcPr>
          <w:p w14:paraId="54471CB7" w14:textId="77777777" w:rsidR="009759FC" w:rsidRPr="002A54AF" w:rsidRDefault="009759FC">
            <w:pPr>
              <w:pStyle w:val="Default"/>
              <w:keepNex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16,4% (7,7%, 25,1%)**</w:t>
            </w:r>
          </w:p>
        </w:tc>
        <w:tc>
          <w:tcPr>
            <w:tcW w:w="1080" w:type="dxa"/>
            <w:tcBorders>
              <w:top w:val="single" w:sz="4" w:space="0" w:color="000000"/>
              <w:left w:val="single" w:sz="4" w:space="0" w:color="000000"/>
              <w:bottom w:val="single" w:sz="4" w:space="0" w:color="000000"/>
              <w:right w:val="single" w:sz="4" w:space="0" w:color="000000"/>
            </w:tcBorders>
            <w:hideMark/>
          </w:tcPr>
          <w:p w14:paraId="47256B34" w14:textId="77777777" w:rsidR="009759FC" w:rsidRPr="002A54AF" w:rsidRDefault="009759FC">
            <w:pPr>
              <w:pStyle w:val="Default"/>
              <w:keepNex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0,0002**</w:t>
            </w:r>
          </w:p>
        </w:tc>
      </w:tr>
      <w:tr w:rsidR="009759FC" w:rsidRPr="002A54AF" w14:paraId="27149F76" w14:textId="77777777" w:rsidTr="009759FC">
        <w:tc>
          <w:tcPr>
            <w:tcW w:w="3240" w:type="dxa"/>
            <w:tcBorders>
              <w:top w:val="single" w:sz="4" w:space="0" w:color="000000"/>
              <w:left w:val="single" w:sz="4" w:space="0" w:color="000000"/>
              <w:bottom w:val="single" w:sz="4" w:space="0" w:color="000000"/>
              <w:right w:val="single" w:sz="4" w:space="0" w:color="000000"/>
            </w:tcBorders>
            <w:hideMark/>
          </w:tcPr>
          <w:p w14:paraId="50AE8DA5" w14:textId="77777777" w:rsidR="009759FC" w:rsidRPr="002A54AF" w:rsidRDefault="009759FC">
            <w:pPr>
              <w:pStyle w:val="Default"/>
              <w:keepNext/>
              <w:rPr>
                <w:rFonts w:ascii="Times New Roman" w:hAnsi="Times New Roman" w:cs="Times New Roman"/>
                <w:sz w:val="22"/>
                <w:szCs w:val="22"/>
                <w:lang w:val="pt-PT"/>
              </w:rPr>
            </w:pPr>
            <w:r w:rsidRPr="002A54AF">
              <w:rPr>
                <w:rFonts w:ascii="Times New Roman" w:hAnsi="Times New Roman" w:cs="Times New Roman"/>
                <w:sz w:val="22"/>
                <w:szCs w:val="22"/>
                <w:lang w:val="pt-PT"/>
              </w:rPr>
              <w:t>Sucesso no dia 100</w:t>
            </w:r>
          </w:p>
        </w:tc>
        <w:tc>
          <w:tcPr>
            <w:tcW w:w="1530" w:type="dxa"/>
            <w:tcBorders>
              <w:top w:val="single" w:sz="4" w:space="0" w:color="000000"/>
              <w:left w:val="single" w:sz="4" w:space="0" w:color="000000"/>
              <w:bottom w:val="single" w:sz="4" w:space="0" w:color="000000"/>
              <w:right w:val="single" w:sz="4" w:space="0" w:color="000000"/>
            </w:tcBorders>
            <w:hideMark/>
          </w:tcPr>
          <w:p w14:paraId="537CC3F0" w14:textId="77777777" w:rsidR="009759FC" w:rsidRPr="002A54AF" w:rsidRDefault="009759FC">
            <w:pPr>
              <w:pStyle w:val="Default"/>
              <w:keepNext/>
              <w:rPr>
                <w:rFonts w:ascii="Times New Roman" w:hAnsi="Times New Roman" w:cs="Times New Roman"/>
                <w:sz w:val="22"/>
                <w:szCs w:val="22"/>
                <w:lang w:val="pt-PT"/>
              </w:rPr>
            </w:pPr>
            <w:r w:rsidRPr="002A54AF">
              <w:rPr>
                <w:rFonts w:ascii="Times New Roman" w:hAnsi="Times New Roman" w:cs="Times New Roman"/>
                <w:sz w:val="22"/>
                <w:szCs w:val="22"/>
                <w:lang w:val="pt-PT"/>
              </w:rPr>
              <w:t>121 (54,0%)</w:t>
            </w:r>
          </w:p>
        </w:tc>
        <w:tc>
          <w:tcPr>
            <w:tcW w:w="1440" w:type="dxa"/>
            <w:tcBorders>
              <w:top w:val="single" w:sz="4" w:space="0" w:color="000000"/>
              <w:left w:val="single" w:sz="4" w:space="0" w:color="000000"/>
              <w:bottom w:val="single" w:sz="4" w:space="0" w:color="000000"/>
              <w:right w:val="single" w:sz="4" w:space="0" w:color="000000"/>
            </w:tcBorders>
            <w:hideMark/>
          </w:tcPr>
          <w:p w14:paraId="7475C10D" w14:textId="77777777" w:rsidR="009759FC" w:rsidRPr="002A54AF" w:rsidRDefault="009759FC">
            <w:pPr>
              <w:pStyle w:val="Default"/>
              <w:keepNext/>
              <w:rPr>
                <w:rFonts w:ascii="Times New Roman" w:hAnsi="Times New Roman" w:cs="Times New Roman"/>
                <w:sz w:val="22"/>
                <w:szCs w:val="22"/>
                <w:lang w:val="pt-PT"/>
              </w:rPr>
            </w:pPr>
            <w:r w:rsidRPr="002A54AF">
              <w:rPr>
                <w:rFonts w:ascii="Times New Roman" w:hAnsi="Times New Roman" w:cs="Times New Roman"/>
                <w:sz w:val="22"/>
                <w:szCs w:val="22"/>
                <w:lang w:val="pt-PT"/>
              </w:rPr>
              <w:t>96 (39,8%)</w:t>
            </w:r>
          </w:p>
        </w:tc>
        <w:tc>
          <w:tcPr>
            <w:tcW w:w="2430" w:type="dxa"/>
            <w:tcBorders>
              <w:top w:val="single" w:sz="4" w:space="0" w:color="000000"/>
              <w:left w:val="single" w:sz="4" w:space="0" w:color="000000"/>
              <w:bottom w:val="single" w:sz="4" w:space="0" w:color="000000"/>
              <w:right w:val="single" w:sz="4" w:space="0" w:color="000000"/>
            </w:tcBorders>
            <w:hideMark/>
          </w:tcPr>
          <w:p w14:paraId="647BFB05" w14:textId="77777777" w:rsidR="009759FC" w:rsidRPr="002A54AF" w:rsidRDefault="009759FC">
            <w:pPr>
              <w:pStyle w:val="Default"/>
              <w:keepNex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15,4% (6,6%, 24,2%)**</w:t>
            </w:r>
          </w:p>
        </w:tc>
        <w:tc>
          <w:tcPr>
            <w:tcW w:w="1080" w:type="dxa"/>
            <w:tcBorders>
              <w:top w:val="single" w:sz="4" w:space="0" w:color="000000"/>
              <w:left w:val="single" w:sz="4" w:space="0" w:color="000000"/>
              <w:bottom w:val="single" w:sz="4" w:space="0" w:color="000000"/>
              <w:right w:val="single" w:sz="4" w:space="0" w:color="000000"/>
            </w:tcBorders>
            <w:hideMark/>
          </w:tcPr>
          <w:p w14:paraId="0359CCDB" w14:textId="77777777" w:rsidR="009759FC" w:rsidRPr="002A54AF" w:rsidRDefault="009759FC">
            <w:pPr>
              <w:pStyle w:val="Default"/>
              <w:keepNex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0,0006**</w:t>
            </w:r>
          </w:p>
        </w:tc>
      </w:tr>
      <w:tr w:rsidR="009759FC" w:rsidRPr="002A54AF" w14:paraId="7CA74EE1" w14:textId="77777777" w:rsidTr="009759FC">
        <w:tc>
          <w:tcPr>
            <w:tcW w:w="3240" w:type="dxa"/>
            <w:tcBorders>
              <w:top w:val="single" w:sz="4" w:space="0" w:color="000000"/>
              <w:left w:val="single" w:sz="4" w:space="0" w:color="000000"/>
              <w:bottom w:val="single" w:sz="4" w:space="0" w:color="000000"/>
              <w:right w:val="single" w:sz="4" w:space="0" w:color="000000"/>
            </w:tcBorders>
            <w:hideMark/>
          </w:tcPr>
          <w:p w14:paraId="5D364AA8" w14:textId="77777777" w:rsidR="009759FC" w:rsidRPr="002A54AF" w:rsidRDefault="009759FC">
            <w:pPr>
              <w:pStyle w:val="Default"/>
              <w:keepNext/>
              <w:rPr>
                <w:rFonts w:ascii="Times New Roman" w:hAnsi="Times New Roman" w:cs="Times New Roman"/>
                <w:sz w:val="22"/>
                <w:szCs w:val="22"/>
                <w:lang w:val="pt-PT"/>
              </w:rPr>
            </w:pPr>
            <w:r w:rsidRPr="002A54AF">
              <w:rPr>
                <w:rFonts w:ascii="Times New Roman" w:hAnsi="Times New Roman" w:cs="Times New Roman"/>
                <w:sz w:val="22"/>
                <w:szCs w:val="22"/>
                <w:lang w:val="pt-PT"/>
              </w:rPr>
              <w:t>Completou pelo menos 100 dias de profilaxia com o fármaco em estudo</w:t>
            </w:r>
          </w:p>
        </w:tc>
        <w:tc>
          <w:tcPr>
            <w:tcW w:w="1530" w:type="dxa"/>
            <w:tcBorders>
              <w:top w:val="single" w:sz="4" w:space="0" w:color="000000"/>
              <w:left w:val="single" w:sz="4" w:space="0" w:color="000000"/>
              <w:bottom w:val="single" w:sz="4" w:space="0" w:color="000000"/>
              <w:right w:val="single" w:sz="4" w:space="0" w:color="000000"/>
            </w:tcBorders>
            <w:hideMark/>
          </w:tcPr>
          <w:p w14:paraId="06DAF23D" w14:textId="77777777" w:rsidR="009759FC" w:rsidRPr="002A54AF" w:rsidRDefault="009759FC">
            <w:pPr>
              <w:pStyle w:val="Default"/>
              <w:keepNext/>
              <w:rPr>
                <w:rFonts w:ascii="Times New Roman" w:hAnsi="Times New Roman" w:cs="Times New Roman"/>
                <w:sz w:val="22"/>
                <w:szCs w:val="22"/>
                <w:lang w:val="pt-PT"/>
              </w:rPr>
            </w:pPr>
            <w:r w:rsidRPr="002A54AF">
              <w:rPr>
                <w:rFonts w:ascii="Times New Roman" w:hAnsi="Times New Roman" w:cs="Times New Roman"/>
                <w:sz w:val="22"/>
                <w:szCs w:val="22"/>
                <w:lang w:val="pt-PT"/>
              </w:rPr>
              <w:t>120 (53,6%)</w:t>
            </w:r>
          </w:p>
        </w:tc>
        <w:tc>
          <w:tcPr>
            <w:tcW w:w="1440" w:type="dxa"/>
            <w:tcBorders>
              <w:top w:val="single" w:sz="4" w:space="0" w:color="000000"/>
              <w:left w:val="single" w:sz="4" w:space="0" w:color="000000"/>
              <w:bottom w:val="single" w:sz="4" w:space="0" w:color="000000"/>
              <w:right w:val="single" w:sz="4" w:space="0" w:color="000000"/>
            </w:tcBorders>
            <w:hideMark/>
          </w:tcPr>
          <w:p w14:paraId="188BD485" w14:textId="77777777" w:rsidR="009759FC" w:rsidRPr="002A54AF" w:rsidRDefault="009759FC">
            <w:pPr>
              <w:pStyle w:val="Default"/>
              <w:keepNext/>
              <w:rPr>
                <w:rFonts w:ascii="Times New Roman" w:hAnsi="Times New Roman" w:cs="Times New Roman"/>
                <w:sz w:val="22"/>
                <w:szCs w:val="22"/>
                <w:lang w:val="pt-PT"/>
              </w:rPr>
            </w:pPr>
            <w:r w:rsidRPr="002A54AF">
              <w:rPr>
                <w:rFonts w:ascii="Times New Roman" w:hAnsi="Times New Roman" w:cs="Times New Roman"/>
                <w:sz w:val="22"/>
                <w:szCs w:val="22"/>
                <w:lang w:val="pt-PT"/>
              </w:rPr>
              <w:t>94 (39,0%)</w:t>
            </w:r>
          </w:p>
        </w:tc>
        <w:tc>
          <w:tcPr>
            <w:tcW w:w="2430" w:type="dxa"/>
            <w:tcBorders>
              <w:top w:val="single" w:sz="4" w:space="0" w:color="000000"/>
              <w:left w:val="single" w:sz="4" w:space="0" w:color="000000"/>
              <w:bottom w:val="single" w:sz="4" w:space="0" w:color="000000"/>
              <w:right w:val="single" w:sz="4" w:space="0" w:color="000000"/>
            </w:tcBorders>
            <w:hideMark/>
          </w:tcPr>
          <w:p w14:paraId="4764BB4C" w14:textId="77777777" w:rsidR="009759FC" w:rsidRPr="002A54AF" w:rsidRDefault="009759FC">
            <w:pPr>
              <w:pStyle w:val="Default"/>
              <w:keepNex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14,6% (5,6%, 23,5%)</w:t>
            </w:r>
          </w:p>
        </w:tc>
        <w:tc>
          <w:tcPr>
            <w:tcW w:w="1080" w:type="dxa"/>
            <w:tcBorders>
              <w:top w:val="single" w:sz="4" w:space="0" w:color="000000"/>
              <w:left w:val="single" w:sz="4" w:space="0" w:color="000000"/>
              <w:bottom w:val="single" w:sz="4" w:space="0" w:color="000000"/>
              <w:right w:val="single" w:sz="4" w:space="0" w:color="000000"/>
            </w:tcBorders>
            <w:hideMark/>
          </w:tcPr>
          <w:p w14:paraId="7E72294C" w14:textId="77777777" w:rsidR="009759FC" w:rsidRPr="002A54AF" w:rsidRDefault="009759FC">
            <w:pPr>
              <w:pStyle w:val="Default"/>
              <w:keepNex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0,0015</w:t>
            </w:r>
          </w:p>
        </w:tc>
      </w:tr>
      <w:tr w:rsidR="009759FC" w:rsidRPr="002A54AF" w14:paraId="2C209C39" w14:textId="77777777" w:rsidTr="009759FC">
        <w:tc>
          <w:tcPr>
            <w:tcW w:w="3240" w:type="dxa"/>
            <w:tcBorders>
              <w:top w:val="single" w:sz="4" w:space="0" w:color="000000"/>
              <w:left w:val="single" w:sz="4" w:space="0" w:color="000000"/>
              <w:bottom w:val="single" w:sz="4" w:space="0" w:color="000000"/>
              <w:right w:val="single" w:sz="4" w:space="0" w:color="000000"/>
            </w:tcBorders>
            <w:hideMark/>
          </w:tcPr>
          <w:p w14:paraId="3989FAC2"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Sobreviveu até ao dia 180</w:t>
            </w:r>
          </w:p>
        </w:tc>
        <w:tc>
          <w:tcPr>
            <w:tcW w:w="1530" w:type="dxa"/>
            <w:tcBorders>
              <w:top w:val="single" w:sz="4" w:space="0" w:color="000000"/>
              <w:left w:val="single" w:sz="4" w:space="0" w:color="000000"/>
              <w:bottom w:val="single" w:sz="4" w:space="0" w:color="000000"/>
              <w:right w:val="single" w:sz="4" w:space="0" w:color="000000"/>
            </w:tcBorders>
            <w:hideMark/>
          </w:tcPr>
          <w:p w14:paraId="7D65C967"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184 (82,1%)</w:t>
            </w:r>
          </w:p>
        </w:tc>
        <w:tc>
          <w:tcPr>
            <w:tcW w:w="1440" w:type="dxa"/>
            <w:tcBorders>
              <w:top w:val="single" w:sz="4" w:space="0" w:color="000000"/>
              <w:left w:val="single" w:sz="4" w:space="0" w:color="000000"/>
              <w:bottom w:val="single" w:sz="4" w:space="0" w:color="000000"/>
              <w:right w:val="single" w:sz="4" w:space="0" w:color="000000"/>
            </w:tcBorders>
            <w:hideMark/>
          </w:tcPr>
          <w:p w14:paraId="44EC67F5"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197 (81,7%)</w:t>
            </w:r>
          </w:p>
        </w:tc>
        <w:tc>
          <w:tcPr>
            <w:tcW w:w="2430" w:type="dxa"/>
            <w:tcBorders>
              <w:top w:val="single" w:sz="4" w:space="0" w:color="000000"/>
              <w:left w:val="single" w:sz="4" w:space="0" w:color="000000"/>
              <w:bottom w:val="single" w:sz="4" w:space="0" w:color="000000"/>
              <w:right w:val="single" w:sz="4" w:space="0" w:color="000000"/>
            </w:tcBorders>
            <w:hideMark/>
          </w:tcPr>
          <w:p w14:paraId="3C5CFF71" w14:textId="77777777" w:rsidR="009759FC" w:rsidRPr="002A54AF" w:rsidRDefault="009759FC">
            <w:pPr>
              <w:pStyle w:val="Defaul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0,4% (-6,6%, 7,4%)</w:t>
            </w:r>
          </w:p>
        </w:tc>
        <w:tc>
          <w:tcPr>
            <w:tcW w:w="1080" w:type="dxa"/>
            <w:tcBorders>
              <w:top w:val="single" w:sz="4" w:space="0" w:color="000000"/>
              <w:left w:val="single" w:sz="4" w:space="0" w:color="000000"/>
              <w:bottom w:val="single" w:sz="4" w:space="0" w:color="000000"/>
              <w:right w:val="single" w:sz="4" w:space="0" w:color="000000"/>
            </w:tcBorders>
            <w:hideMark/>
          </w:tcPr>
          <w:p w14:paraId="56C058EF" w14:textId="77777777" w:rsidR="009759FC" w:rsidRPr="002A54AF" w:rsidRDefault="009759FC">
            <w:pPr>
              <w:pStyle w:val="Defaul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0,9107</w:t>
            </w:r>
          </w:p>
        </w:tc>
      </w:tr>
      <w:tr w:rsidR="009759FC" w:rsidRPr="002A54AF" w14:paraId="23D2CDC5" w14:textId="77777777" w:rsidTr="009759FC">
        <w:tc>
          <w:tcPr>
            <w:tcW w:w="3240" w:type="dxa"/>
            <w:tcBorders>
              <w:top w:val="single" w:sz="4" w:space="0" w:color="000000"/>
              <w:left w:val="single" w:sz="4" w:space="0" w:color="000000"/>
              <w:bottom w:val="single" w:sz="4" w:space="0" w:color="000000"/>
              <w:right w:val="single" w:sz="4" w:space="0" w:color="000000"/>
            </w:tcBorders>
            <w:hideMark/>
          </w:tcPr>
          <w:p w14:paraId="7A15F08C"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Desenvolveu IFI comprovada ou provável até ao dia 180</w:t>
            </w:r>
          </w:p>
        </w:tc>
        <w:tc>
          <w:tcPr>
            <w:tcW w:w="1530" w:type="dxa"/>
            <w:tcBorders>
              <w:top w:val="single" w:sz="4" w:space="0" w:color="000000"/>
              <w:left w:val="single" w:sz="4" w:space="0" w:color="000000"/>
              <w:bottom w:val="single" w:sz="4" w:space="0" w:color="000000"/>
              <w:right w:val="single" w:sz="4" w:space="0" w:color="000000"/>
            </w:tcBorders>
            <w:hideMark/>
          </w:tcPr>
          <w:p w14:paraId="36BA33C1"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3 (1,3%)</w:t>
            </w:r>
          </w:p>
        </w:tc>
        <w:tc>
          <w:tcPr>
            <w:tcW w:w="1440" w:type="dxa"/>
            <w:tcBorders>
              <w:top w:val="single" w:sz="4" w:space="0" w:color="000000"/>
              <w:left w:val="single" w:sz="4" w:space="0" w:color="000000"/>
              <w:bottom w:val="single" w:sz="4" w:space="0" w:color="000000"/>
              <w:right w:val="single" w:sz="4" w:space="0" w:color="000000"/>
            </w:tcBorders>
            <w:hideMark/>
          </w:tcPr>
          <w:p w14:paraId="2060478F"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5 (2,1%)</w:t>
            </w:r>
          </w:p>
        </w:tc>
        <w:tc>
          <w:tcPr>
            <w:tcW w:w="2430" w:type="dxa"/>
            <w:tcBorders>
              <w:top w:val="single" w:sz="4" w:space="0" w:color="000000"/>
              <w:left w:val="single" w:sz="4" w:space="0" w:color="000000"/>
              <w:bottom w:val="single" w:sz="4" w:space="0" w:color="000000"/>
              <w:right w:val="single" w:sz="4" w:space="0" w:color="000000"/>
            </w:tcBorders>
            <w:hideMark/>
          </w:tcPr>
          <w:p w14:paraId="28A607A0" w14:textId="77777777" w:rsidR="009759FC" w:rsidRPr="002A54AF" w:rsidRDefault="009759FC">
            <w:pPr>
              <w:pStyle w:val="Defaul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-0,7% (-3,1%, 1,6%)</w:t>
            </w:r>
          </w:p>
        </w:tc>
        <w:tc>
          <w:tcPr>
            <w:tcW w:w="1080" w:type="dxa"/>
            <w:tcBorders>
              <w:top w:val="single" w:sz="4" w:space="0" w:color="000000"/>
              <w:left w:val="single" w:sz="4" w:space="0" w:color="000000"/>
              <w:bottom w:val="single" w:sz="4" w:space="0" w:color="000000"/>
              <w:right w:val="single" w:sz="4" w:space="0" w:color="000000"/>
            </w:tcBorders>
            <w:hideMark/>
          </w:tcPr>
          <w:p w14:paraId="047F5454" w14:textId="77777777" w:rsidR="009759FC" w:rsidRPr="002A54AF" w:rsidRDefault="009759FC">
            <w:pPr>
              <w:pStyle w:val="Defaul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0,5390</w:t>
            </w:r>
          </w:p>
        </w:tc>
      </w:tr>
      <w:tr w:rsidR="009759FC" w:rsidRPr="002A54AF" w14:paraId="5CC5AF7A" w14:textId="77777777" w:rsidTr="009759FC">
        <w:tc>
          <w:tcPr>
            <w:tcW w:w="3240" w:type="dxa"/>
            <w:tcBorders>
              <w:top w:val="single" w:sz="4" w:space="0" w:color="000000"/>
              <w:left w:val="single" w:sz="4" w:space="0" w:color="000000"/>
              <w:bottom w:val="single" w:sz="4" w:space="0" w:color="000000"/>
              <w:right w:val="single" w:sz="4" w:space="0" w:color="000000"/>
            </w:tcBorders>
            <w:hideMark/>
          </w:tcPr>
          <w:p w14:paraId="692CBB55"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Desenvolveu IFI comprovada ou provável até ao dia 100</w:t>
            </w:r>
          </w:p>
        </w:tc>
        <w:tc>
          <w:tcPr>
            <w:tcW w:w="1530" w:type="dxa"/>
            <w:tcBorders>
              <w:top w:val="single" w:sz="4" w:space="0" w:color="000000"/>
              <w:left w:val="single" w:sz="4" w:space="0" w:color="000000"/>
              <w:bottom w:val="single" w:sz="4" w:space="0" w:color="000000"/>
              <w:right w:val="single" w:sz="4" w:space="0" w:color="000000"/>
            </w:tcBorders>
            <w:hideMark/>
          </w:tcPr>
          <w:p w14:paraId="741B91A1"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2 (0,9%)</w:t>
            </w:r>
          </w:p>
        </w:tc>
        <w:tc>
          <w:tcPr>
            <w:tcW w:w="1440" w:type="dxa"/>
            <w:tcBorders>
              <w:top w:val="single" w:sz="4" w:space="0" w:color="000000"/>
              <w:left w:val="single" w:sz="4" w:space="0" w:color="000000"/>
              <w:bottom w:val="single" w:sz="4" w:space="0" w:color="000000"/>
              <w:right w:val="single" w:sz="4" w:space="0" w:color="000000"/>
            </w:tcBorders>
            <w:hideMark/>
          </w:tcPr>
          <w:p w14:paraId="60AEC0F3"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4 (1,7%)</w:t>
            </w:r>
          </w:p>
        </w:tc>
        <w:tc>
          <w:tcPr>
            <w:tcW w:w="2430" w:type="dxa"/>
            <w:tcBorders>
              <w:top w:val="single" w:sz="4" w:space="0" w:color="000000"/>
              <w:left w:val="single" w:sz="4" w:space="0" w:color="000000"/>
              <w:bottom w:val="single" w:sz="4" w:space="0" w:color="000000"/>
              <w:right w:val="single" w:sz="4" w:space="0" w:color="000000"/>
            </w:tcBorders>
            <w:hideMark/>
          </w:tcPr>
          <w:p w14:paraId="2B2D2709" w14:textId="77777777" w:rsidR="009759FC" w:rsidRPr="002A54AF" w:rsidRDefault="009759FC">
            <w:pPr>
              <w:pStyle w:val="Defaul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-0,8% (-2,8%, 1,3%)</w:t>
            </w:r>
          </w:p>
        </w:tc>
        <w:tc>
          <w:tcPr>
            <w:tcW w:w="1080" w:type="dxa"/>
            <w:tcBorders>
              <w:top w:val="single" w:sz="4" w:space="0" w:color="000000"/>
              <w:left w:val="single" w:sz="4" w:space="0" w:color="000000"/>
              <w:bottom w:val="single" w:sz="4" w:space="0" w:color="000000"/>
              <w:right w:val="single" w:sz="4" w:space="0" w:color="000000"/>
            </w:tcBorders>
            <w:hideMark/>
          </w:tcPr>
          <w:p w14:paraId="7E3F484D" w14:textId="77777777" w:rsidR="009759FC" w:rsidRPr="002A54AF" w:rsidRDefault="009759FC">
            <w:pPr>
              <w:pStyle w:val="Defaul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0,4589</w:t>
            </w:r>
          </w:p>
        </w:tc>
      </w:tr>
      <w:tr w:rsidR="009759FC" w:rsidRPr="002A54AF" w14:paraId="3108A5E1" w14:textId="77777777" w:rsidTr="009759FC">
        <w:tc>
          <w:tcPr>
            <w:tcW w:w="3240" w:type="dxa"/>
            <w:tcBorders>
              <w:top w:val="single" w:sz="4" w:space="0" w:color="000000"/>
              <w:left w:val="single" w:sz="4" w:space="0" w:color="000000"/>
              <w:bottom w:val="single" w:sz="4" w:space="0" w:color="000000"/>
              <w:right w:val="single" w:sz="4" w:space="0" w:color="000000"/>
            </w:tcBorders>
            <w:hideMark/>
          </w:tcPr>
          <w:p w14:paraId="26E9BEC1"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Desenvolveu IFI comprovada ou provável durante o tratamento com o fármaco em estudo</w:t>
            </w:r>
          </w:p>
        </w:tc>
        <w:tc>
          <w:tcPr>
            <w:tcW w:w="1530" w:type="dxa"/>
            <w:tcBorders>
              <w:top w:val="single" w:sz="4" w:space="0" w:color="000000"/>
              <w:left w:val="single" w:sz="4" w:space="0" w:color="000000"/>
              <w:bottom w:val="single" w:sz="4" w:space="0" w:color="000000"/>
              <w:right w:val="single" w:sz="4" w:space="0" w:color="000000"/>
            </w:tcBorders>
            <w:hideMark/>
          </w:tcPr>
          <w:p w14:paraId="7047A703"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0</w:t>
            </w:r>
          </w:p>
        </w:tc>
        <w:tc>
          <w:tcPr>
            <w:tcW w:w="1440" w:type="dxa"/>
            <w:tcBorders>
              <w:top w:val="single" w:sz="4" w:space="0" w:color="000000"/>
              <w:left w:val="single" w:sz="4" w:space="0" w:color="000000"/>
              <w:bottom w:val="single" w:sz="4" w:space="0" w:color="000000"/>
              <w:right w:val="single" w:sz="4" w:space="0" w:color="000000"/>
            </w:tcBorders>
            <w:hideMark/>
          </w:tcPr>
          <w:p w14:paraId="07DF0113"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3 (1,2%)</w:t>
            </w:r>
          </w:p>
        </w:tc>
        <w:tc>
          <w:tcPr>
            <w:tcW w:w="2430" w:type="dxa"/>
            <w:tcBorders>
              <w:top w:val="single" w:sz="4" w:space="0" w:color="000000"/>
              <w:left w:val="single" w:sz="4" w:space="0" w:color="000000"/>
              <w:bottom w:val="single" w:sz="4" w:space="0" w:color="000000"/>
              <w:right w:val="single" w:sz="4" w:space="0" w:color="000000"/>
            </w:tcBorders>
            <w:hideMark/>
          </w:tcPr>
          <w:p w14:paraId="1138E76F" w14:textId="77777777" w:rsidR="009759FC" w:rsidRPr="002A54AF" w:rsidRDefault="009759FC">
            <w:pPr>
              <w:pStyle w:val="Defaul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-1,2% (-2,6%, 0,2%)</w:t>
            </w:r>
          </w:p>
        </w:tc>
        <w:tc>
          <w:tcPr>
            <w:tcW w:w="1080" w:type="dxa"/>
            <w:tcBorders>
              <w:top w:val="single" w:sz="4" w:space="0" w:color="000000"/>
              <w:left w:val="single" w:sz="4" w:space="0" w:color="000000"/>
              <w:bottom w:val="single" w:sz="4" w:space="0" w:color="000000"/>
              <w:right w:val="single" w:sz="4" w:space="0" w:color="000000"/>
            </w:tcBorders>
            <w:hideMark/>
          </w:tcPr>
          <w:p w14:paraId="4F134346" w14:textId="77777777" w:rsidR="009759FC" w:rsidRPr="002A54AF" w:rsidRDefault="009759FC">
            <w:pPr>
              <w:pStyle w:val="Defaul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0,0813</w:t>
            </w:r>
          </w:p>
        </w:tc>
      </w:tr>
    </w:tbl>
    <w:p w14:paraId="33D06D39" w14:textId="77777777" w:rsidR="009759FC" w:rsidRPr="002A54AF" w:rsidRDefault="009759FC" w:rsidP="009759FC">
      <w:pPr>
        <w:tabs>
          <w:tab w:val="left" w:pos="567"/>
        </w:tabs>
        <w:suppressAutoHyphens/>
        <w:rPr>
          <w:szCs w:val="22"/>
          <w:lang w:val="pt-PT"/>
        </w:rPr>
      </w:pPr>
      <w:r w:rsidRPr="002A54AF">
        <w:rPr>
          <w:szCs w:val="22"/>
          <w:lang w:val="pt-PT"/>
        </w:rPr>
        <w:t>* Parâmetro de avaliação primário do estudo</w:t>
      </w:r>
    </w:p>
    <w:p w14:paraId="5DFAFE4B" w14:textId="77777777" w:rsidR="009759FC" w:rsidRPr="002A54AF" w:rsidRDefault="009759FC" w:rsidP="009759FC">
      <w:pPr>
        <w:tabs>
          <w:tab w:val="left" w:pos="567"/>
        </w:tabs>
        <w:suppressAutoHyphens/>
        <w:rPr>
          <w:szCs w:val="22"/>
          <w:lang w:val="pt-PT"/>
        </w:rPr>
      </w:pPr>
      <w:r w:rsidRPr="002A54AF">
        <w:rPr>
          <w:szCs w:val="22"/>
          <w:lang w:val="pt-PT"/>
        </w:rPr>
        <w:t>** Diferença na percentagem, IC de 95% e valores obtidos após o ajuste para aleatorização</w:t>
      </w:r>
    </w:p>
    <w:p w14:paraId="00FA743E" w14:textId="77777777" w:rsidR="009759FC" w:rsidRPr="002A54AF" w:rsidRDefault="009759FC" w:rsidP="009759FC">
      <w:pPr>
        <w:tabs>
          <w:tab w:val="left" w:pos="567"/>
        </w:tabs>
        <w:suppressAutoHyphens/>
        <w:rPr>
          <w:szCs w:val="22"/>
          <w:lang w:val="pt-PT"/>
        </w:rPr>
      </w:pPr>
    </w:p>
    <w:p w14:paraId="234A1EB4" w14:textId="77777777" w:rsidR="009759FC" w:rsidRPr="002A54AF" w:rsidRDefault="009759FC" w:rsidP="009759FC">
      <w:pPr>
        <w:tabs>
          <w:tab w:val="left" w:pos="567"/>
        </w:tabs>
        <w:suppressAutoHyphens/>
        <w:rPr>
          <w:szCs w:val="22"/>
          <w:lang w:val="pt-PT"/>
        </w:rPr>
      </w:pPr>
      <w:r w:rsidRPr="002A54AF">
        <w:rPr>
          <w:szCs w:val="22"/>
          <w:lang w:val="pt-PT"/>
        </w:rPr>
        <w:t>A taxa de superinfeção FI até ao Dia 180 e o parâmetro de avaliação primário do estudo, que é o sucesso ao Dia 180, para doentes com LMA e regimes de condicionamento mieloablativo, respetivamente, são indicadas na tabela seguinte:</w:t>
      </w:r>
    </w:p>
    <w:p w14:paraId="6D88B15C" w14:textId="77777777" w:rsidR="009759FC" w:rsidRPr="002A54AF" w:rsidRDefault="009759FC" w:rsidP="009759FC">
      <w:pPr>
        <w:tabs>
          <w:tab w:val="left" w:pos="567"/>
        </w:tabs>
        <w:suppressAutoHyphens/>
        <w:rPr>
          <w:szCs w:val="22"/>
          <w:lang w:val="pt-PT"/>
        </w:rPr>
      </w:pPr>
    </w:p>
    <w:p w14:paraId="30091730" w14:textId="77777777" w:rsidR="009759FC" w:rsidRPr="002A54AF" w:rsidRDefault="009759FC" w:rsidP="009759FC">
      <w:pPr>
        <w:tabs>
          <w:tab w:val="left" w:pos="567"/>
        </w:tabs>
        <w:suppressAutoHyphens/>
        <w:rPr>
          <w:b/>
          <w:szCs w:val="22"/>
          <w:lang w:val="pt-PT"/>
        </w:rPr>
      </w:pPr>
      <w:r w:rsidRPr="002A54AF">
        <w:rPr>
          <w:b/>
          <w:szCs w:val="22"/>
          <w:lang w:val="pt-PT"/>
        </w:rPr>
        <w:t>LMA</w:t>
      </w:r>
    </w:p>
    <w:p w14:paraId="67CB58F0" w14:textId="77777777" w:rsidR="009759FC" w:rsidRPr="002A54AF" w:rsidRDefault="009759FC" w:rsidP="009759FC">
      <w:pPr>
        <w:tabs>
          <w:tab w:val="left" w:pos="567"/>
        </w:tabs>
        <w:suppressAutoHyphens/>
        <w:rPr>
          <w:szCs w:val="22"/>
          <w:lang w:val="pt-P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530"/>
        <w:gridCol w:w="1440"/>
        <w:gridCol w:w="2430"/>
      </w:tblGrid>
      <w:tr w:rsidR="009759FC" w:rsidRPr="00C36368" w14:paraId="7633AD47" w14:textId="77777777" w:rsidTr="009759FC">
        <w:tc>
          <w:tcPr>
            <w:tcW w:w="3240" w:type="dxa"/>
            <w:tcBorders>
              <w:top w:val="single" w:sz="4" w:space="0" w:color="000000"/>
              <w:left w:val="single" w:sz="4" w:space="0" w:color="000000"/>
              <w:bottom w:val="single" w:sz="4" w:space="0" w:color="000000"/>
              <w:right w:val="single" w:sz="4" w:space="0" w:color="000000"/>
            </w:tcBorders>
            <w:shd w:val="clear" w:color="auto" w:fill="EEECE1"/>
            <w:hideMark/>
          </w:tcPr>
          <w:p w14:paraId="7F1FDA7B" w14:textId="77777777" w:rsidR="009759FC" w:rsidRPr="002A54AF" w:rsidRDefault="009759FC">
            <w:pPr>
              <w:pStyle w:val="Default"/>
              <w:rPr>
                <w:rFonts w:ascii="Times New Roman" w:hAnsi="Times New Roman" w:cs="Times New Roman"/>
                <w:b/>
                <w:sz w:val="22"/>
                <w:szCs w:val="22"/>
                <w:lang w:val="pt-PT"/>
              </w:rPr>
            </w:pPr>
            <w:r w:rsidRPr="002A54AF">
              <w:rPr>
                <w:rFonts w:ascii="Times New Roman" w:hAnsi="Times New Roman" w:cs="Times New Roman"/>
                <w:b/>
                <w:sz w:val="22"/>
                <w:szCs w:val="22"/>
                <w:lang w:val="pt-PT"/>
              </w:rPr>
              <w:t>Parâmetros de avaliação do estudo</w:t>
            </w:r>
          </w:p>
        </w:tc>
        <w:tc>
          <w:tcPr>
            <w:tcW w:w="1530" w:type="dxa"/>
            <w:tcBorders>
              <w:top w:val="single" w:sz="4" w:space="0" w:color="000000"/>
              <w:left w:val="single" w:sz="4" w:space="0" w:color="000000"/>
              <w:bottom w:val="single" w:sz="4" w:space="0" w:color="000000"/>
              <w:right w:val="single" w:sz="4" w:space="0" w:color="000000"/>
            </w:tcBorders>
            <w:shd w:val="clear" w:color="auto" w:fill="EEECE1"/>
            <w:hideMark/>
          </w:tcPr>
          <w:p w14:paraId="040DA516" w14:textId="77777777" w:rsidR="009759FC" w:rsidRPr="002A54AF" w:rsidRDefault="009759FC">
            <w:pPr>
              <w:pStyle w:val="Default"/>
              <w:rPr>
                <w:rFonts w:ascii="Times New Roman" w:hAnsi="Times New Roman" w:cs="Times New Roman"/>
                <w:b/>
                <w:sz w:val="22"/>
                <w:szCs w:val="22"/>
                <w:lang w:val="pt-PT"/>
              </w:rPr>
            </w:pPr>
            <w:r w:rsidRPr="002A54AF">
              <w:rPr>
                <w:rFonts w:ascii="Times New Roman" w:hAnsi="Times New Roman" w:cs="Times New Roman"/>
                <w:b/>
                <w:sz w:val="22"/>
                <w:szCs w:val="22"/>
                <w:lang w:val="pt-PT"/>
              </w:rPr>
              <w:t>Voriconazol</w:t>
            </w:r>
            <w:r w:rsidRPr="002A54AF">
              <w:rPr>
                <w:rFonts w:ascii="Times New Roman" w:hAnsi="Times New Roman" w:cs="Times New Roman"/>
                <w:b/>
                <w:sz w:val="22"/>
                <w:szCs w:val="22"/>
                <w:lang w:val="pt-PT"/>
              </w:rPr>
              <w:br/>
              <w:t>(N=98)</w:t>
            </w:r>
          </w:p>
        </w:tc>
        <w:tc>
          <w:tcPr>
            <w:tcW w:w="1440" w:type="dxa"/>
            <w:tcBorders>
              <w:top w:val="single" w:sz="4" w:space="0" w:color="000000"/>
              <w:left w:val="single" w:sz="4" w:space="0" w:color="000000"/>
              <w:bottom w:val="single" w:sz="4" w:space="0" w:color="000000"/>
              <w:right w:val="single" w:sz="4" w:space="0" w:color="000000"/>
            </w:tcBorders>
            <w:shd w:val="clear" w:color="auto" w:fill="EEECE1"/>
            <w:hideMark/>
          </w:tcPr>
          <w:p w14:paraId="1A82EEF9" w14:textId="77777777" w:rsidR="009759FC" w:rsidRPr="002A54AF" w:rsidRDefault="009759FC">
            <w:pPr>
              <w:pStyle w:val="Default"/>
              <w:rPr>
                <w:rFonts w:ascii="Times New Roman" w:hAnsi="Times New Roman" w:cs="Times New Roman"/>
                <w:b/>
                <w:sz w:val="22"/>
                <w:szCs w:val="22"/>
                <w:lang w:val="pt-PT"/>
              </w:rPr>
            </w:pPr>
            <w:r w:rsidRPr="002A54AF">
              <w:rPr>
                <w:rFonts w:ascii="Times New Roman" w:hAnsi="Times New Roman" w:cs="Times New Roman"/>
                <w:b/>
                <w:sz w:val="22"/>
                <w:szCs w:val="22"/>
                <w:lang w:val="pt-PT"/>
              </w:rPr>
              <w:t>Itraconazol</w:t>
            </w:r>
            <w:r w:rsidRPr="002A54AF">
              <w:rPr>
                <w:rFonts w:ascii="Times New Roman" w:hAnsi="Times New Roman" w:cs="Times New Roman"/>
                <w:b/>
                <w:sz w:val="22"/>
                <w:szCs w:val="22"/>
                <w:lang w:val="pt-PT"/>
              </w:rPr>
              <w:br/>
              <w:t>(N=109)</w:t>
            </w:r>
          </w:p>
        </w:tc>
        <w:tc>
          <w:tcPr>
            <w:tcW w:w="2430" w:type="dxa"/>
            <w:tcBorders>
              <w:top w:val="single" w:sz="4" w:space="0" w:color="000000"/>
              <w:left w:val="single" w:sz="4" w:space="0" w:color="000000"/>
              <w:bottom w:val="single" w:sz="4" w:space="0" w:color="000000"/>
              <w:right w:val="single" w:sz="4" w:space="0" w:color="000000"/>
            </w:tcBorders>
            <w:shd w:val="clear" w:color="auto" w:fill="EEECE1"/>
            <w:hideMark/>
          </w:tcPr>
          <w:p w14:paraId="2C167FDB" w14:textId="77777777" w:rsidR="009759FC" w:rsidRPr="002A54AF" w:rsidRDefault="009759FC">
            <w:pPr>
              <w:pStyle w:val="Default"/>
              <w:jc w:val="center"/>
              <w:rPr>
                <w:rFonts w:ascii="Times New Roman" w:hAnsi="Times New Roman" w:cs="Times New Roman"/>
                <w:b/>
                <w:sz w:val="22"/>
                <w:szCs w:val="22"/>
                <w:lang w:val="pt-PT"/>
              </w:rPr>
            </w:pPr>
            <w:r w:rsidRPr="002A54AF">
              <w:rPr>
                <w:rFonts w:ascii="Times New Roman" w:hAnsi="Times New Roman" w:cs="Times New Roman"/>
                <w:b/>
                <w:sz w:val="22"/>
                <w:szCs w:val="22"/>
                <w:lang w:val="pt-PT"/>
              </w:rPr>
              <w:t>Diferença na percentagem e intervalo de confiança (IC) de 95%</w:t>
            </w:r>
          </w:p>
        </w:tc>
      </w:tr>
      <w:tr w:rsidR="009759FC" w:rsidRPr="002A54AF" w14:paraId="05AF2C88" w14:textId="77777777" w:rsidTr="009759FC">
        <w:tc>
          <w:tcPr>
            <w:tcW w:w="3240" w:type="dxa"/>
            <w:tcBorders>
              <w:top w:val="single" w:sz="4" w:space="0" w:color="000000"/>
              <w:left w:val="single" w:sz="4" w:space="0" w:color="000000"/>
              <w:bottom w:val="single" w:sz="4" w:space="0" w:color="000000"/>
              <w:right w:val="single" w:sz="4" w:space="0" w:color="000000"/>
            </w:tcBorders>
            <w:hideMark/>
          </w:tcPr>
          <w:p w14:paraId="378B69E4"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Superinfeção FI – Dia 180</w:t>
            </w:r>
          </w:p>
        </w:tc>
        <w:tc>
          <w:tcPr>
            <w:tcW w:w="1530" w:type="dxa"/>
            <w:tcBorders>
              <w:top w:val="single" w:sz="4" w:space="0" w:color="000000"/>
              <w:left w:val="single" w:sz="4" w:space="0" w:color="000000"/>
              <w:bottom w:val="single" w:sz="4" w:space="0" w:color="000000"/>
              <w:right w:val="single" w:sz="4" w:space="0" w:color="000000"/>
            </w:tcBorders>
            <w:hideMark/>
          </w:tcPr>
          <w:p w14:paraId="7A6A1549"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1 (1,0%)</w:t>
            </w:r>
          </w:p>
        </w:tc>
        <w:tc>
          <w:tcPr>
            <w:tcW w:w="1440" w:type="dxa"/>
            <w:tcBorders>
              <w:top w:val="single" w:sz="4" w:space="0" w:color="000000"/>
              <w:left w:val="single" w:sz="4" w:space="0" w:color="000000"/>
              <w:bottom w:val="single" w:sz="4" w:space="0" w:color="000000"/>
              <w:right w:val="single" w:sz="4" w:space="0" w:color="000000"/>
            </w:tcBorders>
            <w:hideMark/>
          </w:tcPr>
          <w:p w14:paraId="52BF79F8"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 xml:space="preserve"> 2 (1,8%)</w:t>
            </w:r>
          </w:p>
        </w:tc>
        <w:tc>
          <w:tcPr>
            <w:tcW w:w="2430" w:type="dxa"/>
            <w:tcBorders>
              <w:top w:val="single" w:sz="4" w:space="0" w:color="000000"/>
              <w:left w:val="single" w:sz="4" w:space="0" w:color="000000"/>
              <w:bottom w:val="single" w:sz="4" w:space="0" w:color="000000"/>
              <w:right w:val="single" w:sz="4" w:space="0" w:color="000000"/>
            </w:tcBorders>
            <w:hideMark/>
          </w:tcPr>
          <w:p w14:paraId="16B70107" w14:textId="77777777" w:rsidR="009759FC" w:rsidRPr="002A54AF" w:rsidRDefault="009759FC">
            <w:pPr>
              <w:pStyle w:val="Defaul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-0,8% (-4,0%, 2,4%) **</w:t>
            </w:r>
          </w:p>
        </w:tc>
      </w:tr>
      <w:tr w:rsidR="009759FC" w:rsidRPr="002A54AF" w14:paraId="42E27823" w14:textId="77777777" w:rsidTr="009759FC">
        <w:tc>
          <w:tcPr>
            <w:tcW w:w="3240" w:type="dxa"/>
            <w:tcBorders>
              <w:top w:val="single" w:sz="4" w:space="0" w:color="000000"/>
              <w:left w:val="single" w:sz="4" w:space="0" w:color="000000"/>
              <w:bottom w:val="single" w:sz="4" w:space="0" w:color="000000"/>
              <w:right w:val="single" w:sz="4" w:space="0" w:color="000000"/>
            </w:tcBorders>
            <w:hideMark/>
          </w:tcPr>
          <w:p w14:paraId="2C4C1FB8"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Sucesso ao Dia 180*</w:t>
            </w:r>
          </w:p>
        </w:tc>
        <w:tc>
          <w:tcPr>
            <w:tcW w:w="1530" w:type="dxa"/>
            <w:tcBorders>
              <w:top w:val="single" w:sz="4" w:space="0" w:color="000000"/>
              <w:left w:val="single" w:sz="4" w:space="0" w:color="000000"/>
              <w:bottom w:val="single" w:sz="4" w:space="0" w:color="000000"/>
              <w:right w:val="single" w:sz="4" w:space="0" w:color="000000"/>
            </w:tcBorders>
            <w:hideMark/>
          </w:tcPr>
          <w:p w14:paraId="7F69A62A"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55 (56,1%)</w:t>
            </w:r>
          </w:p>
        </w:tc>
        <w:tc>
          <w:tcPr>
            <w:tcW w:w="1440" w:type="dxa"/>
            <w:tcBorders>
              <w:top w:val="single" w:sz="4" w:space="0" w:color="000000"/>
              <w:left w:val="single" w:sz="4" w:space="0" w:color="000000"/>
              <w:bottom w:val="single" w:sz="4" w:space="0" w:color="000000"/>
              <w:right w:val="single" w:sz="4" w:space="0" w:color="000000"/>
            </w:tcBorders>
            <w:hideMark/>
          </w:tcPr>
          <w:p w14:paraId="13188EAC"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45 (41,3%)</w:t>
            </w:r>
          </w:p>
        </w:tc>
        <w:tc>
          <w:tcPr>
            <w:tcW w:w="2430" w:type="dxa"/>
            <w:tcBorders>
              <w:top w:val="single" w:sz="4" w:space="0" w:color="000000"/>
              <w:left w:val="single" w:sz="4" w:space="0" w:color="000000"/>
              <w:bottom w:val="single" w:sz="4" w:space="0" w:color="000000"/>
              <w:right w:val="single" w:sz="4" w:space="0" w:color="000000"/>
            </w:tcBorders>
            <w:hideMark/>
          </w:tcPr>
          <w:p w14:paraId="3026283D" w14:textId="77777777" w:rsidR="009759FC" w:rsidRPr="002A54AF" w:rsidRDefault="009759FC">
            <w:pPr>
              <w:pStyle w:val="Defaul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14,7% (1,7%, 27,7%)***</w:t>
            </w:r>
          </w:p>
        </w:tc>
      </w:tr>
    </w:tbl>
    <w:p w14:paraId="0527B79A" w14:textId="77777777" w:rsidR="009759FC" w:rsidRPr="002A54AF" w:rsidRDefault="009759FC" w:rsidP="009759FC">
      <w:pPr>
        <w:tabs>
          <w:tab w:val="left" w:pos="567"/>
        </w:tabs>
        <w:suppressAutoHyphens/>
        <w:rPr>
          <w:szCs w:val="22"/>
          <w:lang w:val="pt-PT"/>
        </w:rPr>
      </w:pPr>
      <w:r w:rsidRPr="002A54AF">
        <w:rPr>
          <w:szCs w:val="22"/>
          <w:lang w:val="pt-PT"/>
        </w:rPr>
        <w:t>* Parâmetro de avaliação primário do estudo</w:t>
      </w:r>
    </w:p>
    <w:p w14:paraId="5FBB3D19" w14:textId="77777777" w:rsidR="009759FC" w:rsidRPr="002A54AF" w:rsidRDefault="009759FC" w:rsidP="009759FC">
      <w:pPr>
        <w:tabs>
          <w:tab w:val="left" w:pos="567"/>
        </w:tabs>
        <w:suppressAutoHyphens/>
        <w:rPr>
          <w:szCs w:val="22"/>
          <w:lang w:val="pt-PT"/>
        </w:rPr>
      </w:pPr>
      <w:r w:rsidRPr="002A54AF">
        <w:rPr>
          <w:szCs w:val="22"/>
          <w:lang w:val="pt-PT"/>
        </w:rPr>
        <w:t>** Utilizando uma margem de 5%, é demonstrada a não inferioridade</w:t>
      </w:r>
    </w:p>
    <w:p w14:paraId="2D23E417" w14:textId="77777777" w:rsidR="009759FC" w:rsidRPr="002A54AF" w:rsidRDefault="009759FC" w:rsidP="009759FC">
      <w:pPr>
        <w:tabs>
          <w:tab w:val="left" w:pos="567"/>
        </w:tabs>
        <w:suppressAutoHyphens/>
        <w:rPr>
          <w:szCs w:val="22"/>
          <w:lang w:val="pt-PT"/>
        </w:rPr>
      </w:pPr>
      <w:r w:rsidRPr="002A54AF">
        <w:rPr>
          <w:szCs w:val="22"/>
          <w:lang w:val="pt-PT"/>
        </w:rPr>
        <w:t>*** Diferença na percentagem, IC de 95% e obtidos após o ajuste para aleatorização</w:t>
      </w:r>
    </w:p>
    <w:p w14:paraId="54F2116F" w14:textId="77777777" w:rsidR="009759FC" w:rsidRPr="002A54AF" w:rsidRDefault="009759FC" w:rsidP="009759FC">
      <w:pPr>
        <w:tabs>
          <w:tab w:val="left" w:pos="567"/>
        </w:tabs>
        <w:suppressAutoHyphens/>
        <w:rPr>
          <w:szCs w:val="22"/>
          <w:lang w:val="pt-PT"/>
        </w:rPr>
      </w:pPr>
    </w:p>
    <w:p w14:paraId="6593A950" w14:textId="77777777" w:rsidR="009759FC" w:rsidRPr="002A54AF" w:rsidRDefault="009759FC" w:rsidP="009759FC">
      <w:pPr>
        <w:keepNext/>
        <w:tabs>
          <w:tab w:val="left" w:pos="567"/>
        </w:tabs>
        <w:suppressAutoHyphens/>
        <w:rPr>
          <w:b/>
          <w:szCs w:val="22"/>
          <w:lang w:val="pt-PT"/>
        </w:rPr>
      </w:pPr>
      <w:r w:rsidRPr="002A54AF">
        <w:rPr>
          <w:b/>
          <w:szCs w:val="22"/>
          <w:lang w:val="pt-PT"/>
        </w:rPr>
        <w:t>Regimes de condicionamento mieloablativo</w:t>
      </w:r>
    </w:p>
    <w:p w14:paraId="6CD341AB" w14:textId="77777777" w:rsidR="009759FC" w:rsidRPr="002A54AF" w:rsidRDefault="009759FC" w:rsidP="009759FC">
      <w:pPr>
        <w:keepNext/>
        <w:tabs>
          <w:tab w:val="left" w:pos="567"/>
        </w:tabs>
        <w:suppressAutoHyphens/>
        <w:rPr>
          <w:b/>
          <w:szCs w:val="22"/>
          <w:lang w:val="pt-P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530"/>
        <w:gridCol w:w="1440"/>
        <w:gridCol w:w="2430"/>
      </w:tblGrid>
      <w:tr w:rsidR="009759FC" w:rsidRPr="00C36368" w14:paraId="533EE7C0" w14:textId="77777777" w:rsidTr="009759FC">
        <w:tc>
          <w:tcPr>
            <w:tcW w:w="3240" w:type="dxa"/>
            <w:tcBorders>
              <w:top w:val="single" w:sz="4" w:space="0" w:color="000000"/>
              <w:left w:val="single" w:sz="4" w:space="0" w:color="000000"/>
              <w:bottom w:val="single" w:sz="4" w:space="0" w:color="000000"/>
              <w:right w:val="single" w:sz="4" w:space="0" w:color="000000"/>
            </w:tcBorders>
            <w:shd w:val="clear" w:color="auto" w:fill="EEECE1"/>
            <w:hideMark/>
          </w:tcPr>
          <w:p w14:paraId="7F8B34A1" w14:textId="77777777" w:rsidR="009759FC" w:rsidRPr="002A54AF" w:rsidRDefault="009759FC">
            <w:pPr>
              <w:pStyle w:val="Default"/>
              <w:keepNext/>
              <w:rPr>
                <w:rFonts w:ascii="Times New Roman" w:hAnsi="Times New Roman" w:cs="Times New Roman"/>
                <w:b/>
                <w:sz w:val="22"/>
                <w:szCs w:val="22"/>
                <w:lang w:val="pt-PT"/>
              </w:rPr>
            </w:pPr>
            <w:r w:rsidRPr="002A54AF">
              <w:rPr>
                <w:rFonts w:ascii="Times New Roman" w:hAnsi="Times New Roman" w:cs="Times New Roman"/>
                <w:b/>
                <w:sz w:val="22"/>
                <w:szCs w:val="22"/>
                <w:lang w:val="pt-PT"/>
              </w:rPr>
              <w:t>Parâmetros de avaliação do estudo</w:t>
            </w:r>
          </w:p>
        </w:tc>
        <w:tc>
          <w:tcPr>
            <w:tcW w:w="1530" w:type="dxa"/>
            <w:tcBorders>
              <w:top w:val="single" w:sz="4" w:space="0" w:color="000000"/>
              <w:left w:val="single" w:sz="4" w:space="0" w:color="000000"/>
              <w:bottom w:val="single" w:sz="4" w:space="0" w:color="000000"/>
              <w:right w:val="single" w:sz="4" w:space="0" w:color="000000"/>
            </w:tcBorders>
            <w:shd w:val="clear" w:color="auto" w:fill="EEECE1"/>
            <w:hideMark/>
          </w:tcPr>
          <w:p w14:paraId="1A6EF9E7" w14:textId="77777777" w:rsidR="009759FC" w:rsidRPr="002A54AF" w:rsidRDefault="009759FC">
            <w:pPr>
              <w:pStyle w:val="Default"/>
              <w:keepNext/>
              <w:rPr>
                <w:rFonts w:ascii="Times New Roman" w:hAnsi="Times New Roman" w:cs="Times New Roman"/>
                <w:b/>
                <w:sz w:val="22"/>
                <w:szCs w:val="22"/>
                <w:lang w:val="pt-PT"/>
              </w:rPr>
            </w:pPr>
            <w:r w:rsidRPr="002A54AF">
              <w:rPr>
                <w:rFonts w:ascii="Times New Roman" w:hAnsi="Times New Roman" w:cs="Times New Roman"/>
                <w:b/>
                <w:sz w:val="22"/>
                <w:szCs w:val="22"/>
                <w:lang w:val="pt-PT"/>
              </w:rPr>
              <w:t>Voriconazol</w:t>
            </w:r>
            <w:r w:rsidRPr="002A54AF">
              <w:rPr>
                <w:rFonts w:ascii="Times New Roman" w:hAnsi="Times New Roman" w:cs="Times New Roman"/>
                <w:b/>
                <w:sz w:val="22"/>
                <w:szCs w:val="22"/>
                <w:lang w:val="pt-PT"/>
              </w:rPr>
              <w:br/>
              <w:t>(N=125)</w:t>
            </w:r>
          </w:p>
        </w:tc>
        <w:tc>
          <w:tcPr>
            <w:tcW w:w="1440" w:type="dxa"/>
            <w:tcBorders>
              <w:top w:val="single" w:sz="4" w:space="0" w:color="000000"/>
              <w:left w:val="single" w:sz="4" w:space="0" w:color="000000"/>
              <w:bottom w:val="single" w:sz="4" w:space="0" w:color="000000"/>
              <w:right w:val="single" w:sz="4" w:space="0" w:color="000000"/>
            </w:tcBorders>
            <w:shd w:val="clear" w:color="auto" w:fill="EEECE1"/>
            <w:hideMark/>
          </w:tcPr>
          <w:p w14:paraId="2E75DEAC" w14:textId="77777777" w:rsidR="009759FC" w:rsidRPr="002A54AF" w:rsidRDefault="009759FC">
            <w:pPr>
              <w:pStyle w:val="Default"/>
              <w:keepNext/>
              <w:rPr>
                <w:rFonts w:ascii="Times New Roman" w:hAnsi="Times New Roman" w:cs="Times New Roman"/>
                <w:b/>
                <w:sz w:val="22"/>
                <w:szCs w:val="22"/>
                <w:lang w:val="pt-PT"/>
              </w:rPr>
            </w:pPr>
            <w:r w:rsidRPr="002A54AF">
              <w:rPr>
                <w:rFonts w:ascii="Times New Roman" w:hAnsi="Times New Roman" w:cs="Times New Roman"/>
                <w:b/>
                <w:sz w:val="22"/>
                <w:szCs w:val="22"/>
                <w:lang w:val="pt-PT"/>
              </w:rPr>
              <w:t>Itraconazol</w:t>
            </w:r>
            <w:r w:rsidRPr="002A54AF">
              <w:rPr>
                <w:rFonts w:ascii="Times New Roman" w:hAnsi="Times New Roman" w:cs="Times New Roman"/>
                <w:b/>
                <w:sz w:val="22"/>
                <w:szCs w:val="22"/>
                <w:lang w:val="pt-PT"/>
              </w:rPr>
              <w:br/>
              <w:t>(N=143)</w:t>
            </w:r>
          </w:p>
        </w:tc>
        <w:tc>
          <w:tcPr>
            <w:tcW w:w="2430" w:type="dxa"/>
            <w:tcBorders>
              <w:top w:val="single" w:sz="4" w:space="0" w:color="000000"/>
              <w:left w:val="single" w:sz="4" w:space="0" w:color="000000"/>
              <w:bottom w:val="single" w:sz="4" w:space="0" w:color="000000"/>
              <w:right w:val="single" w:sz="4" w:space="0" w:color="000000"/>
            </w:tcBorders>
            <w:shd w:val="clear" w:color="auto" w:fill="EEECE1"/>
            <w:hideMark/>
          </w:tcPr>
          <w:p w14:paraId="7AEC3875" w14:textId="77777777" w:rsidR="009759FC" w:rsidRPr="002A54AF" w:rsidRDefault="009759FC">
            <w:pPr>
              <w:pStyle w:val="Default"/>
              <w:keepNext/>
              <w:jc w:val="center"/>
              <w:rPr>
                <w:rFonts w:ascii="Times New Roman" w:hAnsi="Times New Roman" w:cs="Times New Roman"/>
                <w:b/>
                <w:sz w:val="22"/>
                <w:szCs w:val="22"/>
                <w:lang w:val="pt-PT"/>
              </w:rPr>
            </w:pPr>
            <w:r w:rsidRPr="002A54AF">
              <w:rPr>
                <w:rFonts w:ascii="Times New Roman" w:hAnsi="Times New Roman" w:cs="Times New Roman"/>
                <w:b/>
                <w:sz w:val="22"/>
                <w:szCs w:val="22"/>
                <w:lang w:val="pt-PT"/>
              </w:rPr>
              <w:t>Diferença na percentagem e intervalo de confiança (IC) de 95%</w:t>
            </w:r>
          </w:p>
        </w:tc>
      </w:tr>
      <w:tr w:rsidR="009759FC" w:rsidRPr="002A54AF" w14:paraId="67CA514B" w14:textId="77777777" w:rsidTr="009759FC">
        <w:tc>
          <w:tcPr>
            <w:tcW w:w="3240" w:type="dxa"/>
            <w:tcBorders>
              <w:top w:val="single" w:sz="4" w:space="0" w:color="000000"/>
              <w:left w:val="single" w:sz="4" w:space="0" w:color="000000"/>
              <w:bottom w:val="single" w:sz="4" w:space="0" w:color="000000"/>
              <w:right w:val="single" w:sz="4" w:space="0" w:color="000000"/>
            </w:tcBorders>
            <w:hideMark/>
          </w:tcPr>
          <w:p w14:paraId="2F4D8558"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Superinfeção FI – Dia 180</w:t>
            </w:r>
          </w:p>
        </w:tc>
        <w:tc>
          <w:tcPr>
            <w:tcW w:w="1530" w:type="dxa"/>
            <w:tcBorders>
              <w:top w:val="single" w:sz="4" w:space="0" w:color="000000"/>
              <w:left w:val="single" w:sz="4" w:space="0" w:color="000000"/>
              <w:bottom w:val="single" w:sz="4" w:space="0" w:color="000000"/>
              <w:right w:val="single" w:sz="4" w:space="0" w:color="000000"/>
            </w:tcBorders>
            <w:hideMark/>
          </w:tcPr>
          <w:p w14:paraId="4C015D94"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2 (1,6%)</w:t>
            </w:r>
          </w:p>
        </w:tc>
        <w:tc>
          <w:tcPr>
            <w:tcW w:w="1440" w:type="dxa"/>
            <w:tcBorders>
              <w:top w:val="single" w:sz="4" w:space="0" w:color="000000"/>
              <w:left w:val="single" w:sz="4" w:space="0" w:color="000000"/>
              <w:bottom w:val="single" w:sz="4" w:space="0" w:color="000000"/>
              <w:right w:val="single" w:sz="4" w:space="0" w:color="000000"/>
            </w:tcBorders>
            <w:hideMark/>
          </w:tcPr>
          <w:p w14:paraId="6B6FE415"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 xml:space="preserve">3 (2,1%) </w:t>
            </w:r>
          </w:p>
        </w:tc>
        <w:tc>
          <w:tcPr>
            <w:tcW w:w="2430" w:type="dxa"/>
            <w:tcBorders>
              <w:top w:val="single" w:sz="4" w:space="0" w:color="000000"/>
              <w:left w:val="single" w:sz="4" w:space="0" w:color="000000"/>
              <w:bottom w:val="single" w:sz="4" w:space="0" w:color="000000"/>
              <w:right w:val="single" w:sz="4" w:space="0" w:color="000000"/>
            </w:tcBorders>
            <w:hideMark/>
          </w:tcPr>
          <w:p w14:paraId="3E8DFA5B" w14:textId="77777777" w:rsidR="009759FC" w:rsidRPr="002A54AF" w:rsidRDefault="009759FC">
            <w:pPr>
              <w:pStyle w:val="Defaul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-0,5% (-3,7%, 2,7%) **</w:t>
            </w:r>
          </w:p>
        </w:tc>
      </w:tr>
      <w:tr w:rsidR="009759FC" w:rsidRPr="002A54AF" w14:paraId="18B444F1" w14:textId="77777777" w:rsidTr="009759FC">
        <w:tc>
          <w:tcPr>
            <w:tcW w:w="3240" w:type="dxa"/>
            <w:tcBorders>
              <w:top w:val="single" w:sz="4" w:space="0" w:color="000000"/>
              <w:left w:val="single" w:sz="4" w:space="0" w:color="000000"/>
              <w:bottom w:val="single" w:sz="4" w:space="0" w:color="000000"/>
              <w:right w:val="single" w:sz="4" w:space="0" w:color="000000"/>
            </w:tcBorders>
            <w:hideMark/>
          </w:tcPr>
          <w:p w14:paraId="579D9B16"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Sucesso ao Dia 180*</w:t>
            </w:r>
          </w:p>
        </w:tc>
        <w:tc>
          <w:tcPr>
            <w:tcW w:w="1530" w:type="dxa"/>
            <w:tcBorders>
              <w:top w:val="single" w:sz="4" w:space="0" w:color="000000"/>
              <w:left w:val="single" w:sz="4" w:space="0" w:color="000000"/>
              <w:bottom w:val="single" w:sz="4" w:space="0" w:color="000000"/>
              <w:right w:val="single" w:sz="4" w:space="0" w:color="000000"/>
            </w:tcBorders>
            <w:hideMark/>
          </w:tcPr>
          <w:p w14:paraId="545389F6"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70 (56,0%)</w:t>
            </w:r>
          </w:p>
        </w:tc>
        <w:tc>
          <w:tcPr>
            <w:tcW w:w="1440" w:type="dxa"/>
            <w:tcBorders>
              <w:top w:val="single" w:sz="4" w:space="0" w:color="000000"/>
              <w:left w:val="single" w:sz="4" w:space="0" w:color="000000"/>
              <w:bottom w:val="single" w:sz="4" w:space="0" w:color="000000"/>
              <w:right w:val="single" w:sz="4" w:space="0" w:color="000000"/>
            </w:tcBorders>
            <w:hideMark/>
          </w:tcPr>
          <w:p w14:paraId="23E07C95" w14:textId="77777777" w:rsidR="009759FC" w:rsidRPr="002A54AF" w:rsidRDefault="009759FC">
            <w:pPr>
              <w:pStyle w:val="Default"/>
              <w:rPr>
                <w:rFonts w:ascii="Times New Roman" w:hAnsi="Times New Roman" w:cs="Times New Roman"/>
                <w:sz w:val="22"/>
                <w:szCs w:val="22"/>
                <w:lang w:val="pt-PT"/>
              </w:rPr>
            </w:pPr>
            <w:r w:rsidRPr="002A54AF">
              <w:rPr>
                <w:rFonts w:ascii="Times New Roman" w:hAnsi="Times New Roman" w:cs="Times New Roman"/>
                <w:sz w:val="22"/>
                <w:szCs w:val="22"/>
                <w:lang w:val="pt-PT"/>
              </w:rPr>
              <w:t>53 (37,1%)</w:t>
            </w:r>
          </w:p>
        </w:tc>
        <w:tc>
          <w:tcPr>
            <w:tcW w:w="2430" w:type="dxa"/>
            <w:tcBorders>
              <w:top w:val="single" w:sz="4" w:space="0" w:color="000000"/>
              <w:left w:val="single" w:sz="4" w:space="0" w:color="000000"/>
              <w:bottom w:val="single" w:sz="4" w:space="0" w:color="000000"/>
              <w:right w:val="single" w:sz="4" w:space="0" w:color="000000"/>
            </w:tcBorders>
            <w:hideMark/>
          </w:tcPr>
          <w:p w14:paraId="76182E47" w14:textId="77777777" w:rsidR="009759FC" w:rsidRPr="002A54AF" w:rsidRDefault="009759FC">
            <w:pPr>
              <w:pStyle w:val="Default"/>
              <w:jc w:val="center"/>
              <w:rPr>
                <w:rFonts w:ascii="Times New Roman" w:hAnsi="Times New Roman" w:cs="Times New Roman"/>
                <w:sz w:val="22"/>
                <w:szCs w:val="22"/>
                <w:lang w:val="pt-PT"/>
              </w:rPr>
            </w:pPr>
            <w:r w:rsidRPr="002A54AF">
              <w:rPr>
                <w:rFonts w:ascii="Times New Roman" w:hAnsi="Times New Roman" w:cs="Times New Roman"/>
                <w:sz w:val="22"/>
                <w:szCs w:val="22"/>
                <w:lang w:val="pt-PT"/>
              </w:rPr>
              <w:t>20,1% (8,5%, 31,7%)***</w:t>
            </w:r>
          </w:p>
        </w:tc>
      </w:tr>
    </w:tbl>
    <w:p w14:paraId="56C5A1CC" w14:textId="77777777" w:rsidR="009759FC" w:rsidRPr="002A54AF" w:rsidRDefault="009759FC" w:rsidP="009759FC">
      <w:pPr>
        <w:tabs>
          <w:tab w:val="left" w:pos="567"/>
        </w:tabs>
        <w:suppressAutoHyphens/>
        <w:rPr>
          <w:szCs w:val="22"/>
          <w:lang w:val="pt-PT"/>
        </w:rPr>
      </w:pPr>
      <w:r w:rsidRPr="002A54AF">
        <w:rPr>
          <w:szCs w:val="22"/>
          <w:lang w:val="pt-PT"/>
        </w:rPr>
        <w:t>* Parâmetro de avaliação primário do estudo</w:t>
      </w:r>
    </w:p>
    <w:p w14:paraId="76DCFD8D" w14:textId="77777777" w:rsidR="009759FC" w:rsidRPr="002A54AF" w:rsidRDefault="009759FC" w:rsidP="009759FC">
      <w:pPr>
        <w:tabs>
          <w:tab w:val="left" w:pos="567"/>
        </w:tabs>
        <w:suppressAutoHyphens/>
        <w:rPr>
          <w:szCs w:val="22"/>
          <w:lang w:val="pt-PT"/>
        </w:rPr>
      </w:pPr>
      <w:r w:rsidRPr="002A54AF">
        <w:rPr>
          <w:szCs w:val="22"/>
          <w:lang w:val="pt-PT"/>
        </w:rPr>
        <w:t>** Utilizando uma margem de 5%, é demonstrada a não inferioridade</w:t>
      </w:r>
    </w:p>
    <w:p w14:paraId="16F80063" w14:textId="77777777" w:rsidR="009759FC" w:rsidRPr="002A54AF" w:rsidRDefault="009759FC" w:rsidP="009759FC">
      <w:pPr>
        <w:tabs>
          <w:tab w:val="left" w:pos="567"/>
        </w:tabs>
        <w:suppressAutoHyphens/>
        <w:rPr>
          <w:szCs w:val="22"/>
          <w:lang w:val="pt-PT"/>
        </w:rPr>
      </w:pPr>
      <w:r w:rsidRPr="002A54AF">
        <w:rPr>
          <w:szCs w:val="22"/>
          <w:lang w:val="pt-PT"/>
        </w:rPr>
        <w:t>*** Diferença na percentagem, IC de 95% e obtidos após o ajuste para aleatorização</w:t>
      </w:r>
    </w:p>
    <w:p w14:paraId="43339AAD" w14:textId="77777777" w:rsidR="009759FC" w:rsidRPr="002A54AF" w:rsidRDefault="009759FC" w:rsidP="009759FC">
      <w:pPr>
        <w:tabs>
          <w:tab w:val="left" w:pos="567"/>
        </w:tabs>
        <w:suppressAutoHyphens/>
        <w:rPr>
          <w:b/>
          <w:szCs w:val="22"/>
          <w:lang w:val="pt-PT"/>
        </w:rPr>
      </w:pPr>
    </w:p>
    <w:p w14:paraId="2DC1A7FB" w14:textId="77777777" w:rsidR="009759FC" w:rsidRPr="00CB39F3" w:rsidRDefault="009759FC" w:rsidP="009759FC">
      <w:pPr>
        <w:tabs>
          <w:tab w:val="left" w:pos="567"/>
        </w:tabs>
        <w:suppressAutoHyphens/>
        <w:rPr>
          <w:szCs w:val="22"/>
          <w:u w:val="single"/>
          <w:lang w:val="pt-PT"/>
        </w:rPr>
      </w:pPr>
      <w:r w:rsidRPr="00CB39F3">
        <w:rPr>
          <w:szCs w:val="22"/>
          <w:u w:val="single"/>
          <w:lang w:val="pt-PT"/>
        </w:rPr>
        <w:t>Profilaxia secundária de IFI – Eficácia em recetores de HSCT com IFI prévia comprovada ou provável</w:t>
      </w:r>
    </w:p>
    <w:p w14:paraId="79560672" w14:textId="77777777" w:rsidR="00DF4748" w:rsidRDefault="00DF4748" w:rsidP="009759FC">
      <w:pPr>
        <w:tabs>
          <w:tab w:val="left" w:pos="567"/>
        </w:tabs>
        <w:suppressAutoHyphens/>
        <w:rPr>
          <w:szCs w:val="22"/>
          <w:lang w:val="pt-PT"/>
        </w:rPr>
      </w:pPr>
    </w:p>
    <w:p w14:paraId="74424171" w14:textId="77777777" w:rsidR="009759FC" w:rsidRPr="002A54AF" w:rsidRDefault="009759FC" w:rsidP="009759FC">
      <w:pPr>
        <w:tabs>
          <w:tab w:val="left" w:pos="567"/>
        </w:tabs>
        <w:suppressAutoHyphens/>
        <w:rPr>
          <w:szCs w:val="22"/>
          <w:lang w:val="pt-PT"/>
        </w:rPr>
      </w:pPr>
      <w:r w:rsidRPr="002A54AF">
        <w:rPr>
          <w:szCs w:val="22"/>
          <w:lang w:val="pt-PT"/>
        </w:rPr>
        <w:t xml:space="preserve">O voriconazol foi estudado como profilaxia secundária num estudo aberto, não-comparativo, multicêntrico de recetores adultos de HSCT alogénico com IFI prévia comprovada ou provável. O </w:t>
      </w:r>
      <w:r w:rsidRPr="002A54AF">
        <w:rPr>
          <w:szCs w:val="22"/>
          <w:lang w:val="pt-PT"/>
        </w:rPr>
        <w:lastRenderedPageBreak/>
        <w:t>parâmetro de avaliação primário foi a taxa de ocorrência de IFI comprovada e provável durante o primeiro ano após o HSCT. O grupo MITT incluiu 40 doentes com IFI prévia, incluindo 31 com aspergilose, 5 com candidíase e 4 com outras IFI. A duração mediana da profilaxia com o fármaco em estudo foi de 95,5 dias no grupo MITT.</w:t>
      </w:r>
    </w:p>
    <w:p w14:paraId="2CD579F9" w14:textId="77777777" w:rsidR="009759FC" w:rsidRPr="002A54AF" w:rsidRDefault="009759FC" w:rsidP="009759FC">
      <w:pPr>
        <w:tabs>
          <w:tab w:val="left" w:pos="567"/>
        </w:tabs>
        <w:suppressAutoHyphens/>
        <w:rPr>
          <w:szCs w:val="22"/>
          <w:lang w:val="pt-PT"/>
        </w:rPr>
      </w:pPr>
    </w:p>
    <w:p w14:paraId="14B50AEB" w14:textId="77777777" w:rsidR="009759FC" w:rsidRPr="002A54AF" w:rsidRDefault="009759FC" w:rsidP="009759FC">
      <w:pPr>
        <w:tabs>
          <w:tab w:val="left" w:pos="567"/>
        </w:tabs>
        <w:suppressAutoHyphens/>
        <w:rPr>
          <w:szCs w:val="22"/>
          <w:lang w:val="pt-PT"/>
        </w:rPr>
      </w:pPr>
      <w:r w:rsidRPr="002A54AF">
        <w:rPr>
          <w:szCs w:val="22"/>
          <w:lang w:val="pt-PT"/>
        </w:rPr>
        <w:t xml:space="preserve">Durante o primeiro ano após o HSCT, 7,5% (3/40) dos doentes desenvolveram IFI comprovadas ou prováveis, incluindo um caso de candidemia, um de infeção por </w:t>
      </w:r>
      <w:r w:rsidRPr="002A54AF">
        <w:rPr>
          <w:i/>
          <w:szCs w:val="22"/>
          <w:lang w:val="pt-PT"/>
        </w:rPr>
        <w:t>Scedosporium</w:t>
      </w:r>
      <w:r w:rsidRPr="002A54AF">
        <w:rPr>
          <w:szCs w:val="22"/>
          <w:lang w:val="pt-PT"/>
        </w:rPr>
        <w:t xml:space="preserve"> (ambos recidivas de IFI prévias) e um de zigomicose. A taxa de sobrevivência ao Dia 180 foi de 80,0% (32/40) e a taxa de sobrevivência após um ano foi de 70,0% (28/40).</w:t>
      </w:r>
    </w:p>
    <w:p w14:paraId="00709B76" w14:textId="77777777" w:rsidR="009759FC" w:rsidRPr="002A54AF" w:rsidRDefault="009759FC" w:rsidP="009759FC">
      <w:pPr>
        <w:tabs>
          <w:tab w:val="left" w:pos="567"/>
        </w:tabs>
        <w:suppressAutoHyphens/>
        <w:rPr>
          <w:szCs w:val="22"/>
          <w:lang w:val="pt-PT"/>
        </w:rPr>
      </w:pPr>
    </w:p>
    <w:p w14:paraId="7B08B948" w14:textId="77777777" w:rsidR="00011577" w:rsidRPr="002A54AF" w:rsidRDefault="00011577" w:rsidP="00011577">
      <w:pPr>
        <w:pStyle w:val="EndnoteText"/>
        <w:widowControl/>
        <w:suppressAutoHyphens/>
        <w:rPr>
          <w:szCs w:val="22"/>
          <w:u w:val="single"/>
        </w:rPr>
      </w:pPr>
      <w:r w:rsidRPr="002A54AF">
        <w:rPr>
          <w:szCs w:val="22"/>
          <w:u w:val="single"/>
        </w:rPr>
        <w:t>Duração do tratamento</w:t>
      </w:r>
    </w:p>
    <w:p w14:paraId="18B900F0" w14:textId="77777777" w:rsidR="00DF4748" w:rsidRDefault="00DF4748" w:rsidP="00011577">
      <w:pPr>
        <w:tabs>
          <w:tab w:val="left" w:pos="567"/>
        </w:tabs>
        <w:suppressAutoHyphens/>
        <w:rPr>
          <w:szCs w:val="22"/>
          <w:lang w:val="pt-PT"/>
        </w:rPr>
      </w:pPr>
    </w:p>
    <w:p w14:paraId="0C65A6EC" w14:textId="77777777" w:rsidR="00011577" w:rsidRPr="002A54AF" w:rsidRDefault="00011577" w:rsidP="00011577">
      <w:pPr>
        <w:tabs>
          <w:tab w:val="left" w:pos="567"/>
        </w:tabs>
        <w:suppressAutoHyphens/>
        <w:rPr>
          <w:szCs w:val="22"/>
          <w:lang w:val="pt-PT"/>
        </w:rPr>
      </w:pPr>
      <w:r w:rsidRPr="002A54AF">
        <w:rPr>
          <w:szCs w:val="22"/>
          <w:lang w:val="pt-PT"/>
        </w:rPr>
        <w:t xml:space="preserve">Em ensaios clínicos, </w:t>
      </w:r>
      <w:r w:rsidR="009759FC" w:rsidRPr="002A54AF">
        <w:rPr>
          <w:szCs w:val="22"/>
          <w:lang w:val="pt-PT"/>
        </w:rPr>
        <w:t>70</w:t>
      </w:r>
      <w:r w:rsidRPr="002A54AF">
        <w:rPr>
          <w:szCs w:val="22"/>
          <w:lang w:val="pt-PT"/>
        </w:rPr>
        <w:t>5 doentes receberam terapêutica com voriconazol por mais do que 12 semanas, com 16</w:t>
      </w:r>
      <w:r w:rsidR="009759FC" w:rsidRPr="002A54AF">
        <w:rPr>
          <w:szCs w:val="22"/>
          <w:lang w:val="pt-PT"/>
        </w:rPr>
        <w:t>4</w:t>
      </w:r>
      <w:r w:rsidRPr="002A54AF">
        <w:rPr>
          <w:szCs w:val="22"/>
          <w:lang w:val="pt-PT"/>
        </w:rPr>
        <w:t> doentes a receber voriconazol por mais do que 6</w:t>
      </w:r>
      <w:r w:rsidR="0020636B" w:rsidRPr="002A54AF">
        <w:rPr>
          <w:szCs w:val="22"/>
          <w:lang w:val="pt-PT"/>
        </w:rPr>
        <w:t> </w:t>
      </w:r>
      <w:r w:rsidRPr="002A54AF">
        <w:rPr>
          <w:szCs w:val="22"/>
          <w:lang w:val="pt-PT"/>
        </w:rPr>
        <w:t>meses.</w:t>
      </w:r>
    </w:p>
    <w:p w14:paraId="32C153E6" w14:textId="77777777" w:rsidR="00011577" w:rsidRPr="002A54AF" w:rsidRDefault="00011577" w:rsidP="00011577">
      <w:pPr>
        <w:tabs>
          <w:tab w:val="left" w:pos="567"/>
        </w:tabs>
        <w:suppressAutoHyphens/>
        <w:rPr>
          <w:szCs w:val="22"/>
          <w:lang w:val="pt-PT"/>
        </w:rPr>
      </w:pPr>
    </w:p>
    <w:p w14:paraId="3DBC5FD1" w14:textId="77777777" w:rsidR="00011577" w:rsidRPr="002A54AF" w:rsidRDefault="00011577" w:rsidP="00011577">
      <w:pPr>
        <w:pStyle w:val="Heading5"/>
        <w:keepNext w:val="0"/>
        <w:tabs>
          <w:tab w:val="left" w:pos="567"/>
        </w:tabs>
        <w:rPr>
          <w:b w:val="0"/>
          <w:szCs w:val="22"/>
          <w:u w:val="single"/>
        </w:rPr>
      </w:pPr>
      <w:r w:rsidRPr="002A54AF">
        <w:rPr>
          <w:b w:val="0"/>
          <w:szCs w:val="22"/>
          <w:u w:val="single"/>
        </w:rPr>
        <w:t>População pediátrica</w:t>
      </w:r>
    </w:p>
    <w:p w14:paraId="7EB4B6C7" w14:textId="77777777" w:rsidR="00DF4748" w:rsidRDefault="00DF4748" w:rsidP="003A77A8">
      <w:pPr>
        <w:widowControl w:val="0"/>
        <w:autoSpaceDE w:val="0"/>
        <w:autoSpaceDN w:val="0"/>
        <w:adjustRightInd w:val="0"/>
        <w:spacing w:before="1" w:line="254" w:lineRule="exact"/>
        <w:ind w:right="359"/>
        <w:rPr>
          <w:szCs w:val="22"/>
          <w:lang w:val="pt-PT"/>
        </w:rPr>
      </w:pPr>
    </w:p>
    <w:p w14:paraId="75D4F909" w14:textId="77777777" w:rsidR="003A77A8" w:rsidRPr="002A54AF" w:rsidRDefault="008A6D23" w:rsidP="003A77A8">
      <w:pPr>
        <w:widowControl w:val="0"/>
        <w:autoSpaceDE w:val="0"/>
        <w:autoSpaceDN w:val="0"/>
        <w:adjustRightInd w:val="0"/>
        <w:spacing w:before="1" w:line="254" w:lineRule="exact"/>
        <w:ind w:right="359"/>
        <w:rPr>
          <w:szCs w:val="22"/>
          <w:lang w:val="pt-PT"/>
        </w:rPr>
      </w:pPr>
      <w:r w:rsidRPr="002A54AF">
        <w:rPr>
          <w:szCs w:val="22"/>
          <w:lang w:val="pt-PT"/>
        </w:rPr>
        <w:t xml:space="preserve">Cinquenta e três doentes pediátricos com 2 a &lt;18 anos de idade foram tratados com voriconazol em dois ensaios clínicos prospetivos, abertos, não comparativos, multicêntricos. Um estudo recrutou 31 doentes com aspergilose invasiva (AI) possível, provada ou provável, dos quais 14 doentes tinham AI provada ou provável e foram incluídos nas análises de eficácia de MITT. O segundo estudo recrutou 22 doentes com candidíase </w:t>
      </w:r>
      <w:r w:rsidR="00D70D7B" w:rsidRPr="002A54AF">
        <w:rPr>
          <w:szCs w:val="22"/>
          <w:lang w:val="pt-PT"/>
        </w:rPr>
        <w:t>invasiva</w:t>
      </w:r>
      <w:r w:rsidRPr="002A54AF">
        <w:rPr>
          <w:szCs w:val="22"/>
          <w:lang w:val="pt-PT"/>
        </w:rPr>
        <w:t>, incluindo candidemia (CCI), e candidíase esofágica (CE) que exigiram terapêutica primária ou de resgate, dos quais 17 foram incluídos na análise de eficácia de MITT. Nos doentes com AI, as taxas globais de resposta global às 6 semanas foram de 64,3% (9/14), a taxa de resposta global foi de 40% (2/5) para os doentes com 2 a &lt;12 anos de idade e 77,8% (7/9) para os doentes com 12 a &lt;18 anos de idade. Nos doentes com CCI, a taxa de resposta global no EOT foi de 85,7% (6/7) e para os doentes com CE a taxa global de resposta no EOT foi de 70% (7/10). A taxa global de resposta (CCI e CE combinadas) foi de 88,9% (8/9) para os 2 a &lt;12 anos de idade e de 62,5% (5/8) para os 12 a &lt;18 anos de idade.</w:t>
      </w:r>
    </w:p>
    <w:p w14:paraId="0662BB25" w14:textId="77777777" w:rsidR="003A77A8" w:rsidRPr="002A54AF" w:rsidRDefault="003A77A8" w:rsidP="003A77A8">
      <w:pPr>
        <w:pStyle w:val="EndnoteText"/>
        <w:widowControl/>
        <w:suppressAutoHyphens/>
        <w:rPr>
          <w:szCs w:val="22"/>
        </w:rPr>
      </w:pPr>
    </w:p>
    <w:p w14:paraId="14B22B13" w14:textId="77777777" w:rsidR="00011577" w:rsidRPr="002A54AF" w:rsidRDefault="00011577" w:rsidP="00011577">
      <w:pPr>
        <w:pStyle w:val="Heading4"/>
        <w:keepNext w:val="0"/>
        <w:tabs>
          <w:tab w:val="left" w:pos="567"/>
        </w:tabs>
        <w:ind w:right="0"/>
        <w:jc w:val="left"/>
        <w:rPr>
          <w:b w:val="0"/>
          <w:bCs/>
          <w:szCs w:val="22"/>
          <w:u w:val="single"/>
        </w:rPr>
      </w:pPr>
      <w:r w:rsidRPr="002A54AF">
        <w:rPr>
          <w:b w:val="0"/>
          <w:bCs/>
          <w:szCs w:val="22"/>
          <w:u w:val="single"/>
        </w:rPr>
        <w:t>Ensaios clínicos para avaliar o intervalo QT</w:t>
      </w:r>
      <w:r w:rsidR="009759FC" w:rsidRPr="002A54AF">
        <w:rPr>
          <w:b w:val="0"/>
          <w:bCs/>
          <w:szCs w:val="22"/>
          <w:u w:val="single"/>
        </w:rPr>
        <w:t>c</w:t>
      </w:r>
    </w:p>
    <w:p w14:paraId="122B26F6" w14:textId="77777777" w:rsidR="00DF4748" w:rsidRDefault="00DF4748" w:rsidP="00011577">
      <w:pPr>
        <w:pStyle w:val="BodyText3"/>
        <w:shd w:val="clear" w:color="000000" w:fill="auto"/>
        <w:tabs>
          <w:tab w:val="left" w:pos="567"/>
        </w:tabs>
        <w:rPr>
          <w:i w:val="0"/>
          <w:iCs/>
          <w:szCs w:val="22"/>
        </w:rPr>
      </w:pPr>
    </w:p>
    <w:p w14:paraId="1C82618B" w14:textId="77777777" w:rsidR="00011577" w:rsidRPr="002A54AF" w:rsidRDefault="00011577" w:rsidP="00011577">
      <w:pPr>
        <w:pStyle w:val="BodyText3"/>
        <w:shd w:val="clear" w:color="000000" w:fill="auto"/>
        <w:tabs>
          <w:tab w:val="left" w:pos="567"/>
        </w:tabs>
        <w:rPr>
          <w:i w:val="0"/>
          <w:iCs/>
          <w:szCs w:val="22"/>
        </w:rPr>
      </w:pPr>
      <w:r w:rsidRPr="002A54AF">
        <w:rPr>
          <w:i w:val="0"/>
          <w:iCs/>
          <w:szCs w:val="22"/>
        </w:rPr>
        <w:t>Foi conduzido um ensaio clínico aleatorizado, controlado com placebo, cruzado, de dose única, em voluntários saudáveis, para avaliar o efeito da administração, por via oral, de 3 doses de voriconazol e cetoconazol no intervalo QT. O aumento máximo médio do QTc ajustado ao placebo, a partir da linha basal, após a administração de 800, 1200 e 1600 mg de voriconazol, foi de 5,1; 4,8 e 8,2</w:t>
      </w:r>
      <w:r w:rsidR="009759FC" w:rsidRPr="002A54AF">
        <w:rPr>
          <w:i w:val="0"/>
          <w:iCs/>
          <w:szCs w:val="22"/>
        </w:rPr>
        <w:t> </w:t>
      </w:r>
      <w:r w:rsidRPr="002A54AF">
        <w:rPr>
          <w:i w:val="0"/>
          <w:iCs/>
          <w:szCs w:val="22"/>
        </w:rPr>
        <w:t xml:space="preserve">mseg, respetivamente, e 7,0 mseg após a administração de 800 mg de cetoconazol. Nenhum indivíduo de nenhum dos grupos em estudo apresentou um aumento </w:t>
      </w:r>
      <w:r w:rsidR="009759FC" w:rsidRPr="002A54AF">
        <w:rPr>
          <w:spacing w:val="1"/>
          <w:szCs w:val="22"/>
        </w:rPr>
        <w:t>≥</w:t>
      </w:r>
      <w:r w:rsidRPr="002A54AF">
        <w:rPr>
          <w:i w:val="0"/>
          <w:iCs/>
          <w:szCs w:val="22"/>
        </w:rPr>
        <w:t>60 mseg do QTc relativamente à linha basal. Não se verificou, em nenhum indivíduo, um aumento do intervalo que excedesse o limite, potencialmente relevante do ponto de vista clínico, de 500 mseg.</w:t>
      </w:r>
    </w:p>
    <w:p w14:paraId="50E4D17C" w14:textId="77777777" w:rsidR="00011577" w:rsidRPr="002A54AF" w:rsidRDefault="00011577" w:rsidP="00011577">
      <w:pPr>
        <w:pStyle w:val="EndnoteText"/>
        <w:widowControl/>
        <w:suppressAutoHyphens/>
        <w:rPr>
          <w:szCs w:val="22"/>
        </w:rPr>
      </w:pPr>
    </w:p>
    <w:p w14:paraId="75456087" w14:textId="77777777" w:rsidR="00011577" w:rsidRPr="002A54AF" w:rsidRDefault="00011577" w:rsidP="00011577">
      <w:pPr>
        <w:tabs>
          <w:tab w:val="left" w:pos="567"/>
        </w:tabs>
        <w:suppressAutoHyphens/>
        <w:rPr>
          <w:szCs w:val="22"/>
          <w:lang w:val="pt-PT"/>
        </w:rPr>
      </w:pPr>
      <w:r w:rsidRPr="002A54AF">
        <w:rPr>
          <w:b/>
          <w:szCs w:val="22"/>
          <w:lang w:val="pt-PT"/>
        </w:rPr>
        <w:t>5.2</w:t>
      </w:r>
      <w:r w:rsidRPr="002A54AF">
        <w:rPr>
          <w:b/>
          <w:szCs w:val="22"/>
          <w:lang w:val="pt-PT"/>
        </w:rPr>
        <w:tab/>
        <w:t>Propriedades farmacocinéticas</w:t>
      </w:r>
    </w:p>
    <w:p w14:paraId="01951D1F" w14:textId="77777777" w:rsidR="00011577" w:rsidRPr="002A54AF" w:rsidRDefault="00011577" w:rsidP="00011577">
      <w:pPr>
        <w:pStyle w:val="Heading5"/>
        <w:keepNext w:val="0"/>
        <w:tabs>
          <w:tab w:val="left" w:pos="567"/>
        </w:tabs>
        <w:rPr>
          <w:b w:val="0"/>
          <w:bCs/>
          <w:szCs w:val="22"/>
        </w:rPr>
      </w:pPr>
    </w:p>
    <w:p w14:paraId="508AEE53" w14:textId="77777777" w:rsidR="00011577" w:rsidRPr="002A54AF" w:rsidRDefault="00011577" w:rsidP="00011577">
      <w:pPr>
        <w:pStyle w:val="Heading5"/>
        <w:keepNext w:val="0"/>
        <w:tabs>
          <w:tab w:val="left" w:pos="567"/>
        </w:tabs>
        <w:rPr>
          <w:b w:val="0"/>
          <w:szCs w:val="22"/>
          <w:u w:val="single"/>
        </w:rPr>
      </w:pPr>
      <w:r w:rsidRPr="002A54AF">
        <w:rPr>
          <w:b w:val="0"/>
          <w:szCs w:val="22"/>
          <w:u w:val="single"/>
        </w:rPr>
        <w:t>Características farmacocinéticas gerais</w:t>
      </w:r>
    </w:p>
    <w:p w14:paraId="7CE5CB9A" w14:textId="77777777" w:rsidR="00DF4748" w:rsidRDefault="00DF4748" w:rsidP="00011577">
      <w:pPr>
        <w:tabs>
          <w:tab w:val="left" w:pos="567"/>
        </w:tabs>
        <w:rPr>
          <w:szCs w:val="22"/>
          <w:lang w:val="pt-PT"/>
        </w:rPr>
      </w:pPr>
    </w:p>
    <w:p w14:paraId="16C0DC5E" w14:textId="77777777" w:rsidR="00011577" w:rsidRPr="002A54AF" w:rsidRDefault="00011577" w:rsidP="00011577">
      <w:pPr>
        <w:tabs>
          <w:tab w:val="left" w:pos="567"/>
        </w:tabs>
        <w:rPr>
          <w:szCs w:val="22"/>
          <w:lang w:val="pt-PT"/>
        </w:rPr>
      </w:pPr>
      <w:r w:rsidRPr="002A54AF">
        <w:rPr>
          <w:szCs w:val="22"/>
          <w:lang w:val="pt-PT"/>
        </w:rPr>
        <w:t>A farmacocinética do voriconazol foi caracterizada em indivíduos saudáveis, populações especiais e doentes. Durante a administração por via oral de 200 mg ou 300 mg, duas vezes por dia, durante 14 dias em doentes com risco de aspergilose (nomeadamente doentes com neoplasias malignas do tecido linfático ou hematopoiético), as características farmacocinéticas observadas de absorção rápida e consistente, acumulação e farmacocinética não linear estavam de acordo com as registadas em indivíduos saudáveis.</w:t>
      </w:r>
    </w:p>
    <w:p w14:paraId="7FD2BAB7" w14:textId="77777777" w:rsidR="00011577" w:rsidRPr="00CB39F3" w:rsidRDefault="00011577" w:rsidP="00011577">
      <w:pPr>
        <w:tabs>
          <w:tab w:val="left" w:pos="567"/>
        </w:tabs>
        <w:rPr>
          <w:szCs w:val="22"/>
          <w:lang w:val="pt-PT"/>
        </w:rPr>
      </w:pPr>
    </w:p>
    <w:p w14:paraId="52520400" w14:textId="77777777" w:rsidR="00011577" w:rsidRPr="002A54AF" w:rsidRDefault="00011577" w:rsidP="00011577">
      <w:pPr>
        <w:tabs>
          <w:tab w:val="left" w:pos="567"/>
        </w:tabs>
        <w:rPr>
          <w:szCs w:val="22"/>
          <w:lang w:val="pt-PT"/>
        </w:rPr>
      </w:pPr>
      <w:r w:rsidRPr="002A54AF">
        <w:rPr>
          <w:szCs w:val="22"/>
          <w:lang w:val="pt-PT"/>
        </w:rPr>
        <w:t>A farmacocinética do voriconazol é não linear devido à saturação do seu metabolismo. Com o aumento das doses o aumento na exposição observado é superior ao proporcional. Estima-se que, em média, o aumento da dose oral de 200 mg duas vezes por dia para 300 mg duas vezes por dia, leva a um aumento de 2,5</w:t>
      </w:r>
      <w:r w:rsidR="00DF4748">
        <w:rPr>
          <w:szCs w:val="22"/>
          <w:lang w:val="pt-PT"/>
        </w:rPr>
        <w:t> </w:t>
      </w:r>
      <w:r w:rsidRPr="002A54AF">
        <w:rPr>
          <w:szCs w:val="22"/>
          <w:lang w:val="pt-PT"/>
        </w:rPr>
        <w:t>vezes na exposição (AUC</w:t>
      </w:r>
      <w:r w:rsidRPr="002A54AF">
        <w:rPr>
          <w:szCs w:val="22"/>
          <w:vertAlign w:val="subscript"/>
          <w:lang w:val="pt-PT"/>
        </w:rPr>
        <w:t></w:t>
      </w:r>
      <w:r w:rsidRPr="002A54AF">
        <w:rPr>
          <w:szCs w:val="22"/>
          <w:lang w:val="pt-PT"/>
        </w:rPr>
        <w:t xml:space="preserve">). A dose de manutenção oral de 200 mg (ou 100 mg </w:t>
      </w:r>
      <w:r w:rsidRPr="002A54AF">
        <w:rPr>
          <w:szCs w:val="22"/>
          <w:lang w:val="pt-PT"/>
        </w:rPr>
        <w:lastRenderedPageBreak/>
        <w:t>para doentes com peso inferior a 40 kg) atinge uma exposição semelhante a 3 mg/kg de voriconazol IV. Uma dose de manutenção oral de 300 mg (ou 150 mg para doentes com peso inferior a 40 kg) atinge uma exposição semelhante a 4 mg/kg de voriconazol IV. Quando os regimes de dose de carga por via oral ou intravenosa recomendados são administrados, são atingidas concentrações plasmáticas perto do estado estacionário nas primeiras 24 horas de dosagem. Sem a dose de carga, ocorre acumulação durante a dose múltipla, duas vezes por dia, sendo as concentrações plasmáticas de voriconazol atingidas pelo 6.º dia, na maioria dos indivíduos.</w:t>
      </w:r>
    </w:p>
    <w:p w14:paraId="2F706837" w14:textId="77777777" w:rsidR="00011577" w:rsidRPr="002A54AF" w:rsidRDefault="00011577" w:rsidP="00011577">
      <w:pPr>
        <w:tabs>
          <w:tab w:val="left" w:pos="567"/>
        </w:tabs>
        <w:rPr>
          <w:szCs w:val="22"/>
          <w:lang w:val="pt-PT"/>
        </w:rPr>
      </w:pPr>
    </w:p>
    <w:p w14:paraId="065AD542" w14:textId="77777777" w:rsidR="00011577" w:rsidRDefault="00011577" w:rsidP="00011577">
      <w:pPr>
        <w:pStyle w:val="Heading5"/>
        <w:tabs>
          <w:tab w:val="left" w:pos="567"/>
        </w:tabs>
        <w:rPr>
          <w:b w:val="0"/>
          <w:szCs w:val="22"/>
          <w:u w:val="single"/>
        </w:rPr>
      </w:pPr>
      <w:r w:rsidRPr="002A54AF">
        <w:rPr>
          <w:b w:val="0"/>
          <w:szCs w:val="22"/>
          <w:u w:val="single"/>
        </w:rPr>
        <w:t>Absorção</w:t>
      </w:r>
    </w:p>
    <w:p w14:paraId="65B3FF32" w14:textId="77777777" w:rsidR="00DF4748" w:rsidRPr="00CB39F3" w:rsidRDefault="00DF4748" w:rsidP="00CB39F3">
      <w:pPr>
        <w:rPr>
          <w:lang w:val="pt-PT"/>
        </w:rPr>
      </w:pPr>
    </w:p>
    <w:p w14:paraId="4552002C" w14:textId="77777777" w:rsidR="00011577" w:rsidRPr="002A54AF" w:rsidRDefault="00011577" w:rsidP="00011577">
      <w:pPr>
        <w:tabs>
          <w:tab w:val="left" w:pos="567"/>
        </w:tabs>
        <w:suppressAutoHyphens/>
        <w:rPr>
          <w:szCs w:val="22"/>
          <w:lang w:val="pt-PT"/>
        </w:rPr>
      </w:pPr>
      <w:r w:rsidRPr="002A54AF">
        <w:rPr>
          <w:szCs w:val="22"/>
          <w:lang w:val="pt-PT"/>
        </w:rPr>
        <w:t>O voriconazol é rapida e quase totalmente absorvido após administração por via oral, com concentrações plasmáticas máximas (C</w:t>
      </w:r>
      <w:r w:rsidRPr="002A54AF">
        <w:rPr>
          <w:szCs w:val="22"/>
          <w:vertAlign w:val="subscript"/>
          <w:lang w:val="pt-PT"/>
        </w:rPr>
        <w:t>max</w:t>
      </w:r>
      <w:r w:rsidRPr="002A54AF">
        <w:rPr>
          <w:szCs w:val="22"/>
          <w:lang w:val="pt-PT"/>
        </w:rPr>
        <w:t>) atingidas 1-2 horas após a dose. A biodisponibilidade absoluta do voriconazol, após administração oral é estimada como sendo de 96%. Quando doses múltiplas de voriconazol são administradas com refeições com alto teor lipídico, a C</w:t>
      </w:r>
      <w:r w:rsidRPr="002A54AF">
        <w:rPr>
          <w:szCs w:val="22"/>
          <w:vertAlign w:val="subscript"/>
          <w:lang w:val="pt-PT"/>
        </w:rPr>
        <w:t>max</w:t>
      </w:r>
      <w:r w:rsidRPr="002A54AF">
        <w:rPr>
          <w:szCs w:val="22"/>
          <w:lang w:val="pt-PT"/>
        </w:rPr>
        <w:t xml:space="preserve"> e a AUC</w:t>
      </w:r>
      <w:r w:rsidRPr="002A54AF">
        <w:rPr>
          <w:szCs w:val="22"/>
          <w:vertAlign w:val="subscript"/>
          <w:lang w:val="pt-PT"/>
        </w:rPr>
        <w:sym w:font="Symbol" w:char="F074"/>
      </w:r>
      <w:r w:rsidRPr="002A54AF">
        <w:rPr>
          <w:szCs w:val="22"/>
          <w:lang w:val="pt-PT"/>
        </w:rPr>
        <w:t xml:space="preserve"> são reduzidas em 34% e 24%, respetivamente. A absorção do voriconazol não é afetada por alterações no pH gástrico.</w:t>
      </w:r>
    </w:p>
    <w:p w14:paraId="75DD7E1C" w14:textId="77777777" w:rsidR="00011577" w:rsidRPr="002A54AF" w:rsidRDefault="00011577" w:rsidP="00011577">
      <w:pPr>
        <w:tabs>
          <w:tab w:val="left" w:pos="567"/>
        </w:tabs>
        <w:suppressAutoHyphens/>
        <w:rPr>
          <w:szCs w:val="22"/>
          <w:lang w:val="pt-PT"/>
        </w:rPr>
      </w:pPr>
    </w:p>
    <w:p w14:paraId="4D3BE81D" w14:textId="77777777" w:rsidR="00011577" w:rsidRDefault="00011577" w:rsidP="00011577">
      <w:pPr>
        <w:pStyle w:val="Heading5"/>
        <w:tabs>
          <w:tab w:val="left" w:pos="567"/>
        </w:tabs>
        <w:rPr>
          <w:b w:val="0"/>
          <w:szCs w:val="22"/>
          <w:u w:val="single"/>
        </w:rPr>
      </w:pPr>
      <w:r w:rsidRPr="002A54AF">
        <w:rPr>
          <w:b w:val="0"/>
          <w:szCs w:val="22"/>
          <w:u w:val="single"/>
        </w:rPr>
        <w:t>Distribuição</w:t>
      </w:r>
    </w:p>
    <w:p w14:paraId="0E4488C4" w14:textId="77777777" w:rsidR="00DF4748" w:rsidRPr="00CB39F3" w:rsidRDefault="00DF4748" w:rsidP="00CB39F3">
      <w:pPr>
        <w:rPr>
          <w:lang w:val="pt-PT"/>
        </w:rPr>
      </w:pPr>
    </w:p>
    <w:p w14:paraId="763F6DB7" w14:textId="77777777" w:rsidR="00011577" w:rsidRPr="002A54AF" w:rsidRDefault="00011577" w:rsidP="00011577">
      <w:pPr>
        <w:keepNext/>
        <w:tabs>
          <w:tab w:val="left" w:pos="567"/>
        </w:tabs>
        <w:suppressAutoHyphens/>
        <w:rPr>
          <w:szCs w:val="22"/>
          <w:lang w:val="pt-PT"/>
        </w:rPr>
      </w:pPr>
      <w:r w:rsidRPr="002A54AF">
        <w:rPr>
          <w:szCs w:val="22"/>
          <w:lang w:val="pt-PT"/>
        </w:rPr>
        <w:t>Estima-se que o volume de distribuição do voriconazol no estado estacionário seja de 4,6 l/kg, o que sugere uma extensa distribuição nos tecidos. Estima-se que a ligação às proteínas plasmáticas seja de 58 %.</w:t>
      </w:r>
    </w:p>
    <w:p w14:paraId="7A60ED41" w14:textId="77777777" w:rsidR="00011577" w:rsidRPr="002A54AF" w:rsidRDefault="00011577" w:rsidP="00011577">
      <w:pPr>
        <w:keepNext/>
        <w:tabs>
          <w:tab w:val="left" w:pos="567"/>
        </w:tabs>
        <w:suppressAutoHyphens/>
        <w:rPr>
          <w:szCs w:val="22"/>
          <w:lang w:val="pt-PT"/>
        </w:rPr>
      </w:pPr>
    </w:p>
    <w:p w14:paraId="737AC67A" w14:textId="77777777" w:rsidR="00011577" w:rsidRPr="002A54AF" w:rsidRDefault="00011577" w:rsidP="00011577">
      <w:pPr>
        <w:tabs>
          <w:tab w:val="left" w:pos="567"/>
        </w:tabs>
        <w:suppressAutoHyphens/>
        <w:rPr>
          <w:szCs w:val="22"/>
          <w:lang w:val="pt-PT"/>
        </w:rPr>
      </w:pPr>
      <w:r w:rsidRPr="002A54AF">
        <w:rPr>
          <w:szCs w:val="22"/>
          <w:lang w:val="pt-PT"/>
        </w:rPr>
        <w:t>Num programa de uso compassivo, as amostras do líquido cefaloraquídiano (LCR) de oito doentes apresentava concentrações detetáveis de voriconazol em todos os doentes.</w:t>
      </w:r>
    </w:p>
    <w:p w14:paraId="481D3DDE" w14:textId="77777777" w:rsidR="00011577" w:rsidRPr="002A54AF" w:rsidRDefault="00011577" w:rsidP="00011577">
      <w:pPr>
        <w:tabs>
          <w:tab w:val="left" w:pos="567"/>
        </w:tabs>
        <w:suppressAutoHyphens/>
        <w:rPr>
          <w:szCs w:val="22"/>
          <w:lang w:val="pt-PT"/>
        </w:rPr>
      </w:pPr>
    </w:p>
    <w:p w14:paraId="24DB37C1" w14:textId="77777777" w:rsidR="00011577" w:rsidRDefault="00011577" w:rsidP="00011577">
      <w:pPr>
        <w:pStyle w:val="Heading5"/>
        <w:keepNext w:val="0"/>
        <w:tabs>
          <w:tab w:val="left" w:pos="567"/>
        </w:tabs>
        <w:rPr>
          <w:b w:val="0"/>
          <w:szCs w:val="22"/>
          <w:u w:val="single"/>
        </w:rPr>
      </w:pPr>
      <w:r w:rsidRPr="002A54AF">
        <w:rPr>
          <w:b w:val="0"/>
          <w:szCs w:val="22"/>
          <w:u w:val="single"/>
        </w:rPr>
        <w:t>Biotransformação</w:t>
      </w:r>
    </w:p>
    <w:p w14:paraId="08F6B33E" w14:textId="77777777" w:rsidR="00DF4748" w:rsidRPr="00CB39F3" w:rsidRDefault="00DF4748" w:rsidP="00CB39F3">
      <w:pPr>
        <w:rPr>
          <w:lang w:val="pt-PT"/>
        </w:rPr>
      </w:pPr>
    </w:p>
    <w:p w14:paraId="7B4719FA" w14:textId="77777777" w:rsidR="00011577" w:rsidRPr="002A54AF" w:rsidRDefault="00011577" w:rsidP="00011577">
      <w:pPr>
        <w:tabs>
          <w:tab w:val="left" w:pos="567"/>
        </w:tabs>
        <w:suppressAutoHyphens/>
        <w:rPr>
          <w:szCs w:val="22"/>
          <w:lang w:val="pt-PT"/>
        </w:rPr>
      </w:pPr>
      <w:r w:rsidRPr="002A54AF">
        <w:rPr>
          <w:szCs w:val="22"/>
          <w:lang w:val="pt-PT"/>
        </w:rPr>
        <w:t xml:space="preserve">Estudos </w:t>
      </w:r>
      <w:r w:rsidRPr="002A54AF">
        <w:rPr>
          <w:i/>
          <w:szCs w:val="22"/>
          <w:lang w:val="pt-PT"/>
        </w:rPr>
        <w:t>in vitro</w:t>
      </w:r>
      <w:r w:rsidRPr="002A54AF">
        <w:rPr>
          <w:szCs w:val="22"/>
          <w:lang w:val="pt-PT"/>
        </w:rPr>
        <w:t xml:space="preserve"> mostraram que o voriconazol é metabolizado pelas isoenzimas hepáticas CYP2C19, CYP2C9 e CYP3A4 do citocromo P450.</w:t>
      </w:r>
    </w:p>
    <w:p w14:paraId="71BC7E75" w14:textId="77777777" w:rsidR="00011577" w:rsidRPr="00AE78B4" w:rsidRDefault="00011577" w:rsidP="00011577">
      <w:pPr>
        <w:tabs>
          <w:tab w:val="left" w:pos="567"/>
        </w:tabs>
        <w:suppressAutoHyphens/>
        <w:rPr>
          <w:sz w:val="16"/>
          <w:szCs w:val="22"/>
          <w:lang w:val="pt-PT"/>
        </w:rPr>
      </w:pPr>
    </w:p>
    <w:p w14:paraId="674C4B68" w14:textId="77777777" w:rsidR="00011577" w:rsidRPr="002A54AF" w:rsidRDefault="00011577" w:rsidP="00011577">
      <w:pPr>
        <w:tabs>
          <w:tab w:val="left" w:pos="567"/>
        </w:tabs>
        <w:suppressAutoHyphens/>
        <w:rPr>
          <w:szCs w:val="22"/>
          <w:lang w:val="pt-PT"/>
        </w:rPr>
      </w:pPr>
      <w:r w:rsidRPr="002A54AF">
        <w:rPr>
          <w:szCs w:val="22"/>
          <w:lang w:val="pt-PT"/>
        </w:rPr>
        <w:t>A variabilidade interindividual da farmacocinética do voriconazol é elevada.</w:t>
      </w:r>
    </w:p>
    <w:p w14:paraId="74F5CD30" w14:textId="77777777" w:rsidR="00011577" w:rsidRPr="00AE78B4" w:rsidRDefault="00011577" w:rsidP="00011577">
      <w:pPr>
        <w:tabs>
          <w:tab w:val="left" w:pos="567"/>
        </w:tabs>
        <w:suppressAutoHyphens/>
        <w:rPr>
          <w:sz w:val="16"/>
          <w:szCs w:val="22"/>
          <w:lang w:val="pt-PT"/>
        </w:rPr>
      </w:pPr>
    </w:p>
    <w:p w14:paraId="14CDA6AC" w14:textId="77777777" w:rsidR="00011577" w:rsidRPr="002A54AF" w:rsidRDefault="00011577" w:rsidP="00011577">
      <w:pPr>
        <w:tabs>
          <w:tab w:val="left" w:pos="567"/>
        </w:tabs>
        <w:suppressAutoHyphens/>
        <w:rPr>
          <w:szCs w:val="22"/>
          <w:lang w:val="pt-PT"/>
        </w:rPr>
      </w:pPr>
      <w:r w:rsidRPr="002A54AF">
        <w:rPr>
          <w:szCs w:val="22"/>
          <w:lang w:val="pt-PT"/>
        </w:rPr>
        <w:t xml:space="preserve">Estudos </w:t>
      </w:r>
      <w:r w:rsidRPr="002A54AF">
        <w:rPr>
          <w:i/>
          <w:szCs w:val="22"/>
          <w:lang w:val="pt-PT"/>
        </w:rPr>
        <w:t>in vivo</w:t>
      </w:r>
      <w:r w:rsidRPr="002A54AF">
        <w:rPr>
          <w:szCs w:val="22"/>
          <w:lang w:val="pt-PT"/>
        </w:rPr>
        <w:t xml:space="preserve"> indicaram que o CYP2C19 está significativamente envolvido no metabolismo do voriconazol. Esta enzima apresenta polimorfismo genético. Por exemplo, poder-se-à esperar que 15-20 % da população Asiática seja metabolizadora fraca. Para Caucasianos e Negros a prevalência de metabolizadores fracos é de 3-5 %. Estudos efetuados em indivíduos Caucasianos e Japoneses saudáveis mostraram que os metabolizadores fracos têm, em média, exposição (AUC</w:t>
      </w:r>
      <w:r w:rsidR="00B44BBD" w:rsidRPr="001345ED">
        <w:rPr>
          <w:spacing w:val="-1"/>
          <w:position w:val="-3"/>
          <w:szCs w:val="22"/>
        </w:rPr>
        <w:t>τ</w:t>
      </w:r>
      <w:r w:rsidRPr="002A54AF">
        <w:rPr>
          <w:szCs w:val="22"/>
          <w:lang w:val="pt-PT"/>
        </w:rPr>
        <w:t xml:space="preserve">) ao voriconazol 4 vezes superior à dos homozigóticos de metabolização extensa. Os indivíduos heterozigóticos de metabolização extensa têm, em média, exposição ao voriconazol 2 vezes superior à dos homozigóticos de metabolização extensa. </w:t>
      </w:r>
    </w:p>
    <w:p w14:paraId="307FCE41" w14:textId="77777777" w:rsidR="00011577" w:rsidRPr="002A54AF" w:rsidRDefault="00011577" w:rsidP="00011577">
      <w:pPr>
        <w:tabs>
          <w:tab w:val="left" w:pos="567"/>
        </w:tabs>
        <w:suppressAutoHyphens/>
        <w:rPr>
          <w:szCs w:val="22"/>
          <w:lang w:val="pt-PT"/>
        </w:rPr>
      </w:pPr>
    </w:p>
    <w:p w14:paraId="32186F2D" w14:textId="77777777" w:rsidR="00011577" w:rsidRPr="002A54AF" w:rsidRDefault="00011577" w:rsidP="00011577">
      <w:pPr>
        <w:tabs>
          <w:tab w:val="left" w:pos="567"/>
        </w:tabs>
        <w:suppressAutoHyphens/>
        <w:rPr>
          <w:szCs w:val="22"/>
          <w:lang w:val="pt-PT"/>
        </w:rPr>
      </w:pPr>
      <w:r w:rsidRPr="002A54AF">
        <w:rPr>
          <w:szCs w:val="22"/>
          <w:lang w:val="pt-PT"/>
        </w:rPr>
        <w:t>O principal metabolito do voriconazol é o N-óxido, que representa 72 % dos metabolitos radiomarcados circulantes no plasma. Este metabolito possui atividade antifúngica mínima e não contribui para a eficácia geral do voriconazol.</w:t>
      </w:r>
    </w:p>
    <w:p w14:paraId="6E6DE9D6" w14:textId="77777777" w:rsidR="00011577" w:rsidRPr="002A54AF" w:rsidRDefault="00011577" w:rsidP="00011577">
      <w:pPr>
        <w:tabs>
          <w:tab w:val="left" w:pos="567"/>
        </w:tabs>
        <w:suppressAutoHyphens/>
        <w:rPr>
          <w:szCs w:val="22"/>
          <w:lang w:val="pt-PT"/>
        </w:rPr>
      </w:pPr>
    </w:p>
    <w:p w14:paraId="09B0A471" w14:textId="77777777" w:rsidR="00011577" w:rsidRDefault="00011577" w:rsidP="00011577">
      <w:pPr>
        <w:pStyle w:val="Heading3"/>
        <w:keepNext w:val="0"/>
        <w:tabs>
          <w:tab w:val="clear" w:pos="570"/>
          <w:tab w:val="left" w:pos="567"/>
        </w:tabs>
        <w:ind w:left="0" w:firstLine="0"/>
        <w:rPr>
          <w:b w:val="0"/>
          <w:szCs w:val="22"/>
          <w:u w:val="single"/>
        </w:rPr>
      </w:pPr>
      <w:r w:rsidRPr="002A54AF">
        <w:rPr>
          <w:b w:val="0"/>
          <w:szCs w:val="22"/>
          <w:u w:val="single"/>
        </w:rPr>
        <w:t>Eliminação</w:t>
      </w:r>
    </w:p>
    <w:p w14:paraId="58A13387" w14:textId="77777777" w:rsidR="00DF4748" w:rsidRPr="00CB39F3" w:rsidRDefault="00DF4748" w:rsidP="00CB39F3">
      <w:pPr>
        <w:rPr>
          <w:lang w:val="pt-PT"/>
        </w:rPr>
      </w:pPr>
    </w:p>
    <w:p w14:paraId="3B42AFE3" w14:textId="77777777" w:rsidR="00011577" w:rsidRPr="002A54AF" w:rsidRDefault="00011577" w:rsidP="00011577">
      <w:pPr>
        <w:tabs>
          <w:tab w:val="left" w:pos="567"/>
        </w:tabs>
        <w:suppressAutoHyphens/>
        <w:rPr>
          <w:szCs w:val="22"/>
          <w:lang w:val="pt-PT"/>
        </w:rPr>
      </w:pPr>
      <w:r w:rsidRPr="002A54AF">
        <w:rPr>
          <w:szCs w:val="22"/>
          <w:lang w:val="pt-PT"/>
        </w:rPr>
        <w:t>O voriconazol é eliminado por metabolização hepática com menos de 2 % da dose excretada inalterada na urina.</w:t>
      </w:r>
    </w:p>
    <w:p w14:paraId="08627C3F" w14:textId="77777777" w:rsidR="00011577" w:rsidRPr="002A54AF" w:rsidRDefault="00011577" w:rsidP="00011577">
      <w:pPr>
        <w:tabs>
          <w:tab w:val="left" w:pos="567"/>
        </w:tabs>
        <w:suppressAutoHyphens/>
        <w:rPr>
          <w:szCs w:val="22"/>
          <w:lang w:val="pt-PT"/>
        </w:rPr>
      </w:pPr>
    </w:p>
    <w:p w14:paraId="45453C20" w14:textId="77777777" w:rsidR="00011577" w:rsidRPr="002A54AF" w:rsidRDefault="00011577" w:rsidP="00011577">
      <w:pPr>
        <w:tabs>
          <w:tab w:val="left" w:pos="567"/>
        </w:tabs>
        <w:suppressAutoHyphens/>
        <w:rPr>
          <w:szCs w:val="22"/>
          <w:lang w:val="pt-PT"/>
        </w:rPr>
      </w:pPr>
      <w:r w:rsidRPr="002A54AF">
        <w:rPr>
          <w:szCs w:val="22"/>
          <w:lang w:val="pt-PT"/>
        </w:rPr>
        <w:t>Após a administração de uma dose de voriconazol radiomarcada, aproximadamente 80 % da radioatividade é recuperada na urina após administração intravenosa múltipla e 83 % na urina após administração oral múltipla. A maioria (&gt; 94 %) da radioatividade total é excretada nas primeiras 96 horas após administração oral e intravenosa.</w:t>
      </w:r>
    </w:p>
    <w:p w14:paraId="0C207D28" w14:textId="77777777" w:rsidR="00011577" w:rsidRPr="002A54AF" w:rsidRDefault="00011577" w:rsidP="00011577">
      <w:pPr>
        <w:tabs>
          <w:tab w:val="left" w:pos="567"/>
        </w:tabs>
        <w:suppressAutoHyphens/>
        <w:rPr>
          <w:szCs w:val="22"/>
          <w:lang w:val="pt-PT"/>
        </w:rPr>
      </w:pPr>
    </w:p>
    <w:p w14:paraId="556E1FBA" w14:textId="77777777" w:rsidR="00011577" w:rsidRPr="002A54AF" w:rsidRDefault="00011577" w:rsidP="00011577">
      <w:pPr>
        <w:tabs>
          <w:tab w:val="left" w:pos="567"/>
        </w:tabs>
        <w:suppressAutoHyphens/>
        <w:rPr>
          <w:szCs w:val="22"/>
          <w:lang w:val="pt-PT"/>
        </w:rPr>
      </w:pPr>
      <w:r w:rsidRPr="002A54AF">
        <w:rPr>
          <w:szCs w:val="22"/>
          <w:lang w:val="pt-PT"/>
        </w:rPr>
        <w:lastRenderedPageBreak/>
        <w:t>A semivida terminal do voriconazol depende da dose e é de aproximadamente 6 horas com 200 mg (oral). Devido à farmacocinética não linear, a semivida terminal não é útil para a previsão da acumulação ou da eliminação do voriconazol.</w:t>
      </w:r>
    </w:p>
    <w:p w14:paraId="7CC4053F" w14:textId="77777777" w:rsidR="00011577" w:rsidRPr="002A54AF" w:rsidRDefault="00011577" w:rsidP="00011577">
      <w:pPr>
        <w:tabs>
          <w:tab w:val="left" w:pos="567"/>
        </w:tabs>
        <w:suppressAutoHyphens/>
        <w:rPr>
          <w:szCs w:val="22"/>
          <w:lang w:val="pt-PT"/>
        </w:rPr>
      </w:pPr>
    </w:p>
    <w:p w14:paraId="070A4A8F" w14:textId="77777777" w:rsidR="00011577" w:rsidRDefault="00011577" w:rsidP="00011577">
      <w:pPr>
        <w:pStyle w:val="Heading3"/>
        <w:keepNext w:val="0"/>
        <w:tabs>
          <w:tab w:val="clear" w:pos="570"/>
          <w:tab w:val="left" w:pos="567"/>
        </w:tabs>
        <w:ind w:left="0" w:firstLine="0"/>
        <w:rPr>
          <w:b w:val="0"/>
          <w:szCs w:val="22"/>
          <w:u w:val="single"/>
        </w:rPr>
      </w:pPr>
      <w:r w:rsidRPr="002A54AF">
        <w:rPr>
          <w:b w:val="0"/>
          <w:szCs w:val="22"/>
          <w:u w:val="single"/>
        </w:rPr>
        <w:t xml:space="preserve">Farmacocinética em grupos especiais de doentes  </w:t>
      </w:r>
    </w:p>
    <w:p w14:paraId="30DB0F6A" w14:textId="77777777" w:rsidR="00DF4748" w:rsidRPr="00CB39F3" w:rsidRDefault="00DF4748" w:rsidP="00CB39F3">
      <w:pPr>
        <w:rPr>
          <w:lang w:val="pt-PT"/>
        </w:rPr>
      </w:pPr>
    </w:p>
    <w:p w14:paraId="5EEB2993" w14:textId="77777777" w:rsidR="00011577" w:rsidRPr="002A54AF" w:rsidRDefault="00011577" w:rsidP="00011577">
      <w:pPr>
        <w:pStyle w:val="Heading5"/>
        <w:keepNext w:val="0"/>
        <w:tabs>
          <w:tab w:val="left" w:pos="567"/>
        </w:tabs>
        <w:rPr>
          <w:b w:val="0"/>
          <w:i/>
          <w:szCs w:val="22"/>
        </w:rPr>
      </w:pPr>
      <w:r w:rsidRPr="002A54AF">
        <w:rPr>
          <w:b w:val="0"/>
          <w:i/>
          <w:szCs w:val="22"/>
        </w:rPr>
        <w:t>Sexo</w:t>
      </w:r>
    </w:p>
    <w:p w14:paraId="7EA6E4F5" w14:textId="77777777" w:rsidR="00011577" w:rsidRPr="002A54AF" w:rsidRDefault="00011577" w:rsidP="00011577">
      <w:pPr>
        <w:tabs>
          <w:tab w:val="left" w:pos="567"/>
        </w:tabs>
        <w:suppressAutoHyphens/>
        <w:rPr>
          <w:szCs w:val="22"/>
          <w:lang w:val="pt-PT"/>
        </w:rPr>
      </w:pPr>
      <w:r w:rsidRPr="002A54AF">
        <w:rPr>
          <w:szCs w:val="22"/>
          <w:lang w:val="pt-PT"/>
        </w:rPr>
        <w:t>Num estudo de dose oral múltipla, a C</w:t>
      </w:r>
      <w:r w:rsidRPr="002A54AF">
        <w:rPr>
          <w:szCs w:val="22"/>
          <w:vertAlign w:val="subscript"/>
          <w:lang w:val="pt-PT"/>
        </w:rPr>
        <w:t>max</w:t>
      </w:r>
      <w:r w:rsidRPr="002A54AF">
        <w:rPr>
          <w:szCs w:val="22"/>
          <w:lang w:val="pt-PT"/>
        </w:rPr>
        <w:t xml:space="preserve"> e a AUC</w:t>
      </w:r>
      <w:r w:rsidRPr="002A54AF">
        <w:rPr>
          <w:szCs w:val="22"/>
          <w:vertAlign w:val="subscript"/>
          <w:lang w:val="pt-PT"/>
        </w:rPr>
        <w:sym w:font="Symbol" w:char="F074"/>
      </w:r>
      <w:r w:rsidRPr="002A54AF">
        <w:rPr>
          <w:szCs w:val="22"/>
          <w:lang w:val="pt-PT"/>
        </w:rPr>
        <w:t xml:space="preserve"> em indivíduos jovens e saudáveis do sexo</w:t>
      </w:r>
      <w:r w:rsidR="00814BD4" w:rsidRPr="002A54AF">
        <w:rPr>
          <w:szCs w:val="22"/>
          <w:lang w:val="pt-PT"/>
        </w:rPr>
        <w:t xml:space="preserve"> </w:t>
      </w:r>
      <w:r w:rsidRPr="002A54AF">
        <w:rPr>
          <w:szCs w:val="22"/>
          <w:lang w:val="pt-PT"/>
        </w:rPr>
        <w:t>feminino foram de, respetivamente, 83% e 113% superiores às de indivíduos jovens e saudáveis do sexo masculino (18-45 anos). No mesmo estudo não foram observadas diferenças significativas na C</w:t>
      </w:r>
      <w:r w:rsidRPr="001C75D6">
        <w:rPr>
          <w:szCs w:val="22"/>
          <w:vertAlign w:val="subscript"/>
          <w:lang w:val="pt-PT"/>
        </w:rPr>
        <w:t>max</w:t>
      </w:r>
      <w:r w:rsidRPr="002A54AF">
        <w:rPr>
          <w:szCs w:val="22"/>
          <w:lang w:val="pt-PT"/>
        </w:rPr>
        <w:t xml:space="preserve"> nem na AUC</w:t>
      </w:r>
      <w:r w:rsidRPr="002A54AF">
        <w:rPr>
          <w:szCs w:val="22"/>
          <w:vertAlign w:val="subscript"/>
          <w:lang w:val="pt-PT"/>
        </w:rPr>
        <w:sym w:font="Symbol" w:char="F074"/>
      </w:r>
      <w:r w:rsidRPr="002A54AF">
        <w:rPr>
          <w:szCs w:val="22"/>
          <w:lang w:val="pt-PT"/>
        </w:rPr>
        <w:t xml:space="preserve"> entre indivíduos idosos e saudáveis do sexo masculino e indivíduos idosos e saudáveis do sexo feminino (</w:t>
      </w:r>
      <w:r w:rsidR="00B44BBD" w:rsidRPr="00FE5F8B">
        <w:rPr>
          <w:szCs w:val="22"/>
          <w:lang w:val="pt-PT"/>
        </w:rPr>
        <w:t>≥</w:t>
      </w:r>
      <w:r w:rsidRPr="002A54AF">
        <w:rPr>
          <w:szCs w:val="22"/>
          <w:lang w:val="pt-PT"/>
        </w:rPr>
        <w:t xml:space="preserve"> 65 anos).</w:t>
      </w:r>
    </w:p>
    <w:p w14:paraId="63AA952B" w14:textId="77777777" w:rsidR="00011577" w:rsidRPr="002A54AF" w:rsidRDefault="00011577" w:rsidP="00011577">
      <w:pPr>
        <w:tabs>
          <w:tab w:val="left" w:pos="567"/>
        </w:tabs>
        <w:suppressAutoHyphens/>
        <w:rPr>
          <w:szCs w:val="22"/>
          <w:lang w:val="pt-PT"/>
        </w:rPr>
      </w:pPr>
    </w:p>
    <w:p w14:paraId="222990BA" w14:textId="77777777" w:rsidR="00011577" w:rsidRPr="002A54AF" w:rsidRDefault="00011577" w:rsidP="00011577">
      <w:pPr>
        <w:tabs>
          <w:tab w:val="left" w:pos="567"/>
        </w:tabs>
        <w:suppressAutoHyphens/>
        <w:rPr>
          <w:szCs w:val="22"/>
          <w:lang w:val="pt-PT"/>
        </w:rPr>
      </w:pPr>
      <w:r w:rsidRPr="002A54AF">
        <w:rPr>
          <w:szCs w:val="22"/>
          <w:lang w:val="pt-PT"/>
        </w:rPr>
        <w:t>No programa clínico, não foi feito ajuste posológico com base no sexo. O perfil de segurança e as concentrações plasmáticas observadas em doentes do sexo masculino e em doentes do sexo feminino foram similares. Consequentemente, não é necessário ajuste posológico com base no sexo.</w:t>
      </w:r>
    </w:p>
    <w:p w14:paraId="2FA1FDF2" w14:textId="77777777" w:rsidR="00011577" w:rsidRPr="002A54AF" w:rsidRDefault="00011577" w:rsidP="00011577">
      <w:pPr>
        <w:pStyle w:val="EndnoteText"/>
        <w:widowControl/>
        <w:suppressAutoHyphens/>
        <w:rPr>
          <w:szCs w:val="22"/>
        </w:rPr>
      </w:pPr>
    </w:p>
    <w:p w14:paraId="7498069A" w14:textId="77777777" w:rsidR="00011577" w:rsidRPr="00CB39F3" w:rsidRDefault="00011577" w:rsidP="00011577">
      <w:pPr>
        <w:pStyle w:val="Heading5"/>
        <w:keepNext w:val="0"/>
        <w:tabs>
          <w:tab w:val="left" w:pos="567"/>
        </w:tabs>
        <w:rPr>
          <w:b w:val="0"/>
          <w:i/>
          <w:szCs w:val="22"/>
        </w:rPr>
      </w:pPr>
      <w:r w:rsidRPr="00CB39F3">
        <w:rPr>
          <w:b w:val="0"/>
          <w:i/>
          <w:szCs w:val="22"/>
        </w:rPr>
        <w:t>Idosos</w:t>
      </w:r>
    </w:p>
    <w:p w14:paraId="07422C0C" w14:textId="77777777" w:rsidR="00011577" w:rsidRPr="002A54AF" w:rsidRDefault="00011577" w:rsidP="00011577">
      <w:pPr>
        <w:tabs>
          <w:tab w:val="left" w:pos="567"/>
        </w:tabs>
        <w:suppressAutoHyphens/>
        <w:rPr>
          <w:szCs w:val="22"/>
          <w:lang w:val="pt-PT"/>
        </w:rPr>
      </w:pPr>
      <w:r w:rsidRPr="002A54AF">
        <w:rPr>
          <w:szCs w:val="22"/>
          <w:lang w:val="pt-PT"/>
        </w:rPr>
        <w:t>Num estudo de dose oral múltipla, a C</w:t>
      </w:r>
      <w:r w:rsidRPr="002A54AF">
        <w:rPr>
          <w:szCs w:val="22"/>
          <w:vertAlign w:val="subscript"/>
          <w:lang w:val="pt-PT"/>
        </w:rPr>
        <w:t>max</w:t>
      </w:r>
      <w:r w:rsidRPr="002A54AF">
        <w:rPr>
          <w:szCs w:val="22"/>
          <w:lang w:val="pt-PT"/>
        </w:rPr>
        <w:t xml:space="preserve"> e a AUC</w:t>
      </w:r>
      <w:r w:rsidRPr="002A54AF">
        <w:rPr>
          <w:szCs w:val="22"/>
          <w:vertAlign w:val="subscript"/>
          <w:lang w:val="pt-PT"/>
        </w:rPr>
        <w:sym w:font="Symbol" w:char="F074"/>
      </w:r>
      <w:r w:rsidRPr="002A54AF">
        <w:rPr>
          <w:szCs w:val="22"/>
          <w:lang w:val="pt-PT"/>
        </w:rPr>
        <w:t xml:space="preserve"> em indivíduos idosos e saudáveis do sexo masculino (</w:t>
      </w:r>
      <w:r w:rsidR="00B44BBD" w:rsidRPr="00FE5F8B">
        <w:rPr>
          <w:szCs w:val="22"/>
          <w:lang w:val="pt-PT"/>
        </w:rPr>
        <w:t>≥</w:t>
      </w:r>
      <w:r w:rsidRPr="002A54AF">
        <w:rPr>
          <w:szCs w:val="22"/>
          <w:lang w:val="pt-PT"/>
        </w:rPr>
        <w:t xml:space="preserve"> 65 anos) foram de, respetivamente, 61 % e 86 % superiores às de indivíduos jovens e saudáveis do sexo masculino (18-45 anos). Não foram observadas diferenças significativas na C</w:t>
      </w:r>
      <w:r w:rsidRPr="002A54AF">
        <w:rPr>
          <w:szCs w:val="22"/>
          <w:vertAlign w:val="subscript"/>
          <w:lang w:val="pt-PT"/>
        </w:rPr>
        <w:t>max</w:t>
      </w:r>
      <w:r w:rsidRPr="002A54AF">
        <w:rPr>
          <w:szCs w:val="22"/>
          <w:lang w:val="pt-PT"/>
        </w:rPr>
        <w:t xml:space="preserve"> nem na AUC</w:t>
      </w:r>
      <w:r w:rsidRPr="002A54AF">
        <w:rPr>
          <w:szCs w:val="22"/>
          <w:vertAlign w:val="subscript"/>
          <w:lang w:val="pt-PT"/>
        </w:rPr>
        <w:sym w:font="Symbol" w:char="F074"/>
      </w:r>
      <w:r w:rsidRPr="002A54AF">
        <w:rPr>
          <w:szCs w:val="22"/>
          <w:lang w:val="pt-PT"/>
        </w:rPr>
        <w:t xml:space="preserve"> entre indivíduos idosos e saudáveis do sexo feminino (≥ 65 anos) e indivíduos jovens e saudáveis do sexo feminino (18-45 anos). </w:t>
      </w:r>
    </w:p>
    <w:p w14:paraId="10A083A2" w14:textId="77777777" w:rsidR="00011577" w:rsidRPr="002A54AF" w:rsidRDefault="00011577" w:rsidP="00011577">
      <w:pPr>
        <w:tabs>
          <w:tab w:val="left" w:pos="567"/>
        </w:tabs>
        <w:suppressAutoHyphens/>
        <w:rPr>
          <w:szCs w:val="22"/>
          <w:lang w:val="pt-PT"/>
        </w:rPr>
      </w:pPr>
    </w:p>
    <w:p w14:paraId="78E684F6" w14:textId="77777777" w:rsidR="00011577" w:rsidRPr="002A54AF" w:rsidRDefault="00011577" w:rsidP="00011577">
      <w:pPr>
        <w:tabs>
          <w:tab w:val="left" w:pos="567"/>
        </w:tabs>
        <w:suppressAutoHyphens/>
        <w:rPr>
          <w:szCs w:val="22"/>
          <w:lang w:val="pt-PT"/>
        </w:rPr>
      </w:pPr>
      <w:r w:rsidRPr="002A54AF">
        <w:rPr>
          <w:szCs w:val="22"/>
          <w:lang w:val="pt-PT"/>
        </w:rPr>
        <w:t>Nos estudos terapêuticos não foi feito ajuste posológico com base na idade. Foi observada relação entre as concentrações plasmáticas e a idade. No entanto, o perfil de segurança do voriconazol em doentes jovens e idosos foi similar e, consequentemente, não é necessário ajuste posológico para o idoso (ver secção 4.2).</w:t>
      </w:r>
    </w:p>
    <w:p w14:paraId="3E87CA87" w14:textId="77777777" w:rsidR="00011577" w:rsidRPr="002A54AF" w:rsidRDefault="00011577" w:rsidP="00011577">
      <w:pPr>
        <w:tabs>
          <w:tab w:val="left" w:pos="567"/>
        </w:tabs>
        <w:suppressAutoHyphens/>
        <w:rPr>
          <w:szCs w:val="22"/>
          <w:u w:val="single"/>
          <w:lang w:val="pt-PT"/>
        </w:rPr>
      </w:pPr>
    </w:p>
    <w:p w14:paraId="7A716BF0" w14:textId="77777777" w:rsidR="00011577" w:rsidRPr="002A54AF" w:rsidRDefault="009759FC" w:rsidP="00011577">
      <w:pPr>
        <w:keepNext/>
        <w:tabs>
          <w:tab w:val="left" w:pos="567"/>
        </w:tabs>
        <w:suppressAutoHyphens/>
        <w:rPr>
          <w:szCs w:val="22"/>
          <w:u w:val="single"/>
          <w:lang w:val="pt-PT"/>
        </w:rPr>
      </w:pPr>
      <w:r w:rsidRPr="002A54AF">
        <w:rPr>
          <w:i/>
          <w:szCs w:val="22"/>
          <w:lang w:val="pt-PT"/>
        </w:rPr>
        <w:t>População pediátrica</w:t>
      </w:r>
    </w:p>
    <w:p w14:paraId="6C46E0A7" w14:textId="77777777" w:rsidR="00011577" w:rsidRPr="002A54AF" w:rsidRDefault="00011577" w:rsidP="00011577">
      <w:pPr>
        <w:keepNext/>
        <w:tabs>
          <w:tab w:val="left" w:pos="567"/>
        </w:tabs>
        <w:suppressAutoHyphens/>
        <w:rPr>
          <w:rStyle w:val="hps"/>
          <w:szCs w:val="22"/>
          <w:lang w:val="pt-PT"/>
        </w:rPr>
      </w:pPr>
      <w:r w:rsidRPr="002A54AF">
        <w:rPr>
          <w:szCs w:val="22"/>
          <w:lang w:val="pt-PT"/>
        </w:rPr>
        <w:t xml:space="preserve">As doses recomendadas em doentes adolescentes e crianças são baseadas numa análise populacional de farmacocinética de dados obtidos a partir de 112 doentes pediátricos imunocomprometidos com idades compreendidas entre os 2 e &lt;12 anos e 26 doentes adolescentes imunocomprometidos com idades compreendidas entre os 12 e &lt;17 anos. </w:t>
      </w:r>
      <w:r w:rsidRPr="002A54AF">
        <w:rPr>
          <w:rStyle w:val="hps"/>
          <w:szCs w:val="22"/>
          <w:lang w:val="pt-PT"/>
        </w:rPr>
        <w:t>Doses intravenosas múltiplas de</w:t>
      </w:r>
      <w:r w:rsidRPr="002A54AF">
        <w:rPr>
          <w:szCs w:val="22"/>
          <w:lang w:val="pt-PT"/>
        </w:rPr>
        <w:t xml:space="preserve"> </w:t>
      </w:r>
      <w:r w:rsidRPr="002A54AF">
        <w:rPr>
          <w:rStyle w:val="hps"/>
          <w:szCs w:val="22"/>
          <w:lang w:val="pt-PT"/>
        </w:rPr>
        <w:t>3, 4,</w:t>
      </w:r>
      <w:r w:rsidRPr="002A54AF">
        <w:rPr>
          <w:szCs w:val="22"/>
          <w:lang w:val="pt-PT"/>
        </w:rPr>
        <w:t xml:space="preserve"> </w:t>
      </w:r>
      <w:r w:rsidRPr="002A54AF">
        <w:rPr>
          <w:rStyle w:val="hps"/>
          <w:szCs w:val="22"/>
          <w:lang w:val="pt-PT"/>
        </w:rPr>
        <w:t>6, 7 e</w:t>
      </w:r>
      <w:r w:rsidRPr="002A54AF">
        <w:rPr>
          <w:szCs w:val="22"/>
          <w:lang w:val="pt-PT"/>
        </w:rPr>
        <w:t xml:space="preserve"> </w:t>
      </w:r>
      <w:r w:rsidRPr="002A54AF">
        <w:rPr>
          <w:rStyle w:val="hps"/>
          <w:szCs w:val="22"/>
          <w:lang w:val="pt-PT"/>
        </w:rPr>
        <w:t>8 mg/kg</w:t>
      </w:r>
      <w:r w:rsidRPr="002A54AF">
        <w:rPr>
          <w:szCs w:val="22"/>
          <w:lang w:val="pt-PT"/>
        </w:rPr>
        <w:t xml:space="preserve"> </w:t>
      </w:r>
      <w:r w:rsidRPr="002A54AF">
        <w:rPr>
          <w:rStyle w:val="hps"/>
          <w:szCs w:val="22"/>
          <w:lang w:val="pt-PT"/>
        </w:rPr>
        <w:t>duas vezes por dia</w:t>
      </w:r>
      <w:r w:rsidRPr="002A54AF">
        <w:rPr>
          <w:szCs w:val="22"/>
          <w:lang w:val="pt-PT"/>
        </w:rPr>
        <w:t xml:space="preserve"> </w:t>
      </w:r>
      <w:r w:rsidRPr="002A54AF">
        <w:rPr>
          <w:rStyle w:val="hps"/>
          <w:szCs w:val="22"/>
          <w:lang w:val="pt-PT"/>
        </w:rPr>
        <w:t>e</w:t>
      </w:r>
      <w:r w:rsidRPr="002A54AF">
        <w:rPr>
          <w:szCs w:val="22"/>
          <w:lang w:val="pt-PT"/>
        </w:rPr>
        <w:t xml:space="preserve"> </w:t>
      </w:r>
      <w:r w:rsidRPr="002A54AF">
        <w:rPr>
          <w:rStyle w:val="hps"/>
          <w:szCs w:val="22"/>
          <w:lang w:val="pt-PT"/>
        </w:rPr>
        <w:t>doses orais múltiplas</w:t>
      </w:r>
      <w:r w:rsidRPr="002A54AF">
        <w:rPr>
          <w:szCs w:val="22"/>
          <w:lang w:val="pt-PT"/>
        </w:rPr>
        <w:t xml:space="preserve"> </w:t>
      </w:r>
      <w:r w:rsidRPr="002A54AF">
        <w:rPr>
          <w:rStyle w:val="hps"/>
          <w:szCs w:val="22"/>
          <w:lang w:val="pt-PT"/>
        </w:rPr>
        <w:t>(usando o</w:t>
      </w:r>
      <w:r w:rsidRPr="002A54AF">
        <w:rPr>
          <w:szCs w:val="22"/>
          <w:lang w:val="pt-PT"/>
        </w:rPr>
        <w:t xml:space="preserve"> </w:t>
      </w:r>
      <w:r w:rsidRPr="002A54AF">
        <w:rPr>
          <w:rStyle w:val="hps"/>
          <w:szCs w:val="22"/>
          <w:lang w:val="pt-PT"/>
        </w:rPr>
        <w:t>pó para suspensão</w:t>
      </w:r>
      <w:r w:rsidRPr="002A54AF">
        <w:rPr>
          <w:szCs w:val="22"/>
          <w:lang w:val="pt-PT"/>
        </w:rPr>
        <w:t xml:space="preserve"> </w:t>
      </w:r>
      <w:r w:rsidRPr="002A54AF">
        <w:rPr>
          <w:rStyle w:val="hps"/>
          <w:szCs w:val="22"/>
          <w:lang w:val="pt-PT"/>
        </w:rPr>
        <w:t>oral)</w:t>
      </w:r>
      <w:r w:rsidRPr="002A54AF">
        <w:rPr>
          <w:szCs w:val="22"/>
          <w:lang w:val="pt-PT"/>
        </w:rPr>
        <w:t xml:space="preserve"> </w:t>
      </w:r>
      <w:r w:rsidRPr="002A54AF">
        <w:rPr>
          <w:rStyle w:val="hps"/>
          <w:szCs w:val="22"/>
          <w:lang w:val="pt-PT"/>
        </w:rPr>
        <w:t>de 4</w:t>
      </w:r>
      <w:r w:rsidRPr="002A54AF">
        <w:rPr>
          <w:szCs w:val="22"/>
          <w:lang w:val="pt-PT"/>
        </w:rPr>
        <w:t> </w:t>
      </w:r>
      <w:r w:rsidRPr="002A54AF">
        <w:rPr>
          <w:rStyle w:val="hps"/>
          <w:szCs w:val="22"/>
          <w:lang w:val="pt-PT"/>
        </w:rPr>
        <w:t>mg/kg,</w:t>
      </w:r>
      <w:r w:rsidRPr="002A54AF">
        <w:rPr>
          <w:szCs w:val="22"/>
          <w:lang w:val="pt-PT"/>
        </w:rPr>
        <w:t xml:space="preserve"> </w:t>
      </w:r>
      <w:r w:rsidRPr="002A54AF">
        <w:rPr>
          <w:rStyle w:val="hps"/>
          <w:szCs w:val="22"/>
          <w:lang w:val="pt-PT"/>
        </w:rPr>
        <w:t>6 mg/kg</w:t>
      </w:r>
      <w:r w:rsidRPr="002A54AF">
        <w:rPr>
          <w:szCs w:val="22"/>
          <w:lang w:val="pt-PT"/>
        </w:rPr>
        <w:t xml:space="preserve"> </w:t>
      </w:r>
      <w:r w:rsidRPr="002A54AF">
        <w:rPr>
          <w:rStyle w:val="hps"/>
          <w:szCs w:val="22"/>
          <w:lang w:val="pt-PT"/>
        </w:rPr>
        <w:t>e</w:t>
      </w:r>
      <w:r w:rsidRPr="002A54AF">
        <w:rPr>
          <w:szCs w:val="22"/>
          <w:lang w:val="pt-PT"/>
        </w:rPr>
        <w:t xml:space="preserve"> </w:t>
      </w:r>
      <w:r w:rsidRPr="002A54AF">
        <w:rPr>
          <w:rStyle w:val="hps"/>
          <w:szCs w:val="22"/>
          <w:lang w:val="pt-PT"/>
        </w:rPr>
        <w:t>200 mg</w:t>
      </w:r>
      <w:r w:rsidRPr="002A54AF">
        <w:rPr>
          <w:szCs w:val="22"/>
          <w:lang w:val="pt-PT"/>
        </w:rPr>
        <w:t xml:space="preserve"> </w:t>
      </w:r>
      <w:r w:rsidRPr="002A54AF">
        <w:rPr>
          <w:rStyle w:val="hps"/>
          <w:szCs w:val="22"/>
          <w:lang w:val="pt-PT"/>
        </w:rPr>
        <w:t>duas vezes por dia</w:t>
      </w:r>
      <w:r w:rsidRPr="002A54AF">
        <w:rPr>
          <w:szCs w:val="22"/>
          <w:lang w:val="pt-PT"/>
        </w:rPr>
        <w:t xml:space="preserve">, foram avaliados em </w:t>
      </w:r>
      <w:r w:rsidRPr="002A54AF">
        <w:rPr>
          <w:rStyle w:val="hps"/>
          <w:szCs w:val="22"/>
          <w:lang w:val="pt-PT"/>
        </w:rPr>
        <w:t>três</w:t>
      </w:r>
      <w:r w:rsidRPr="002A54AF">
        <w:rPr>
          <w:szCs w:val="22"/>
          <w:lang w:val="pt-PT"/>
        </w:rPr>
        <w:t xml:space="preserve"> estudos </w:t>
      </w:r>
      <w:r w:rsidRPr="002A54AF">
        <w:rPr>
          <w:rStyle w:val="hps"/>
          <w:szCs w:val="22"/>
          <w:lang w:val="pt-PT"/>
        </w:rPr>
        <w:t>farmacocinéticos pediátricos.</w:t>
      </w:r>
      <w:r w:rsidRPr="002A54AF">
        <w:rPr>
          <w:szCs w:val="22"/>
          <w:lang w:val="pt-PT"/>
        </w:rPr>
        <w:t xml:space="preserve"> As d</w:t>
      </w:r>
      <w:r w:rsidRPr="002A54AF">
        <w:rPr>
          <w:rStyle w:val="hps"/>
          <w:szCs w:val="22"/>
          <w:lang w:val="pt-PT"/>
        </w:rPr>
        <w:t>oses</w:t>
      </w:r>
      <w:r w:rsidRPr="002A54AF">
        <w:rPr>
          <w:szCs w:val="22"/>
          <w:lang w:val="pt-PT"/>
        </w:rPr>
        <w:t xml:space="preserve"> </w:t>
      </w:r>
      <w:r w:rsidRPr="002A54AF">
        <w:rPr>
          <w:rStyle w:val="hps"/>
          <w:szCs w:val="22"/>
          <w:lang w:val="pt-PT"/>
        </w:rPr>
        <w:t>de carga intravenosa</w:t>
      </w:r>
      <w:r w:rsidRPr="002A54AF">
        <w:rPr>
          <w:szCs w:val="22"/>
          <w:lang w:val="pt-PT"/>
        </w:rPr>
        <w:t xml:space="preserve"> </w:t>
      </w:r>
      <w:r w:rsidRPr="002A54AF">
        <w:rPr>
          <w:rStyle w:val="hps"/>
          <w:szCs w:val="22"/>
          <w:lang w:val="pt-PT"/>
        </w:rPr>
        <w:t>de 6</w:t>
      </w:r>
      <w:r w:rsidRPr="002A54AF">
        <w:rPr>
          <w:szCs w:val="22"/>
          <w:lang w:val="pt-PT"/>
        </w:rPr>
        <w:t> </w:t>
      </w:r>
      <w:r w:rsidRPr="002A54AF">
        <w:rPr>
          <w:rStyle w:val="hps"/>
          <w:szCs w:val="22"/>
          <w:lang w:val="pt-PT"/>
        </w:rPr>
        <w:t>mg/kg</w:t>
      </w:r>
      <w:r w:rsidRPr="002A54AF">
        <w:rPr>
          <w:szCs w:val="22"/>
          <w:lang w:val="pt-PT"/>
        </w:rPr>
        <w:t xml:space="preserve"> </w:t>
      </w:r>
      <w:r w:rsidRPr="002A54AF">
        <w:rPr>
          <w:rStyle w:val="hps"/>
          <w:szCs w:val="22"/>
          <w:lang w:val="pt-PT"/>
        </w:rPr>
        <w:t>duas vezes no primeiro dia</w:t>
      </w:r>
      <w:r w:rsidRPr="002A54AF">
        <w:rPr>
          <w:szCs w:val="22"/>
          <w:lang w:val="pt-PT"/>
        </w:rPr>
        <w:t xml:space="preserve"> </w:t>
      </w:r>
      <w:r w:rsidRPr="002A54AF">
        <w:rPr>
          <w:rStyle w:val="hps"/>
          <w:szCs w:val="22"/>
          <w:lang w:val="pt-PT"/>
        </w:rPr>
        <w:t>seguidas por</w:t>
      </w:r>
      <w:r w:rsidRPr="002A54AF">
        <w:rPr>
          <w:szCs w:val="22"/>
          <w:lang w:val="pt-PT"/>
        </w:rPr>
        <w:t xml:space="preserve"> </w:t>
      </w:r>
      <w:r w:rsidRPr="002A54AF">
        <w:rPr>
          <w:rStyle w:val="hps"/>
          <w:szCs w:val="22"/>
          <w:lang w:val="pt-PT"/>
        </w:rPr>
        <w:t>doses intravenosas de 4</w:t>
      </w:r>
      <w:r w:rsidRPr="002A54AF">
        <w:rPr>
          <w:szCs w:val="22"/>
          <w:lang w:val="pt-PT"/>
        </w:rPr>
        <w:t> </w:t>
      </w:r>
      <w:r w:rsidRPr="002A54AF">
        <w:rPr>
          <w:rStyle w:val="hps"/>
          <w:szCs w:val="22"/>
          <w:lang w:val="pt-PT"/>
        </w:rPr>
        <w:t>mg/kg</w:t>
      </w:r>
      <w:r w:rsidRPr="002A54AF">
        <w:rPr>
          <w:szCs w:val="22"/>
          <w:lang w:val="pt-PT"/>
        </w:rPr>
        <w:t xml:space="preserve"> </w:t>
      </w:r>
      <w:r w:rsidRPr="002A54AF">
        <w:rPr>
          <w:rStyle w:val="hps"/>
          <w:szCs w:val="22"/>
          <w:lang w:val="pt-PT"/>
        </w:rPr>
        <w:t>duas vezes por dia</w:t>
      </w:r>
      <w:r w:rsidRPr="002A54AF">
        <w:rPr>
          <w:szCs w:val="22"/>
          <w:lang w:val="pt-PT"/>
        </w:rPr>
        <w:t xml:space="preserve"> </w:t>
      </w:r>
      <w:r w:rsidRPr="002A54AF">
        <w:rPr>
          <w:rStyle w:val="hps"/>
          <w:szCs w:val="22"/>
          <w:lang w:val="pt-PT"/>
        </w:rPr>
        <w:t>e comprimidos orais de 300</w:t>
      </w:r>
      <w:r w:rsidRPr="002A54AF">
        <w:rPr>
          <w:szCs w:val="22"/>
          <w:lang w:val="pt-PT"/>
        </w:rPr>
        <w:t> </w:t>
      </w:r>
      <w:r w:rsidRPr="002A54AF">
        <w:rPr>
          <w:rStyle w:val="hps"/>
          <w:szCs w:val="22"/>
          <w:lang w:val="pt-PT"/>
        </w:rPr>
        <w:t>mg</w:t>
      </w:r>
      <w:r w:rsidRPr="002A54AF">
        <w:rPr>
          <w:szCs w:val="22"/>
          <w:lang w:val="pt-PT"/>
        </w:rPr>
        <w:t xml:space="preserve"> </w:t>
      </w:r>
      <w:r w:rsidRPr="002A54AF">
        <w:rPr>
          <w:rStyle w:val="hps"/>
          <w:szCs w:val="22"/>
          <w:lang w:val="pt-PT"/>
        </w:rPr>
        <w:t>duas vezes ao dia</w:t>
      </w:r>
      <w:r w:rsidRPr="002A54AF">
        <w:rPr>
          <w:szCs w:val="22"/>
          <w:lang w:val="pt-PT"/>
        </w:rPr>
        <w:t>, foram avaliadas n</w:t>
      </w:r>
      <w:r w:rsidRPr="002A54AF">
        <w:rPr>
          <w:rStyle w:val="hps"/>
          <w:szCs w:val="22"/>
          <w:lang w:val="pt-PT"/>
        </w:rPr>
        <w:t>um estudo</w:t>
      </w:r>
      <w:r w:rsidRPr="002A54AF">
        <w:rPr>
          <w:szCs w:val="22"/>
          <w:lang w:val="pt-PT"/>
        </w:rPr>
        <w:t xml:space="preserve"> </w:t>
      </w:r>
      <w:r w:rsidRPr="002A54AF">
        <w:rPr>
          <w:rStyle w:val="hps"/>
          <w:szCs w:val="22"/>
          <w:lang w:val="pt-PT"/>
        </w:rPr>
        <w:t>farmacocinético</w:t>
      </w:r>
      <w:r w:rsidRPr="002A54AF">
        <w:rPr>
          <w:szCs w:val="22"/>
          <w:lang w:val="pt-PT"/>
        </w:rPr>
        <w:t xml:space="preserve"> </w:t>
      </w:r>
      <w:r w:rsidRPr="002A54AF">
        <w:rPr>
          <w:rStyle w:val="hps"/>
          <w:szCs w:val="22"/>
          <w:lang w:val="pt-PT"/>
        </w:rPr>
        <w:t>de adolescentes</w:t>
      </w:r>
      <w:r w:rsidRPr="002A54AF">
        <w:rPr>
          <w:szCs w:val="22"/>
          <w:lang w:val="pt-PT"/>
        </w:rPr>
        <w:t>. Foi observada uma maior</w:t>
      </w:r>
      <w:r w:rsidRPr="002A54AF">
        <w:rPr>
          <w:rStyle w:val="hps"/>
          <w:szCs w:val="22"/>
          <w:lang w:val="pt-PT"/>
        </w:rPr>
        <w:t xml:space="preserve"> variabilidade</w:t>
      </w:r>
      <w:r w:rsidRPr="002A54AF">
        <w:rPr>
          <w:szCs w:val="22"/>
          <w:lang w:val="pt-PT"/>
        </w:rPr>
        <w:t xml:space="preserve"> </w:t>
      </w:r>
      <w:r w:rsidRPr="002A54AF">
        <w:rPr>
          <w:rStyle w:val="hps"/>
          <w:szCs w:val="22"/>
          <w:lang w:val="pt-PT"/>
        </w:rPr>
        <w:t>interindividual em</w:t>
      </w:r>
      <w:r w:rsidRPr="002A54AF">
        <w:rPr>
          <w:szCs w:val="22"/>
          <w:lang w:val="pt-PT"/>
        </w:rPr>
        <w:t xml:space="preserve"> doentes</w:t>
      </w:r>
      <w:r w:rsidRPr="002A54AF">
        <w:rPr>
          <w:rStyle w:val="hps"/>
          <w:szCs w:val="22"/>
          <w:lang w:val="pt-PT"/>
        </w:rPr>
        <w:t xml:space="preserve"> pediátricos</w:t>
      </w:r>
      <w:r w:rsidRPr="002A54AF">
        <w:rPr>
          <w:szCs w:val="22"/>
          <w:lang w:val="pt-PT"/>
        </w:rPr>
        <w:t xml:space="preserve"> comparativamente aos adultos. </w:t>
      </w:r>
    </w:p>
    <w:p w14:paraId="76255A48" w14:textId="77777777" w:rsidR="00011577" w:rsidRPr="002A54AF" w:rsidRDefault="00011577" w:rsidP="00011577">
      <w:pPr>
        <w:keepNext/>
        <w:tabs>
          <w:tab w:val="left" w:pos="567"/>
        </w:tabs>
        <w:suppressAutoHyphens/>
        <w:rPr>
          <w:szCs w:val="22"/>
          <w:lang w:val="pt-PT"/>
        </w:rPr>
      </w:pPr>
    </w:p>
    <w:p w14:paraId="1205607D" w14:textId="77777777" w:rsidR="00011577" w:rsidRPr="002A54AF" w:rsidRDefault="00011577" w:rsidP="00011577">
      <w:pPr>
        <w:keepNext/>
        <w:tabs>
          <w:tab w:val="left" w:pos="567"/>
        </w:tabs>
        <w:suppressAutoHyphens/>
        <w:rPr>
          <w:szCs w:val="22"/>
          <w:lang w:val="pt-PT"/>
        </w:rPr>
      </w:pPr>
      <w:r w:rsidRPr="002A54AF">
        <w:rPr>
          <w:szCs w:val="22"/>
          <w:lang w:val="pt-PT"/>
        </w:rPr>
        <w:t>A comparação entre os dados de farmacocinética da população adulta e pediátrica indica que a exposição total prevista (AUC</w:t>
      </w:r>
      <w:r w:rsidRPr="002A54AF">
        <w:rPr>
          <w:szCs w:val="22"/>
          <w:vertAlign w:val="subscript"/>
          <w:lang w:val="pt-PT"/>
        </w:rPr>
        <w:sym w:font="Symbol" w:char="F074"/>
      </w:r>
      <w:r w:rsidRPr="002A54AF">
        <w:rPr>
          <w:szCs w:val="22"/>
          <w:lang w:val="pt-PT"/>
        </w:rPr>
        <w:t xml:space="preserve">) em crianças, após a administração de uma dose de carga intravenosa de 9 mg/kg foi comparável à dos adultos após uma dose de carga intravenosa de 6 mg/kg. A exposição total prevista em crianças, após doses de manutenção intravenosas de 4 e 8 mg/kg duas vezes por dia foi comparável à dos adultos após 3 e 4 mg/kg intravenosos duas vezes por dia, respetivamente. A exposição total prevista em crianças, após uma dose de manutenção oral de 9 mg/kg </w:t>
      </w:r>
      <w:r w:rsidRPr="002A54AF">
        <w:rPr>
          <w:rStyle w:val="hps"/>
          <w:szCs w:val="22"/>
          <w:lang w:val="pt-PT"/>
        </w:rPr>
        <w:t>(</w:t>
      </w:r>
      <w:r w:rsidRPr="002A54AF">
        <w:rPr>
          <w:szCs w:val="22"/>
          <w:lang w:val="pt-PT"/>
        </w:rPr>
        <w:t>máximo de 350 </w:t>
      </w:r>
      <w:r w:rsidRPr="002A54AF">
        <w:rPr>
          <w:rStyle w:val="hps"/>
          <w:szCs w:val="22"/>
          <w:lang w:val="pt-PT"/>
        </w:rPr>
        <w:t>mg)</w:t>
      </w:r>
      <w:r w:rsidRPr="002A54AF">
        <w:rPr>
          <w:szCs w:val="22"/>
          <w:lang w:val="pt-PT"/>
        </w:rPr>
        <w:t xml:space="preserve"> </w:t>
      </w:r>
      <w:r w:rsidRPr="002A54AF">
        <w:rPr>
          <w:rStyle w:val="hps"/>
          <w:szCs w:val="22"/>
          <w:lang w:val="pt-PT"/>
        </w:rPr>
        <w:t>duas vezes por dia</w:t>
      </w:r>
      <w:r w:rsidRPr="002A54AF">
        <w:rPr>
          <w:szCs w:val="22"/>
          <w:lang w:val="pt-PT"/>
        </w:rPr>
        <w:t xml:space="preserve"> foi </w:t>
      </w:r>
      <w:r w:rsidRPr="002A54AF">
        <w:rPr>
          <w:rStyle w:val="hps"/>
          <w:szCs w:val="22"/>
          <w:lang w:val="pt-PT"/>
        </w:rPr>
        <w:t>comparável à dos adultos após</w:t>
      </w:r>
      <w:r w:rsidRPr="002A54AF">
        <w:rPr>
          <w:szCs w:val="22"/>
          <w:lang w:val="pt-PT"/>
        </w:rPr>
        <w:t xml:space="preserve"> </w:t>
      </w:r>
      <w:r w:rsidRPr="002A54AF">
        <w:rPr>
          <w:rStyle w:val="hps"/>
          <w:szCs w:val="22"/>
          <w:lang w:val="pt-PT"/>
        </w:rPr>
        <w:t>200 mg</w:t>
      </w:r>
      <w:r w:rsidRPr="002A54AF">
        <w:rPr>
          <w:szCs w:val="22"/>
          <w:lang w:val="pt-PT"/>
        </w:rPr>
        <w:t xml:space="preserve"> </w:t>
      </w:r>
      <w:r w:rsidRPr="002A54AF">
        <w:rPr>
          <w:rStyle w:val="hps"/>
          <w:szCs w:val="22"/>
          <w:lang w:val="pt-PT"/>
        </w:rPr>
        <w:t>por via oral</w:t>
      </w:r>
      <w:r w:rsidRPr="002A54AF">
        <w:rPr>
          <w:szCs w:val="22"/>
          <w:lang w:val="pt-PT"/>
        </w:rPr>
        <w:t xml:space="preserve"> </w:t>
      </w:r>
      <w:r w:rsidRPr="002A54AF">
        <w:rPr>
          <w:rStyle w:val="hps"/>
          <w:szCs w:val="22"/>
          <w:lang w:val="pt-PT"/>
        </w:rPr>
        <w:t>duas vezes por dia</w:t>
      </w:r>
      <w:r w:rsidRPr="002A54AF">
        <w:rPr>
          <w:szCs w:val="22"/>
          <w:lang w:val="pt-PT"/>
        </w:rPr>
        <w:t xml:space="preserve">. </w:t>
      </w:r>
    </w:p>
    <w:p w14:paraId="73535746" w14:textId="77777777" w:rsidR="00011577" w:rsidRPr="002A54AF" w:rsidRDefault="00011577" w:rsidP="00011577">
      <w:pPr>
        <w:keepNext/>
        <w:tabs>
          <w:tab w:val="left" w:pos="567"/>
        </w:tabs>
        <w:suppressAutoHyphens/>
        <w:rPr>
          <w:szCs w:val="22"/>
          <w:lang w:val="pt-PT"/>
        </w:rPr>
      </w:pPr>
    </w:p>
    <w:p w14:paraId="5F481DA7" w14:textId="77777777" w:rsidR="00011577" w:rsidRPr="002A54AF" w:rsidRDefault="00011577" w:rsidP="00011577">
      <w:pPr>
        <w:keepNext/>
        <w:tabs>
          <w:tab w:val="left" w:pos="567"/>
        </w:tabs>
        <w:suppressAutoHyphens/>
        <w:rPr>
          <w:szCs w:val="22"/>
          <w:lang w:val="pt-PT"/>
        </w:rPr>
      </w:pPr>
      <w:r w:rsidRPr="002A54AF">
        <w:rPr>
          <w:rStyle w:val="hps"/>
          <w:szCs w:val="22"/>
          <w:lang w:val="pt-PT"/>
        </w:rPr>
        <w:t>Uma</w:t>
      </w:r>
      <w:r w:rsidRPr="002A54AF">
        <w:rPr>
          <w:szCs w:val="22"/>
          <w:lang w:val="pt-PT"/>
        </w:rPr>
        <w:t xml:space="preserve"> </w:t>
      </w:r>
      <w:r w:rsidRPr="002A54AF">
        <w:rPr>
          <w:rStyle w:val="hps"/>
          <w:szCs w:val="22"/>
          <w:lang w:val="pt-PT"/>
        </w:rPr>
        <w:t>dose intravenosa de 8 mg/kg</w:t>
      </w:r>
      <w:r w:rsidRPr="002A54AF">
        <w:rPr>
          <w:szCs w:val="22"/>
          <w:lang w:val="pt-PT"/>
        </w:rPr>
        <w:t xml:space="preserve"> </w:t>
      </w:r>
      <w:r w:rsidRPr="002A54AF">
        <w:rPr>
          <w:rStyle w:val="hps"/>
          <w:szCs w:val="22"/>
          <w:lang w:val="pt-PT"/>
        </w:rPr>
        <w:t>intravenosa</w:t>
      </w:r>
      <w:r w:rsidRPr="002A54AF">
        <w:rPr>
          <w:szCs w:val="22"/>
          <w:lang w:val="pt-PT"/>
        </w:rPr>
        <w:t xml:space="preserve"> </w:t>
      </w:r>
      <w:r w:rsidRPr="002A54AF">
        <w:rPr>
          <w:rStyle w:val="hps"/>
          <w:szCs w:val="22"/>
          <w:lang w:val="pt-PT"/>
        </w:rPr>
        <w:t>proporcionará</w:t>
      </w:r>
      <w:r w:rsidRPr="002A54AF">
        <w:rPr>
          <w:szCs w:val="22"/>
          <w:lang w:val="pt-PT"/>
        </w:rPr>
        <w:t xml:space="preserve"> um</w:t>
      </w:r>
      <w:r w:rsidRPr="002A54AF">
        <w:rPr>
          <w:rStyle w:val="hps"/>
          <w:szCs w:val="22"/>
          <w:lang w:val="pt-PT"/>
        </w:rPr>
        <w:t>a exposição</w:t>
      </w:r>
      <w:r w:rsidRPr="002A54AF">
        <w:rPr>
          <w:szCs w:val="22"/>
          <w:lang w:val="pt-PT"/>
        </w:rPr>
        <w:t xml:space="preserve"> ao </w:t>
      </w:r>
      <w:r w:rsidRPr="002A54AF">
        <w:rPr>
          <w:rStyle w:val="hps"/>
          <w:szCs w:val="22"/>
          <w:lang w:val="pt-PT"/>
        </w:rPr>
        <w:t>voriconazol</w:t>
      </w:r>
      <w:r w:rsidRPr="002A54AF">
        <w:rPr>
          <w:szCs w:val="22"/>
          <w:lang w:val="pt-PT"/>
        </w:rPr>
        <w:t xml:space="preserve"> </w:t>
      </w:r>
      <w:r w:rsidRPr="002A54AF">
        <w:rPr>
          <w:rStyle w:val="hps"/>
          <w:szCs w:val="22"/>
          <w:lang w:val="pt-PT"/>
        </w:rPr>
        <w:t>aproximadamente 2 vezes</w:t>
      </w:r>
      <w:r w:rsidRPr="002A54AF">
        <w:rPr>
          <w:szCs w:val="22"/>
          <w:lang w:val="pt-PT"/>
        </w:rPr>
        <w:t xml:space="preserve"> </w:t>
      </w:r>
      <w:r w:rsidRPr="002A54AF">
        <w:rPr>
          <w:rStyle w:val="hps"/>
          <w:szCs w:val="22"/>
          <w:lang w:val="pt-PT"/>
        </w:rPr>
        <w:t>superior</w:t>
      </w:r>
      <w:r w:rsidRPr="002A54AF">
        <w:rPr>
          <w:szCs w:val="22"/>
          <w:lang w:val="pt-PT"/>
        </w:rPr>
        <w:t xml:space="preserve"> do que a dose oral de </w:t>
      </w:r>
      <w:r w:rsidRPr="002A54AF">
        <w:rPr>
          <w:rStyle w:val="hps"/>
          <w:szCs w:val="22"/>
          <w:lang w:val="pt-PT"/>
        </w:rPr>
        <w:t>9</w:t>
      </w:r>
      <w:r w:rsidRPr="002A54AF">
        <w:rPr>
          <w:szCs w:val="22"/>
          <w:lang w:val="pt-PT"/>
        </w:rPr>
        <w:t> </w:t>
      </w:r>
      <w:r w:rsidRPr="002A54AF">
        <w:rPr>
          <w:rStyle w:val="hps"/>
          <w:szCs w:val="22"/>
          <w:lang w:val="pt-PT"/>
        </w:rPr>
        <w:t>mg/kg.</w:t>
      </w:r>
      <w:r w:rsidRPr="002A54AF">
        <w:rPr>
          <w:szCs w:val="22"/>
          <w:lang w:val="pt-PT"/>
        </w:rPr>
        <w:t xml:space="preserve"> A </w:t>
      </w:r>
      <w:r w:rsidRPr="002A54AF">
        <w:rPr>
          <w:rStyle w:val="hps"/>
          <w:szCs w:val="22"/>
          <w:lang w:val="pt-PT"/>
        </w:rPr>
        <w:t>dose</w:t>
      </w:r>
      <w:r w:rsidRPr="002A54AF">
        <w:rPr>
          <w:szCs w:val="22"/>
          <w:lang w:val="pt-PT"/>
        </w:rPr>
        <w:t xml:space="preserve"> </w:t>
      </w:r>
      <w:r w:rsidRPr="002A54AF">
        <w:rPr>
          <w:rStyle w:val="hps"/>
          <w:szCs w:val="22"/>
          <w:lang w:val="pt-PT"/>
        </w:rPr>
        <w:t>de manutenção mais elevada</w:t>
      </w:r>
      <w:r w:rsidRPr="002A54AF">
        <w:rPr>
          <w:szCs w:val="22"/>
          <w:lang w:val="pt-PT"/>
        </w:rPr>
        <w:t xml:space="preserve"> </w:t>
      </w:r>
      <w:r w:rsidRPr="002A54AF">
        <w:rPr>
          <w:rStyle w:val="hps"/>
          <w:szCs w:val="22"/>
          <w:lang w:val="pt-PT"/>
        </w:rPr>
        <w:t>por via intravenosa</w:t>
      </w:r>
      <w:r w:rsidRPr="002A54AF">
        <w:rPr>
          <w:szCs w:val="22"/>
          <w:lang w:val="pt-PT"/>
        </w:rPr>
        <w:t xml:space="preserve"> </w:t>
      </w:r>
      <w:r w:rsidRPr="002A54AF">
        <w:rPr>
          <w:rStyle w:val="hps"/>
          <w:szCs w:val="22"/>
          <w:lang w:val="pt-PT"/>
        </w:rPr>
        <w:t>em doentes pediátricos</w:t>
      </w:r>
      <w:r w:rsidRPr="002A54AF">
        <w:rPr>
          <w:szCs w:val="22"/>
          <w:lang w:val="pt-PT"/>
        </w:rPr>
        <w:t xml:space="preserve"> </w:t>
      </w:r>
      <w:r w:rsidRPr="002A54AF">
        <w:rPr>
          <w:rStyle w:val="hps"/>
          <w:szCs w:val="22"/>
          <w:lang w:val="pt-PT"/>
        </w:rPr>
        <w:t>em relação à dos adultos,</w:t>
      </w:r>
      <w:r w:rsidRPr="002A54AF">
        <w:rPr>
          <w:szCs w:val="22"/>
          <w:lang w:val="pt-PT"/>
        </w:rPr>
        <w:t xml:space="preserve"> </w:t>
      </w:r>
      <w:r w:rsidRPr="002A54AF">
        <w:rPr>
          <w:rStyle w:val="hps"/>
          <w:szCs w:val="22"/>
          <w:lang w:val="pt-PT"/>
        </w:rPr>
        <w:t>reflete a</w:t>
      </w:r>
      <w:r w:rsidRPr="002A54AF">
        <w:rPr>
          <w:szCs w:val="22"/>
          <w:lang w:val="pt-PT"/>
        </w:rPr>
        <w:t xml:space="preserve"> </w:t>
      </w:r>
      <w:r w:rsidRPr="002A54AF">
        <w:rPr>
          <w:rStyle w:val="hps"/>
          <w:szCs w:val="22"/>
          <w:lang w:val="pt-PT"/>
        </w:rPr>
        <w:t>maior capacidade de</w:t>
      </w:r>
      <w:r w:rsidRPr="002A54AF">
        <w:rPr>
          <w:szCs w:val="22"/>
          <w:lang w:val="pt-PT"/>
        </w:rPr>
        <w:t xml:space="preserve"> </w:t>
      </w:r>
      <w:r w:rsidRPr="002A54AF">
        <w:rPr>
          <w:rStyle w:val="hps"/>
          <w:szCs w:val="22"/>
          <w:lang w:val="pt-PT"/>
        </w:rPr>
        <w:t>eliminação</w:t>
      </w:r>
      <w:r w:rsidRPr="002A54AF">
        <w:rPr>
          <w:szCs w:val="22"/>
          <w:lang w:val="pt-PT"/>
        </w:rPr>
        <w:t xml:space="preserve"> </w:t>
      </w:r>
      <w:r w:rsidRPr="002A54AF">
        <w:rPr>
          <w:rStyle w:val="hps"/>
          <w:szCs w:val="22"/>
          <w:lang w:val="pt-PT"/>
        </w:rPr>
        <w:t>em doentes pediátricos</w:t>
      </w:r>
      <w:r w:rsidRPr="002A54AF">
        <w:rPr>
          <w:szCs w:val="22"/>
          <w:lang w:val="pt-PT"/>
        </w:rPr>
        <w:t xml:space="preserve">, devido a uma </w:t>
      </w:r>
      <w:r w:rsidRPr="002A54AF">
        <w:rPr>
          <w:rStyle w:val="hps"/>
          <w:szCs w:val="22"/>
          <w:lang w:val="pt-PT"/>
        </w:rPr>
        <w:t>maior massa</w:t>
      </w:r>
      <w:r w:rsidRPr="002A54AF">
        <w:rPr>
          <w:szCs w:val="22"/>
          <w:lang w:val="pt-PT"/>
        </w:rPr>
        <w:t xml:space="preserve"> </w:t>
      </w:r>
      <w:r w:rsidRPr="002A54AF">
        <w:rPr>
          <w:rStyle w:val="hps"/>
          <w:szCs w:val="22"/>
          <w:lang w:val="pt-PT"/>
        </w:rPr>
        <w:t>hepática</w:t>
      </w:r>
      <w:r w:rsidRPr="002A54AF">
        <w:rPr>
          <w:szCs w:val="22"/>
          <w:lang w:val="pt-PT"/>
        </w:rPr>
        <w:t xml:space="preserve"> </w:t>
      </w:r>
      <w:r w:rsidRPr="002A54AF">
        <w:rPr>
          <w:rStyle w:val="hps"/>
          <w:szCs w:val="22"/>
          <w:lang w:val="pt-PT"/>
        </w:rPr>
        <w:t>em relação à massa</w:t>
      </w:r>
      <w:r w:rsidRPr="002A54AF">
        <w:rPr>
          <w:szCs w:val="22"/>
          <w:lang w:val="pt-PT"/>
        </w:rPr>
        <w:t xml:space="preserve"> </w:t>
      </w:r>
      <w:r w:rsidRPr="002A54AF">
        <w:rPr>
          <w:rStyle w:val="hps"/>
          <w:szCs w:val="22"/>
          <w:lang w:val="pt-PT"/>
        </w:rPr>
        <w:t xml:space="preserve">corporal. </w:t>
      </w:r>
      <w:r w:rsidRPr="002A54AF">
        <w:rPr>
          <w:szCs w:val="22"/>
          <w:lang w:val="pt-PT"/>
        </w:rPr>
        <w:t xml:space="preserve">A biodisponibilidade oral pode ser, contudo, limitada em doentes pediátricos com má absorção e muito baixo peso corporal para a idade. Nesse caso, é recomendada a administração intravenosa de voriconazol. </w:t>
      </w:r>
    </w:p>
    <w:p w14:paraId="6CA66802" w14:textId="77777777" w:rsidR="00011577" w:rsidRPr="002A54AF" w:rsidRDefault="00011577" w:rsidP="00011577">
      <w:pPr>
        <w:tabs>
          <w:tab w:val="left" w:pos="567"/>
        </w:tabs>
        <w:suppressAutoHyphens/>
        <w:rPr>
          <w:rStyle w:val="hps"/>
          <w:szCs w:val="22"/>
          <w:lang w:val="pt-PT"/>
        </w:rPr>
      </w:pPr>
    </w:p>
    <w:p w14:paraId="46F0F47C" w14:textId="77777777" w:rsidR="00011577" w:rsidRPr="002A54AF" w:rsidRDefault="00011577" w:rsidP="00011577">
      <w:pPr>
        <w:tabs>
          <w:tab w:val="left" w:pos="567"/>
        </w:tabs>
        <w:suppressAutoHyphens/>
        <w:rPr>
          <w:szCs w:val="22"/>
          <w:lang w:val="pt-PT"/>
        </w:rPr>
      </w:pPr>
      <w:r w:rsidRPr="002A54AF">
        <w:rPr>
          <w:rStyle w:val="hps"/>
          <w:szCs w:val="22"/>
          <w:lang w:val="pt-PT"/>
        </w:rPr>
        <w:lastRenderedPageBreak/>
        <w:t>As exposições ao</w:t>
      </w:r>
      <w:r w:rsidRPr="002A54AF">
        <w:rPr>
          <w:szCs w:val="22"/>
          <w:lang w:val="pt-PT"/>
        </w:rPr>
        <w:t xml:space="preserve"> </w:t>
      </w:r>
      <w:r w:rsidRPr="002A54AF">
        <w:rPr>
          <w:rStyle w:val="hps"/>
          <w:szCs w:val="22"/>
          <w:lang w:val="pt-PT"/>
        </w:rPr>
        <w:t>voriconazol</w:t>
      </w:r>
      <w:r w:rsidRPr="002A54AF">
        <w:rPr>
          <w:szCs w:val="22"/>
          <w:lang w:val="pt-PT"/>
        </w:rPr>
        <w:t xml:space="preserve"> </w:t>
      </w:r>
      <w:r w:rsidRPr="002A54AF">
        <w:rPr>
          <w:rStyle w:val="hps"/>
          <w:szCs w:val="22"/>
          <w:lang w:val="pt-PT"/>
        </w:rPr>
        <w:t>na maioria dos</w:t>
      </w:r>
      <w:r w:rsidRPr="002A54AF">
        <w:rPr>
          <w:szCs w:val="22"/>
          <w:lang w:val="pt-PT"/>
        </w:rPr>
        <w:t xml:space="preserve"> doentes</w:t>
      </w:r>
      <w:r w:rsidRPr="002A54AF">
        <w:rPr>
          <w:rStyle w:val="hps"/>
          <w:szCs w:val="22"/>
          <w:lang w:val="pt-PT"/>
        </w:rPr>
        <w:t xml:space="preserve"> adolescentes</w:t>
      </w:r>
      <w:r w:rsidRPr="002A54AF">
        <w:rPr>
          <w:szCs w:val="22"/>
          <w:lang w:val="pt-PT"/>
        </w:rPr>
        <w:t xml:space="preserve"> </w:t>
      </w:r>
      <w:r w:rsidRPr="002A54AF">
        <w:rPr>
          <w:rStyle w:val="hps"/>
          <w:szCs w:val="22"/>
          <w:lang w:val="pt-PT"/>
        </w:rPr>
        <w:t>foram</w:t>
      </w:r>
      <w:r w:rsidRPr="002A54AF">
        <w:rPr>
          <w:szCs w:val="22"/>
          <w:lang w:val="pt-PT"/>
        </w:rPr>
        <w:t xml:space="preserve"> </w:t>
      </w:r>
      <w:r w:rsidRPr="002A54AF">
        <w:rPr>
          <w:rStyle w:val="hps"/>
          <w:szCs w:val="22"/>
          <w:lang w:val="pt-PT"/>
        </w:rPr>
        <w:t>comparáveis às dos</w:t>
      </w:r>
      <w:r w:rsidRPr="002A54AF">
        <w:rPr>
          <w:szCs w:val="22"/>
          <w:lang w:val="pt-PT"/>
        </w:rPr>
        <w:t xml:space="preserve"> </w:t>
      </w:r>
      <w:r w:rsidRPr="002A54AF">
        <w:rPr>
          <w:rStyle w:val="hps"/>
          <w:szCs w:val="22"/>
          <w:lang w:val="pt-PT"/>
        </w:rPr>
        <w:t>adultos que receberam</w:t>
      </w:r>
      <w:r w:rsidRPr="002A54AF">
        <w:rPr>
          <w:szCs w:val="22"/>
          <w:lang w:val="pt-PT"/>
        </w:rPr>
        <w:t xml:space="preserve"> </w:t>
      </w:r>
      <w:r w:rsidRPr="002A54AF">
        <w:rPr>
          <w:rStyle w:val="hps"/>
          <w:szCs w:val="22"/>
          <w:lang w:val="pt-PT"/>
        </w:rPr>
        <w:t>os mesmos regimes</w:t>
      </w:r>
      <w:r w:rsidRPr="002A54AF">
        <w:rPr>
          <w:szCs w:val="22"/>
          <w:lang w:val="pt-PT"/>
        </w:rPr>
        <w:t xml:space="preserve"> </w:t>
      </w:r>
      <w:r w:rsidRPr="002A54AF">
        <w:rPr>
          <w:rStyle w:val="hps"/>
          <w:szCs w:val="22"/>
          <w:lang w:val="pt-PT"/>
        </w:rPr>
        <w:t>de dose.</w:t>
      </w:r>
      <w:r w:rsidRPr="002A54AF">
        <w:rPr>
          <w:szCs w:val="22"/>
          <w:lang w:val="pt-PT"/>
        </w:rPr>
        <w:t xml:space="preserve"> </w:t>
      </w:r>
      <w:r w:rsidRPr="002A54AF">
        <w:rPr>
          <w:rStyle w:val="hps"/>
          <w:szCs w:val="22"/>
          <w:lang w:val="pt-PT"/>
        </w:rPr>
        <w:t>No entanto,</w:t>
      </w:r>
      <w:r w:rsidRPr="002A54AF">
        <w:rPr>
          <w:szCs w:val="22"/>
          <w:lang w:val="pt-PT"/>
        </w:rPr>
        <w:t xml:space="preserve"> observou-se uma exposição inferior </w:t>
      </w:r>
      <w:r w:rsidRPr="002A54AF">
        <w:rPr>
          <w:rStyle w:val="hps"/>
          <w:szCs w:val="22"/>
          <w:lang w:val="pt-PT"/>
        </w:rPr>
        <w:t>ao</w:t>
      </w:r>
      <w:r w:rsidRPr="002A54AF">
        <w:rPr>
          <w:szCs w:val="22"/>
          <w:lang w:val="pt-PT"/>
        </w:rPr>
        <w:t xml:space="preserve"> </w:t>
      </w:r>
      <w:r w:rsidRPr="002A54AF">
        <w:rPr>
          <w:rStyle w:val="hps"/>
          <w:szCs w:val="22"/>
          <w:lang w:val="pt-PT"/>
        </w:rPr>
        <w:t>voriconazol</w:t>
      </w:r>
      <w:r w:rsidRPr="002A54AF">
        <w:rPr>
          <w:szCs w:val="22"/>
          <w:lang w:val="pt-PT"/>
        </w:rPr>
        <w:t xml:space="preserve"> </w:t>
      </w:r>
      <w:r w:rsidRPr="002A54AF">
        <w:rPr>
          <w:rStyle w:val="hps"/>
          <w:szCs w:val="22"/>
          <w:lang w:val="pt-PT"/>
        </w:rPr>
        <w:t>em alguns</w:t>
      </w:r>
      <w:r w:rsidRPr="002A54AF">
        <w:rPr>
          <w:szCs w:val="22"/>
          <w:lang w:val="pt-PT"/>
        </w:rPr>
        <w:t xml:space="preserve"> </w:t>
      </w:r>
      <w:r w:rsidRPr="002A54AF">
        <w:rPr>
          <w:rStyle w:val="hps"/>
          <w:szCs w:val="22"/>
          <w:lang w:val="pt-PT"/>
        </w:rPr>
        <w:t>adolescentes</w:t>
      </w:r>
      <w:r w:rsidRPr="002A54AF">
        <w:rPr>
          <w:szCs w:val="22"/>
          <w:lang w:val="pt-PT"/>
        </w:rPr>
        <w:t xml:space="preserve"> </w:t>
      </w:r>
      <w:r w:rsidRPr="002A54AF">
        <w:rPr>
          <w:rStyle w:val="hps"/>
          <w:szCs w:val="22"/>
          <w:lang w:val="pt-PT"/>
        </w:rPr>
        <w:t>jovens com baixo peso corporal,</w:t>
      </w:r>
      <w:r w:rsidRPr="002A54AF">
        <w:rPr>
          <w:szCs w:val="22"/>
          <w:lang w:val="pt-PT"/>
        </w:rPr>
        <w:t xml:space="preserve"> </w:t>
      </w:r>
      <w:r w:rsidRPr="002A54AF">
        <w:rPr>
          <w:rStyle w:val="hps"/>
          <w:szCs w:val="22"/>
          <w:lang w:val="pt-PT"/>
        </w:rPr>
        <w:t>em comparação com</w:t>
      </w:r>
      <w:r w:rsidRPr="002A54AF">
        <w:rPr>
          <w:szCs w:val="22"/>
          <w:lang w:val="pt-PT"/>
        </w:rPr>
        <w:t xml:space="preserve"> os </w:t>
      </w:r>
      <w:r w:rsidRPr="002A54AF">
        <w:rPr>
          <w:rStyle w:val="hps"/>
          <w:szCs w:val="22"/>
          <w:lang w:val="pt-PT"/>
        </w:rPr>
        <w:t>adultos.</w:t>
      </w:r>
      <w:r w:rsidRPr="002A54AF">
        <w:rPr>
          <w:szCs w:val="22"/>
          <w:lang w:val="pt-PT"/>
        </w:rPr>
        <w:t xml:space="preserve"> </w:t>
      </w:r>
      <w:r w:rsidRPr="002A54AF">
        <w:rPr>
          <w:rStyle w:val="hps"/>
          <w:szCs w:val="22"/>
          <w:lang w:val="pt-PT"/>
        </w:rPr>
        <w:t>É provável que</w:t>
      </w:r>
      <w:r w:rsidRPr="002A54AF">
        <w:rPr>
          <w:szCs w:val="22"/>
          <w:lang w:val="pt-PT"/>
        </w:rPr>
        <w:t xml:space="preserve"> </w:t>
      </w:r>
      <w:r w:rsidRPr="002A54AF">
        <w:rPr>
          <w:rStyle w:val="hps"/>
          <w:szCs w:val="22"/>
          <w:lang w:val="pt-PT"/>
        </w:rPr>
        <w:t>estes indivíduos possam</w:t>
      </w:r>
      <w:r w:rsidRPr="002A54AF">
        <w:rPr>
          <w:szCs w:val="22"/>
          <w:lang w:val="pt-PT"/>
        </w:rPr>
        <w:t xml:space="preserve"> </w:t>
      </w:r>
      <w:r w:rsidRPr="002A54AF">
        <w:rPr>
          <w:rStyle w:val="hps"/>
          <w:szCs w:val="22"/>
          <w:lang w:val="pt-PT"/>
        </w:rPr>
        <w:t>metabolizar o voriconazol</w:t>
      </w:r>
      <w:r w:rsidRPr="002A54AF">
        <w:rPr>
          <w:szCs w:val="22"/>
          <w:lang w:val="pt-PT"/>
        </w:rPr>
        <w:t xml:space="preserve"> </w:t>
      </w:r>
      <w:r w:rsidRPr="002A54AF">
        <w:rPr>
          <w:rStyle w:val="hps"/>
          <w:szCs w:val="22"/>
          <w:lang w:val="pt-PT"/>
        </w:rPr>
        <w:t>de modo mais semelhante às crianças do que</w:t>
      </w:r>
      <w:r w:rsidRPr="002A54AF">
        <w:rPr>
          <w:szCs w:val="22"/>
          <w:lang w:val="pt-PT"/>
        </w:rPr>
        <w:t xml:space="preserve"> aos </w:t>
      </w:r>
      <w:r w:rsidRPr="002A54AF">
        <w:rPr>
          <w:rStyle w:val="hps"/>
          <w:szCs w:val="22"/>
          <w:lang w:val="pt-PT"/>
        </w:rPr>
        <w:t>adultos.</w:t>
      </w:r>
      <w:r w:rsidRPr="002A54AF">
        <w:rPr>
          <w:szCs w:val="22"/>
          <w:lang w:val="pt-PT"/>
        </w:rPr>
        <w:t xml:space="preserve"> </w:t>
      </w:r>
      <w:r w:rsidRPr="002A54AF">
        <w:rPr>
          <w:rStyle w:val="hps"/>
          <w:szCs w:val="22"/>
          <w:lang w:val="pt-PT"/>
        </w:rPr>
        <w:t>Com base na análise</w:t>
      </w:r>
      <w:r w:rsidRPr="002A54AF">
        <w:rPr>
          <w:szCs w:val="22"/>
          <w:lang w:val="pt-PT"/>
        </w:rPr>
        <w:t xml:space="preserve"> </w:t>
      </w:r>
      <w:r w:rsidRPr="002A54AF">
        <w:rPr>
          <w:rStyle w:val="hps"/>
          <w:szCs w:val="22"/>
          <w:lang w:val="pt-PT"/>
        </w:rPr>
        <w:t>farmacocinética da população</w:t>
      </w:r>
      <w:r w:rsidRPr="002A54AF">
        <w:rPr>
          <w:szCs w:val="22"/>
          <w:lang w:val="pt-PT"/>
        </w:rPr>
        <w:t>, os adolescentes entre os 12-14 anos com peso inferior</w:t>
      </w:r>
      <w:r w:rsidRPr="002A54AF">
        <w:rPr>
          <w:rStyle w:val="hps"/>
          <w:szCs w:val="22"/>
          <w:lang w:val="pt-PT"/>
        </w:rPr>
        <w:t xml:space="preserve"> a</w:t>
      </w:r>
      <w:r w:rsidRPr="002A54AF">
        <w:rPr>
          <w:szCs w:val="22"/>
          <w:lang w:val="pt-PT"/>
        </w:rPr>
        <w:t xml:space="preserve"> </w:t>
      </w:r>
      <w:r w:rsidRPr="002A54AF">
        <w:rPr>
          <w:rStyle w:val="hps"/>
          <w:szCs w:val="22"/>
          <w:lang w:val="pt-PT"/>
        </w:rPr>
        <w:t>50 kg</w:t>
      </w:r>
      <w:r w:rsidRPr="002A54AF">
        <w:rPr>
          <w:szCs w:val="22"/>
          <w:lang w:val="pt-PT"/>
        </w:rPr>
        <w:t xml:space="preserve"> </w:t>
      </w:r>
      <w:r w:rsidRPr="002A54AF">
        <w:rPr>
          <w:rStyle w:val="hps"/>
          <w:szCs w:val="22"/>
          <w:lang w:val="pt-PT"/>
        </w:rPr>
        <w:t>devem receber</w:t>
      </w:r>
      <w:r w:rsidRPr="002A54AF">
        <w:rPr>
          <w:szCs w:val="22"/>
          <w:lang w:val="pt-PT"/>
        </w:rPr>
        <w:t xml:space="preserve"> </w:t>
      </w:r>
      <w:r w:rsidRPr="002A54AF">
        <w:rPr>
          <w:rStyle w:val="hps"/>
          <w:szCs w:val="22"/>
          <w:lang w:val="pt-PT"/>
        </w:rPr>
        <w:t>doses</w:t>
      </w:r>
      <w:r w:rsidRPr="002A54AF">
        <w:rPr>
          <w:szCs w:val="22"/>
          <w:lang w:val="pt-PT"/>
        </w:rPr>
        <w:t xml:space="preserve"> recomendadas a</w:t>
      </w:r>
      <w:r w:rsidRPr="002A54AF">
        <w:rPr>
          <w:rStyle w:val="hps"/>
          <w:szCs w:val="22"/>
          <w:lang w:val="pt-PT"/>
        </w:rPr>
        <w:t xml:space="preserve"> crianças (</w:t>
      </w:r>
      <w:r w:rsidRPr="002A54AF">
        <w:rPr>
          <w:szCs w:val="22"/>
          <w:lang w:val="pt-PT"/>
        </w:rPr>
        <w:t>ver secção</w:t>
      </w:r>
      <w:r w:rsidR="0017325D" w:rsidRPr="002A54AF">
        <w:rPr>
          <w:szCs w:val="22"/>
          <w:lang w:val="pt-PT"/>
        </w:rPr>
        <w:t> </w:t>
      </w:r>
      <w:r w:rsidRPr="002A54AF">
        <w:rPr>
          <w:szCs w:val="22"/>
          <w:lang w:val="pt-PT"/>
        </w:rPr>
        <w:t>4.2).</w:t>
      </w:r>
    </w:p>
    <w:p w14:paraId="24E01848" w14:textId="77777777" w:rsidR="00011577" w:rsidRPr="002A54AF" w:rsidRDefault="00011577" w:rsidP="00011577">
      <w:pPr>
        <w:tabs>
          <w:tab w:val="left" w:pos="567"/>
        </w:tabs>
        <w:suppressAutoHyphens/>
        <w:rPr>
          <w:szCs w:val="22"/>
          <w:lang w:val="pt-PT"/>
        </w:rPr>
      </w:pPr>
    </w:p>
    <w:p w14:paraId="441056D3" w14:textId="77777777" w:rsidR="00011577" w:rsidRPr="00CB39F3" w:rsidRDefault="00011577" w:rsidP="00011577">
      <w:pPr>
        <w:pStyle w:val="Heading3"/>
        <w:keepNext w:val="0"/>
        <w:tabs>
          <w:tab w:val="clear" w:pos="570"/>
          <w:tab w:val="left" w:pos="567"/>
        </w:tabs>
        <w:ind w:left="0" w:firstLine="0"/>
        <w:rPr>
          <w:b w:val="0"/>
          <w:i/>
          <w:szCs w:val="22"/>
        </w:rPr>
      </w:pPr>
      <w:r w:rsidRPr="00CB39F3">
        <w:rPr>
          <w:b w:val="0"/>
          <w:i/>
          <w:szCs w:val="22"/>
        </w:rPr>
        <w:t>Compromisso Renal</w:t>
      </w:r>
    </w:p>
    <w:p w14:paraId="41DFC03B" w14:textId="77777777" w:rsidR="00011577" w:rsidRPr="002A54AF" w:rsidRDefault="00011577" w:rsidP="00011577">
      <w:pPr>
        <w:tabs>
          <w:tab w:val="left" w:pos="567"/>
        </w:tabs>
        <w:suppressAutoHyphens/>
        <w:rPr>
          <w:szCs w:val="22"/>
          <w:lang w:val="pt-PT"/>
        </w:rPr>
      </w:pPr>
      <w:r w:rsidRPr="002A54AF">
        <w:rPr>
          <w:szCs w:val="22"/>
          <w:lang w:val="pt-PT"/>
        </w:rPr>
        <w:t xml:space="preserve">Num estudo de dose oral única (200 mg) em indivíduos com função renal normal e compromisso renal ligeira (depuração da creatinina 41-60 ml/min) a grave (depuração da creatinina &lt; 20 ml/min), a farmacocinética do voriconazol não foi significativamente alterada pela compromisso renal. A ligação do voriconazol às proteínas plasmáticas foi semelhante em indivíduos com diferentes graus de compromisso renal. </w:t>
      </w:r>
      <w:r w:rsidR="009759FC" w:rsidRPr="002A54AF">
        <w:rPr>
          <w:szCs w:val="22"/>
          <w:lang w:val="pt-PT"/>
        </w:rPr>
        <w:t xml:space="preserve">(ver </w:t>
      </w:r>
      <w:r w:rsidRPr="002A54AF">
        <w:rPr>
          <w:szCs w:val="22"/>
          <w:lang w:val="pt-PT"/>
        </w:rPr>
        <w:t>secções 4.2 e</w:t>
      </w:r>
      <w:r w:rsidR="00B44BBD">
        <w:rPr>
          <w:szCs w:val="22"/>
          <w:lang w:val="pt-PT"/>
        </w:rPr>
        <w:t> </w:t>
      </w:r>
      <w:r w:rsidRPr="002A54AF">
        <w:rPr>
          <w:szCs w:val="22"/>
          <w:lang w:val="pt-PT"/>
        </w:rPr>
        <w:t>4.4</w:t>
      </w:r>
      <w:r w:rsidR="009759FC" w:rsidRPr="002A54AF">
        <w:rPr>
          <w:szCs w:val="22"/>
          <w:lang w:val="pt-PT"/>
        </w:rPr>
        <w:t>)</w:t>
      </w:r>
      <w:r w:rsidRPr="002A54AF">
        <w:rPr>
          <w:szCs w:val="22"/>
          <w:lang w:val="pt-PT"/>
        </w:rPr>
        <w:t>.</w:t>
      </w:r>
    </w:p>
    <w:p w14:paraId="3FDE80A2" w14:textId="77777777" w:rsidR="00011577" w:rsidRPr="002A54AF" w:rsidRDefault="00011577" w:rsidP="00011577">
      <w:pPr>
        <w:tabs>
          <w:tab w:val="left" w:pos="567"/>
        </w:tabs>
        <w:suppressAutoHyphens/>
        <w:rPr>
          <w:szCs w:val="22"/>
          <w:lang w:val="pt-PT"/>
        </w:rPr>
      </w:pPr>
    </w:p>
    <w:p w14:paraId="55F9A197" w14:textId="77777777" w:rsidR="003C075F" w:rsidRPr="00CB39F3" w:rsidRDefault="003C075F" w:rsidP="003C075F">
      <w:pPr>
        <w:pStyle w:val="Heading5"/>
        <w:keepNext w:val="0"/>
        <w:tabs>
          <w:tab w:val="left" w:pos="567"/>
        </w:tabs>
        <w:rPr>
          <w:b w:val="0"/>
          <w:i/>
        </w:rPr>
      </w:pPr>
      <w:r w:rsidRPr="00CB39F3">
        <w:rPr>
          <w:b w:val="0"/>
          <w:i/>
        </w:rPr>
        <w:t>Compromisso Hepático</w:t>
      </w:r>
    </w:p>
    <w:p w14:paraId="64B8F66B" w14:textId="77777777" w:rsidR="00011577" w:rsidRPr="002A54AF" w:rsidRDefault="00011577" w:rsidP="00011577">
      <w:pPr>
        <w:tabs>
          <w:tab w:val="left" w:pos="567"/>
        </w:tabs>
        <w:suppressAutoHyphens/>
        <w:rPr>
          <w:szCs w:val="22"/>
          <w:lang w:val="pt-PT"/>
        </w:rPr>
      </w:pPr>
      <w:r w:rsidRPr="002A54AF">
        <w:rPr>
          <w:szCs w:val="22"/>
          <w:lang w:val="pt-PT"/>
        </w:rPr>
        <w:t>Após a administração de uma dose oral única (200 mg), a AUC foi 233 % superior em indivíduos com cirrose hepática ligeira a moderada (Child-Pugh A e B) em relação aos indivíduos com função hepática normal. A ligação do voriconazol às proteínas não foi alterada pela afeção hepática.</w:t>
      </w:r>
    </w:p>
    <w:p w14:paraId="26D25B89" w14:textId="77777777" w:rsidR="00011577" w:rsidRPr="002A54AF" w:rsidRDefault="00011577" w:rsidP="00011577">
      <w:pPr>
        <w:tabs>
          <w:tab w:val="left" w:pos="567"/>
        </w:tabs>
        <w:suppressAutoHyphens/>
        <w:rPr>
          <w:szCs w:val="22"/>
          <w:lang w:val="pt-PT"/>
        </w:rPr>
      </w:pPr>
    </w:p>
    <w:p w14:paraId="6F0E697D" w14:textId="77777777" w:rsidR="00011577" w:rsidRPr="002A54AF" w:rsidRDefault="00011577" w:rsidP="00011577">
      <w:pPr>
        <w:tabs>
          <w:tab w:val="left" w:pos="567"/>
        </w:tabs>
        <w:suppressAutoHyphens/>
        <w:rPr>
          <w:szCs w:val="22"/>
          <w:lang w:val="pt-PT"/>
        </w:rPr>
      </w:pPr>
      <w:r w:rsidRPr="002A54AF">
        <w:rPr>
          <w:szCs w:val="22"/>
          <w:lang w:val="pt-PT"/>
        </w:rPr>
        <w:t>Num estudo oral de dose múltipla, a AUC</w:t>
      </w:r>
      <w:r w:rsidRPr="002A54AF">
        <w:rPr>
          <w:szCs w:val="22"/>
          <w:vertAlign w:val="subscript"/>
          <w:lang w:val="pt-PT"/>
        </w:rPr>
        <w:t xml:space="preserve"> </w:t>
      </w:r>
      <w:r w:rsidRPr="002A54AF">
        <w:rPr>
          <w:szCs w:val="22"/>
          <w:lang w:val="pt-PT"/>
        </w:rPr>
        <w:t>foi similar em indivíduos com cirrose hepática moderada (Child-Pugh B) aos quais foi administrada a dose de manutenção de 100 mg duas vezes por dia e em indivíduos com função hepática normal, aos quais foram administrados 200 mg duas vezes por dia. Não estão disponíveis dados de farmacocinética para doentes com cirrose hepática grave (Child-Pugh C) (ver secções 4.2 e 4.4).</w:t>
      </w:r>
    </w:p>
    <w:p w14:paraId="16F1CEA2" w14:textId="77777777" w:rsidR="00011577" w:rsidRPr="002A54AF" w:rsidRDefault="00011577" w:rsidP="00011577">
      <w:pPr>
        <w:tabs>
          <w:tab w:val="left" w:pos="567"/>
        </w:tabs>
        <w:suppressAutoHyphens/>
        <w:rPr>
          <w:szCs w:val="22"/>
          <w:lang w:val="pt-PT"/>
        </w:rPr>
      </w:pPr>
    </w:p>
    <w:p w14:paraId="5590D7D2" w14:textId="77777777" w:rsidR="00011577" w:rsidRPr="002A54AF" w:rsidRDefault="00011577" w:rsidP="00011577">
      <w:pPr>
        <w:keepNext/>
        <w:tabs>
          <w:tab w:val="left" w:pos="567"/>
        </w:tabs>
        <w:suppressAutoHyphens/>
        <w:rPr>
          <w:szCs w:val="22"/>
          <w:lang w:val="pt-PT"/>
        </w:rPr>
      </w:pPr>
      <w:r w:rsidRPr="002A54AF">
        <w:rPr>
          <w:b/>
          <w:szCs w:val="22"/>
          <w:lang w:val="pt-PT"/>
        </w:rPr>
        <w:t>5.3</w:t>
      </w:r>
      <w:r w:rsidRPr="002A54AF">
        <w:rPr>
          <w:b/>
          <w:szCs w:val="22"/>
          <w:lang w:val="pt-PT"/>
        </w:rPr>
        <w:tab/>
        <w:t>Dados de segurança pré-clínica</w:t>
      </w:r>
    </w:p>
    <w:p w14:paraId="30B46B42" w14:textId="77777777" w:rsidR="00011577" w:rsidRPr="002A54AF" w:rsidRDefault="00011577" w:rsidP="00011577">
      <w:pPr>
        <w:keepNext/>
        <w:tabs>
          <w:tab w:val="left" w:pos="567"/>
        </w:tabs>
        <w:rPr>
          <w:szCs w:val="22"/>
          <w:lang w:val="pt-PT"/>
        </w:rPr>
      </w:pPr>
    </w:p>
    <w:p w14:paraId="14837FE5" w14:textId="77777777" w:rsidR="00011577" w:rsidRPr="002A54AF" w:rsidRDefault="00011577" w:rsidP="00011577">
      <w:pPr>
        <w:keepNext/>
        <w:tabs>
          <w:tab w:val="left" w:pos="567"/>
        </w:tabs>
        <w:rPr>
          <w:szCs w:val="22"/>
          <w:lang w:val="pt-PT"/>
        </w:rPr>
      </w:pPr>
      <w:r w:rsidRPr="002A54AF">
        <w:rPr>
          <w:szCs w:val="22"/>
          <w:lang w:val="pt-PT"/>
        </w:rPr>
        <w:t xml:space="preserve">Os estudos de toxicidade por doses repetidas com voriconazol revelaram que o fígado é o orgão alvo. </w:t>
      </w:r>
    </w:p>
    <w:p w14:paraId="13CE4185" w14:textId="77777777" w:rsidR="00011577" w:rsidRPr="002A54AF" w:rsidRDefault="00011577" w:rsidP="00011577">
      <w:pPr>
        <w:keepNext/>
        <w:tabs>
          <w:tab w:val="left" w:pos="567"/>
        </w:tabs>
        <w:rPr>
          <w:szCs w:val="22"/>
          <w:lang w:val="pt-PT"/>
        </w:rPr>
      </w:pPr>
      <w:r w:rsidRPr="002A54AF">
        <w:rPr>
          <w:szCs w:val="22"/>
          <w:lang w:val="pt-PT"/>
        </w:rPr>
        <w:t>À semelhança de outros agentes antifúngicos, ocorreu hepatotoxicidade com exposições plasmáticas semelhantes às obtidas com doses terapêuticas no ser humano. No rato, ratinho e cão, o voriconazol induziu igualmente alterações suprarrenais mínimas. Estudos convencionais de farmacologia de segurança, genotoxicidade ou potencial carcinogénico, não revelaram perigo especial para o ser humano.</w:t>
      </w:r>
    </w:p>
    <w:p w14:paraId="6AB4502C" w14:textId="77777777" w:rsidR="00011577" w:rsidRPr="002A54AF" w:rsidRDefault="00011577" w:rsidP="00011577">
      <w:pPr>
        <w:tabs>
          <w:tab w:val="left" w:pos="567"/>
        </w:tabs>
        <w:rPr>
          <w:szCs w:val="22"/>
          <w:lang w:val="pt-PT"/>
        </w:rPr>
      </w:pPr>
    </w:p>
    <w:p w14:paraId="2274A56B" w14:textId="77777777" w:rsidR="00011577" w:rsidRPr="002A54AF" w:rsidRDefault="00011577" w:rsidP="00011577">
      <w:pPr>
        <w:tabs>
          <w:tab w:val="left" w:pos="567"/>
        </w:tabs>
        <w:rPr>
          <w:szCs w:val="22"/>
          <w:lang w:val="pt-PT"/>
        </w:rPr>
      </w:pPr>
      <w:r w:rsidRPr="002A54AF">
        <w:rPr>
          <w:szCs w:val="22"/>
          <w:lang w:val="pt-PT"/>
        </w:rPr>
        <w:t xml:space="preserve">Em estudos de reprodução, verificou-se que o voriconazol é teratogénico em ratos e embriotóxico em coelhos para exposições sistémicas iguais às obtidas no ser humano após administração de doses terapêuticas. No estudo de desenvolvimento pré- e pós-natal em ratos para exposições inferiores às obtidas no ser humano após administração de doses terapêuticas, o voriconazol prolongou a duração do período de gestação e trabalho de parto e produziu distocia com consequente mortalidade materna e redução da sobrevida perinatal das crias. Os efeitos sobre o trabalho de parto são provavelmente mediados por mecanismos específicos da espécie, envolvendo redução dos níveis de estradiol, e são consistentes com os observados com outros agentes antifungicos azólicos. </w:t>
      </w:r>
      <w:r w:rsidRPr="002A54AF">
        <w:rPr>
          <w:bCs/>
          <w:szCs w:val="22"/>
          <w:lang w:val="pt-PT"/>
        </w:rPr>
        <w:t>A administração de v</w:t>
      </w:r>
      <w:r w:rsidRPr="002A54AF">
        <w:rPr>
          <w:szCs w:val="22"/>
          <w:lang w:val="pt-PT"/>
        </w:rPr>
        <w:t>oriconazol não induziu diminuição da fertilidade masculina ou feminina em ratos, com exposições semelhantes às obtidas em humanos em doses terapêuticas.</w:t>
      </w:r>
    </w:p>
    <w:p w14:paraId="6FFAAFE4" w14:textId="77777777" w:rsidR="00011577" w:rsidRPr="002A54AF" w:rsidRDefault="00011577" w:rsidP="00011577">
      <w:pPr>
        <w:tabs>
          <w:tab w:val="left" w:pos="567"/>
        </w:tabs>
        <w:suppressAutoHyphens/>
        <w:rPr>
          <w:szCs w:val="22"/>
          <w:lang w:val="pt-PT"/>
        </w:rPr>
      </w:pPr>
    </w:p>
    <w:p w14:paraId="7F3ABC9A" w14:textId="77777777" w:rsidR="00011577" w:rsidRPr="002A54AF" w:rsidRDefault="00011577" w:rsidP="00011577">
      <w:pPr>
        <w:tabs>
          <w:tab w:val="left" w:pos="567"/>
        </w:tabs>
        <w:suppressAutoHyphens/>
        <w:rPr>
          <w:szCs w:val="22"/>
          <w:lang w:val="pt-PT"/>
        </w:rPr>
      </w:pPr>
    </w:p>
    <w:p w14:paraId="0B626D0A" w14:textId="77777777" w:rsidR="00011577" w:rsidRPr="002A54AF" w:rsidRDefault="00011577" w:rsidP="00011577">
      <w:pPr>
        <w:keepNext/>
        <w:tabs>
          <w:tab w:val="left" w:pos="567"/>
        </w:tabs>
        <w:suppressAutoHyphens/>
        <w:rPr>
          <w:szCs w:val="22"/>
          <w:lang w:val="pt-PT"/>
        </w:rPr>
      </w:pPr>
      <w:r w:rsidRPr="002A54AF">
        <w:rPr>
          <w:b/>
          <w:szCs w:val="22"/>
          <w:lang w:val="pt-PT"/>
        </w:rPr>
        <w:t>6.</w:t>
      </w:r>
      <w:r w:rsidRPr="002A54AF">
        <w:rPr>
          <w:b/>
          <w:szCs w:val="22"/>
          <w:lang w:val="pt-PT"/>
        </w:rPr>
        <w:tab/>
        <w:t>INFORMAÇÕES FARMACÊUTICAS</w:t>
      </w:r>
    </w:p>
    <w:p w14:paraId="59FDCD4E" w14:textId="77777777" w:rsidR="00011577" w:rsidRPr="002A54AF" w:rsidRDefault="00011577" w:rsidP="00011577">
      <w:pPr>
        <w:keepNext/>
        <w:tabs>
          <w:tab w:val="left" w:pos="567"/>
        </w:tabs>
        <w:suppressAutoHyphens/>
        <w:rPr>
          <w:szCs w:val="22"/>
          <w:lang w:val="pt-PT"/>
        </w:rPr>
      </w:pPr>
    </w:p>
    <w:p w14:paraId="78BA1DC5" w14:textId="77777777" w:rsidR="00011577" w:rsidRPr="002A54AF" w:rsidRDefault="00011577" w:rsidP="00011577">
      <w:pPr>
        <w:keepNext/>
        <w:tabs>
          <w:tab w:val="left" w:pos="567"/>
        </w:tabs>
        <w:suppressAutoHyphens/>
        <w:rPr>
          <w:szCs w:val="22"/>
          <w:lang w:val="pt-PT"/>
        </w:rPr>
      </w:pPr>
      <w:r w:rsidRPr="002A54AF">
        <w:rPr>
          <w:b/>
          <w:szCs w:val="22"/>
          <w:lang w:val="pt-PT"/>
        </w:rPr>
        <w:t>6.1.</w:t>
      </w:r>
      <w:r w:rsidRPr="002A54AF">
        <w:rPr>
          <w:b/>
          <w:szCs w:val="22"/>
          <w:lang w:val="pt-PT"/>
        </w:rPr>
        <w:tab/>
        <w:t>Lista dos excipientes</w:t>
      </w:r>
    </w:p>
    <w:p w14:paraId="1715191D" w14:textId="77777777" w:rsidR="00011577" w:rsidRPr="002A54AF" w:rsidRDefault="00011577" w:rsidP="00011577">
      <w:pPr>
        <w:tabs>
          <w:tab w:val="left" w:pos="567"/>
        </w:tabs>
        <w:suppressAutoHyphens/>
        <w:rPr>
          <w:szCs w:val="22"/>
          <w:lang w:val="pt-PT"/>
        </w:rPr>
      </w:pPr>
    </w:p>
    <w:p w14:paraId="1F711B78" w14:textId="77777777" w:rsidR="00011577" w:rsidRDefault="00011577" w:rsidP="00011577">
      <w:pPr>
        <w:tabs>
          <w:tab w:val="left" w:pos="567"/>
        </w:tabs>
        <w:suppressAutoHyphens/>
        <w:rPr>
          <w:szCs w:val="22"/>
          <w:u w:val="single"/>
          <w:lang w:val="pt-PT"/>
        </w:rPr>
      </w:pPr>
      <w:r w:rsidRPr="002A54AF">
        <w:rPr>
          <w:szCs w:val="22"/>
          <w:u w:val="single"/>
          <w:lang w:val="pt-PT"/>
        </w:rPr>
        <w:t>Núcleo do comprimido</w:t>
      </w:r>
    </w:p>
    <w:p w14:paraId="51378B55" w14:textId="77777777" w:rsidR="00DF4748" w:rsidRPr="002A54AF" w:rsidRDefault="00DF4748" w:rsidP="00011577">
      <w:pPr>
        <w:tabs>
          <w:tab w:val="left" w:pos="567"/>
        </w:tabs>
        <w:suppressAutoHyphens/>
        <w:rPr>
          <w:szCs w:val="22"/>
          <w:u w:val="single"/>
          <w:lang w:val="pt-PT"/>
        </w:rPr>
      </w:pPr>
    </w:p>
    <w:p w14:paraId="5AE91352" w14:textId="77777777" w:rsidR="00011577" w:rsidRPr="002A54AF" w:rsidRDefault="00011577" w:rsidP="00011577">
      <w:pPr>
        <w:tabs>
          <w:tab w:val="left" w:pos="567"/>
        </w:tabs>
        <w:suppressAutoHyphens/>
        <w:rPr>
          <w:szCs w:val="22"/>
          <w:lang w:val="pt-PT"/>
        </w:rPr>
      </w:pPr>
      <w:r w:rsidRPr="002A54AF">
        <w:rPr>
          <w:szCs w:val="22"/>
          <w:lang w:val="pt-PT"/>
        </w:rPr>
        <w:t>Lactose mono-hidratada</w:t>
      </w:r>
    </w:p>
    <w:p w14:paraId="3A9709A8" w14:textId="77777777" w:rsidR="00011577" w:rsidRPr="002A54AF" w:rsidRDefault="00011577" w:rsidP="00011577">
      <w:pPr>
        <w:tabs>
          <w:tab w:val="left" w:pos="567"/>
        </w:tabs>
        <w:suppressAutoHyphens/>
        <w:rPr>
          <w:szCs w:val="22"/>
          <w:lang w:val="pt-PT"/>
        </w:rPr>
      </w:pPr>
      <w:r w:rsidRPr="002A54AF">
        <w:rPr>
          <w:szCs w:val="22"/>
          <w:lang w:val="pt-PT"/>
        </w:rPr>
        <w:t>Amido pré-gelificado</w:t>
      </w:r>
    </w:p>
    <w:p w14:paraId="4F5A35D7" w14:textId="77777777" w:rsidR="00011577" w:rsidRPr="002A54AF" w:rsidRDefault="00011577" w:rsidP="00011577">
      <w:pPr>
        <w:tabs>
          <w:tab w:val="left" w:pos="567"/>
        </w:tabs>
        <w:suppressAutoHyphens/>
        <w:rPr>
          <w:szCs w:val="22"/>
          <w:lang w:val="pt-PT"/>
        </w:rPr>
      </w:pPr>
      <w:r w:rsidRPr="002A54AF">
        <w:rPr>
          <w:szCs w:val="22"/>
          <w:lang w:val="pt-PT"/>
        </w:rPr>
        <w:t>Croscarmelose sódica</w:t>
      </w:r>
    </w:p>
    <w:p w14:paraId="52D061B4" w14:textId="77777777" w:rsidR="00011577" w:rsidRPr="002A54AF" w:rsidRDefault="00011577" w:rsidP="00011577">
      <w:pPr>
        <w:tabs>
          <w:tab w:val="left" w:pos="567"/>
        </w:tabs>
        <w:suppressAutoHyphens/>
        <w:rPr>
          <w:szCs w:val="22"/>
          <w:lang w:val="pt-PT"/>
        </w:rPr>
      </w:pPr>
      <w:r w:rsidRPr="002A54AF">
        <w:rPr>
          <w:szCs w:val="22"/>
          <w:lang w:val="pt-PT"/>
        </w:rPr>
        <w:t>Povidona</w:t>
      </w:r>
    </w:p>
    <w:p w14:paraId="1F41261C" w14:textId="77777777" w:rsidR="00011577" w:rsidRPr="002A54AF" w:rsidRDefault="00011577" w:rsidP="00011577">
      <w:pPr>
        <w:tabs>
          <w:tab w:val="left" w:pos="567"/>
        </w:tabs>
        <w:suppressAutoHyphens/>
        <w:rPr>
          <w:szCs w:val="22"/>
          <w:lang w:val="pt-PT"/>
        </w:rPr>
      </w:pPr>
      <w:r w:rsidRPr="002A54AF">
        <w:rPr>
          <w:szCs w:val="22"/>
          <w:lang w:val="pt-PT"/>
        </w:rPr>
        <w:lastRenderedPageBreak/>
        <w:t>Estearato de magnésio</w:t>
      </w:r>
    </w:p>
    <w:p w14:paraId="215FD358" w14:textId="77777777" w:rsidR="00011577" w:rsidRPr="00AE78B4" w:rsidRDefault="00011577" w:rsidP="00011577">
      <w:pPr>
        <w:tabs>
          <w:tab w:val="left" w:pos="567"/>
        </w:tabs>
        <w:suppressAutoHyphens/>
        <w:rPr>
          <w:sz w:val="16"/>
          <w:szCs w:val="22"/>
          <w:lang w:val="pt-PT"/>
        </w:rPr>
      </w:pPr>
    </w:p>
    <w:p w14:paraId="743BA245" w14:textId="77777777" w:rsidR="00011577" w:rsidRDefault="00011577" w:rsidP="00011577">
      <w:pPr>
        <w:tabs>
          <w:tab w:val="left" w:pos="567"/>
        </w:tabs>
        <w:suppressAutoHyphens/>
        <w:rPr>
          <w:szCs w:val="22"/>
          <w:u w:val="single"/>
          <w:lang w:val="pt-PT"/>
        </w:rPr>
      </w:pPr>
      <w:r w:rsidRPr="002A54AF">
        <w:rPr>
          <w:szCs w:val="22"/>
          <w:u w:val="single"/>
          <w:lang w:val="pt-PT"/>
        </w:rPr>
        <w:t>Revestimento por película</w:t>
      </w:r>
    </w:p>
    <w:p w14:paraId="2ECD1FF6" w14:textId="77777777" w:rsidR="00DF4748" w:rsidRPr="002A54AF" w:rsidRDefault="00DF4748" w:rsidP="00011577">
      <w:pPr>
        <w:tabs>
          <w:tab w:val="left" w:pos="567"/>
        </w:tabs>
        <w:suppressAutoHyphens/>
        <w:rPr>
          <w:szCs w:val="22"/>
          <w:u w:val="single"/>
          <w:lang w:val="pt-PT"/>
        </w:rPr>
      </w:pPr>
    </w:p>
    <w:p w14:paraId="0E4FF39E" w14:textId="77777777" w:rsidR="00011577" w:rsidRPr="002A54AF" w:rsidRDefault="00011577" w:rsidP="00011577">
      <w:pPr>
        <w:tabs>
          <w:tab w:val="left" w:pos="567"/>
        </w:tabs>
        <w:suppressAutoHyphens/>
        <w:rPr>
          <w:szCs w:val="22"/>
          <w:lang w:val="pt-PT"/>
        </w:rPr>
      </w:pPr>
      <w:r w:rsidRPr="002A54AF">
        <w:rPr>
          <w:szCs w:val="22"/>
          <w:lang w:val="pt-PT"/>
        </w:rPr>
        <w:t>Hipromelose</w:t>
      </w:r>
    </w:p>
    <w:p w14:paraId="2C41A04F" w14:textId="77777777" w:rsidR="00011577" w:rsidRPr="002A54AF" w:rsidRDefault="00011577" w:rsidP="00011577">
      <w:pPr>
        <w:tabs>
          <w:tab w:val="left" w:pos="567"/>
        </w:tabs>
        <w:suppressAutoHyphens/>
        <w:rPr>
          <w:szCs w:val="22"/>
          <w:lang w:val="pt-PT"/>
        </w:rPr>
      </w:pPr>
      <w:r w:rsidRPr="002A54AF">
        <w:rPr>
          <w:szCs w:val="22"/>
          <w:lang w:val="pt-PT"/>
        </w:rPr>
        <w:t>Dióxido de titânio</w:t>
      </w:r>
      <w:r w:rsidR="00E951C7">
        <w:rPr>
          <w:szCs w:val="22"/>
          <w:lang w:val="pt-PT"/>
        </w:rPr>
        <w:t xml:space="preserve"> (E171)</w:t>
      </w:r>
    </w:p>
    <w:p w14:paraId="6CAFBB1B" w14:textId="77777777" w:rsidR="00011577" w:rsidRPr="002A54AF" w:rsidRDefault="00011577" w:rsidP="00011577">
      <w:pPr>
        <w:tabs>
          <w:tab w:val="left" w:pos="567"/>
        </w:tabs>
        <w:suppressAutoHyphens/>
        <w:rPr>
          <w:szCs w:val="22"/>
          <w:lang w:val="pt-PT"/>
        </w:rPr>
      </w:pPr>
      <w:r w:rsidRPr="002A54AF">
        <w:rPr>
          <w:szCs w:val="22"/>
          <w:lang w:val="pt-PT"/>
        </w:rPr>
        <w:t>Lactose mono-hidratada</w:t>
      </w:r>
    </w:p>
    <w:p w14:paraId="2CA9F4CB" w14:textId="77777777" w:rsidR="00011577" w:rsidRPr="002A54AF" w:rsidRDefault="00011577" w:rsidP="00011577">
      <w:pPr>
        <w:tabs>
          <w:tab w:val="left" w:pos="567"/>
        </w:tabs>
        <w:suppressAutoHyphens/>
        <w:rPr>
          <w:szCs w:val="22"/>
          <w:lang w:val="pt-PT"/>
        </w:rPr>
      </w:pPr>
      <w:r w:rsidRPr="002A54AF">
        <w:rPr>
          <w:szCs w:val="22"/>
          <w:lang w:val="pt-PT"/>
        </w:rPr>
        <w:t>Triacetina</w:t>
      </w:r>
    </w:p>
    <w:p w14:paraId="0F20DE80" w14:textId="77777777" w:rsidR="005110B9" w:rsidRPr="002A54AF" w:rsidRDefault="005110B9" w:rsidP="00DF4748">
      <w:pPr>
        <w:tabs>
          <w:tab w:val="left" w:pos="567"/>
        </w:tabs>
        <w:suppressAutoHyphens/>
        <w:rPr>
          <w:szCs w:val="22"/>
          <w:lang w:val="pt-PT"/>
        </w:rPr>
      </w:pPr>
    </w:p>
    <w:p w14:paraId="7B04844D" w14:textId="77777777" w:rsidR="00011577" w:rsidRPr="002A54AF" w:rsidRDefault="00011577" w:rsidP="00011577">
      <w:pPr>
        <w:tabs>
          <w:tab w:val="left" w:pos="567"/>
        </w:tabs>
        <w:suppressAutoHyphens/>
        <w:rPr>
          <w:szCs w:val="22"/>
          <w:lang w:val="pt-PT"/>
        </w:rPr>
      </w:pPr>
      <w:r w:rsidRPr="002A54AF">
        <w:rPr>
          <w:b/>
          <w:szCs w:val="22"/>
          <w:lang w:val="pt-PT"/>
        </w:rPr>
        <w:t>6.2</w:t>
      </w:r>
      <w:r w:rsidRPr="002A54AF">
        <w:rPr>
          <w:b/>
          <w:szCs w:val="22"/>
          <w:lang w:val="pt-PT"/>
        </w:rPr>
        <w:tab/>
        <w:t>Incompatibilidades</w:t>
      </w:r>
    </w:p>
    <w:p w14:paraId="775479D3" w14:textId="77777777" w:rsidR="00011577" w:rsidRPr="002A54AF" w:rsidRDefault="00011577" w:rsidP="00011577">
      <w:pPr>
        <w:tabs>
          <w:tab w:val="left" w:pos="567"/>
        </w:tabs>
        <w:suppressAutoHyphens/>
        <w:rPr>
          <w:szCs w:val="22"/>
          <w:lang w:val="pt-PT"/>
        </w:rPr>
      </w:pPr>
    </w:p>
    <w:p w14:paraId="7ED29D98" w14:textId="77777777" w:rsidR="00011577" w:rsidRPr="002A54AF" w:rsidRDefault="00011577" w:rsidP="00011577">
      <w:pPr>
        <w:tabs>
          <w:tab w:val="left" w:pos="567"/>
        </w:tabs>
        <w:suppressAutoHyphens/>
        <w:rPr>
          <w:szCs w:val="22"/>
          <w:lang w:val="pt-PT"/>
        </w:rPr>
      </w:pPr>
      <w:r w:rsidRPr="002A54AF">
        <w:rPr>
          <w:szCs w:val="22"/>
          <w:lang w:val="pt-PT"/>
        </w:rPr>
        <w:t>Não aplicável</w:t>
      </w:r>
    </w:p>
    <w:p w14:paraId="70F4B97E" w14:textId="77777777" w:rsidR="00011577" w:rsidRPr="002A54AF" w:rsidRDefault="00011577" w:rsidP="00011577">
      <w:pPr>
        <w:tabs>
          <w:tab w:val="left" w:pos="567"/>
        </w:tabs>
        <w:suppressAutoHyphens/>
        <w:rPr>
          <w:szCs w:val="22"/>
          <w:lang w:val="pt-PT"/>
        </w:rPr>
      </w:pPr>
    </w:p>
    <w:p w14:paraId="777CF88D" w14:textId="77777777" w:rsidR="00011577" w:rsidRPr="002A54AF" w:rsidRDefault="00011577" w:rsidP="00011577">
      <w:pPr>
        <w:keepNext/>
        <w:tabs>
          <w:tab w:val="left" w:pos="567"/>
        </w:tabs>
        <w:suppressAutoHyphens/>
        <w:rPr>
          <w:szCs w:val="22"/>
          <w:lang w:val="pt-PT"/>
        </w:rPr>
      </w:pPr>
      <w:r w:rsidRPr="002A54AF">
        <w:rPr>
          <w:b/>
          <w:szCs w:val="22"/>
          <w:lang w:val="pt-PT"/>
        </w:rPr>
        <w:t>6.3</w:t>
      </w:r>
      <w:r w:rsidRPr="002A54AF">
        <w:rPr>
          <w:b/>
          <w:szCs w:val="22"/>
          <w:lang w:val="pt-PT"/>
        </w:rPr>
        <w:tab/>
        <w:t>Prazo de validade</w:t>
      </w:r>
    </w:p>
    <w:p w14:paraId="10583B14" w14:textId="77777777" w:rsidR="00011577" w:rsidRPr="002A54AF" w:rsidRDefault="00011577" w:rsidP="00011577">
      <w:pPr>
        <w:keepNext/>
        <w:tabs>
          <w:tab w:val="left" w:pos="567"/>
        </w:tabs>
        <w:suppressAutoHyphens/>
        <w:rPr>
          <w:szCs w:val="22"/>
          <w:lang w:val="pt-PT"/>
        </w:rPr>
      </w:pPr>
    </w:p>
    <w:p w14:paraId="23DF1980" w14:textId="77777777" w:rsidR="00011577" w:rsidRPr="002A54AF" w:rsidRDefault="00A060F3" w:rsidP="00011577">
      <w:pPr>
        <w:keepNext/>
        <w:tabs>
          <w:tab w:val="left" w:pos="567"/>
        </w:tabs>
        <w:suppressAutoHyphens/>
        <w:rPr>
          <w:szCs w:val="22"/>
          <w:lang w:val="pt-PT"/>
        </w:rPr>
      </w:pPr>
      <w:r w:rsidRPr="002A54AF">
        <w:rPr>
          <w:szCs w:val="22"/>
          <w:lang w:val="pt-PT"/>
        </w:rPr>
        <w:t>4</w:t>
      </w:r>
      <w:r w:rsidR="0020636B" w:rsidRPr="002A54AF">
        <w:rPr>
          <w:szCs w:val="22"/>
          <w:lang w:val="pt-PT"/>
        </w:rPr>
        <w:t> </w:t>
      </w:r>
      <w:r w:rsidR="00011577" w:rsidRPr="002A54AF">
        <w:rPr>
          <w:szCs w:val="22"/>
          <w:lang w:val="pt-PT"/>
        </w:rPr>
        <w:t>anos</w:t>
      </w:r>
    </w:p>
    <w:p w14:paraId="40E215EC" w14:textId="77777777" w:rsidR="00011577" w:rsidRPr="002A54AF" w:rsidRDefault="00011577" w:rsidP="00011577">
      <w:pPr>
        <w:keepNext/>
        <w:tabs>
          <w:tab w:val="left" w:pos="567"/>
        </w:tabs>
        <w:suppressAutoHyphens/>
        <w:rPr>
          <w:szCs w:val="22"/>
          <w:lang w:val="pt-PT"/>
        </w:rPr>
      </w:pPr>
    </w:p>
    <w:p w14:paraId="3C6FD115" w14:textId="77777777" w:rsidR="00011577" w:rsidRPr="002A54AF" w:rsidRDefault="00011577" w:rsidP="00011577">
      <w:pPr>
        <w:keepNext/>
        <w:tabs>
          <w:tab w:val="left" w:pos="567"/>
        </w:tabs>
        <w:suppressAutoHyphens/>
        <w:rPr>
          <w:szCs w:val="22"/>
          <w:lang w:val="pt-PT"/>
        </w:rPr>
      </w:pPr>
      <w:r w:rsidRPr="002A54AF">
        <w:rPr>
          <w:b/>
          <w:szCs w:val="22"/>
          <w:lang w:val="pt-PT"/>
        </w:rPr>
        <w:t>6.4</w:t>
      </w:r>
      <w:r w:rsidRPr="002A54AF">
        <w:rPr>
          <w:b/>
          <w:szCs w:val="22"/>
          <w:lang w:val="pt-PT"/>
        </w:rPr>
        <w:tab/>
        <w:t>Precauções especiais de conservação</w:t>
      </w:r>
    </w:p>
    <w:p w14:paraId="28B4DE02" w14:textId="77777777" w:rsidR="00011577" w:rsidRPr="002A54AF" w:rsidRDefault="00011577" w:rsidP="00011577">
      <w:pPr>
        <w:keepNext/>
        <w:tabs>
          <w:tab w:val="left" w:pos="567"/>
        </w:tabs>
        <w:suppressAutoHyphens/>
        <w:rPr>
          <w:szCs w:val="22"/>
          <w:lang w:val="pt-PT"/>
        </w:rPr>
      </w:pPr>
    </w:p>
    <w:p w14:paraId="3DB5C23A" w14:textId="77777777" w:rsidR="00011577" w:rsidRPr="002A54AF" w:rsidRDefault="00011577" w:rsidP="00011577">
      <w:pPr>
        <w:keepNext/>
        <w:rPr>
          <w:noProof/>
          <w:szCs w:val="22"/>
          <w:lang w:val="pt-PT"/>
        </w:rPr>
      </w:pPr>
      <w:r w:rsidRPr="002A54AF">
        <w:rPr>
          <w:noProof/>
          <w:szCs w:val="22"/>
          <w:lang w:val="pt-PT"/>
        </w:rPr>
        <w:t>O medicamento não necessita de quaisquer precauções especiais de conservação.</w:t>
      </w:r>
    </w:p>
    <w:p w14:paraId="00E8FA33" w14:textId="77777777" w:rsidR="00011577" w:rsidRPr="002A54AF" w:rsidRDefault="00011577" w:rsidP="00011577">
      <w:pPr>
        <w:tabs>
          <w:tab w:val="left" w:pos="567"/>
        </w:tabs>
        <w:suppressAutoHyphens/>
        <w:rPr>
          <w:szCs w:val="22"/>
          <w:lang w:val="pt-PT"/>
        </w:rPr>
      </w:pPr>
    </w:p>
    <w:p w14:paraId="04D322D0" w14:textId="77777777" w:rsidR="00011577" w:rsidRPr="002A54AF" w:rsidRDefault="00011577" w:rsidP="00011577">
      <w:pPr>
        <w:tabs>
          <w:tab w:val="left" w:pos="567"/>
        </w:tabs>
        <w:suppressAutoHyphens/>
        <w:rPr>
          <w:szCs w:val="22"/>
          <w:lang w:val="pt-PT"/>
        </w:rPr>
      </w:pPr>
      <w:r w:rsidRPr="002A54AF">
        <w:rPr>
          <w:b/>
          <w:szCs w:val="22"/>
          <w:lang w:val="pt-PT"/>
        </w:rPr>
        <w:t>6.5</w:t>
      </w:r>
      <w:r w:rsidRPr="002A54AF">
        <w:rPr>
          <w:b/>
          <w:szCs w:val="22"/>
          <w:lang w:val="pt-PT"/>
        </w:rPr>
        <w:tab/>
        <w:t>Natureza e conteúdo do recipiente</w:t>
      </w:r>
    </w:p>
    <w:p w14:paraId="32EB4674" w14:textId="77777777" w:rsidR="00011577" w:rsidRPr="002A54AF" w:rsidRDefault="00011577" w:rsidP="00011577">
      <w:pPr>
        <w:tabs>
          <w:tab w:val="left" w:pos="567"/>
        </w:tabs>
        <w:suppressAutoHyphens/>
        <w:rPr>
          <w:szCs w:val="22"/>
          <w:lang w:val="pt-PT"/>
        </w:rPr>
      </w:pPr>
    </w:p>
    <w:p w14:paraId="06FA9AA8" w14:textId="77777777" w:rsidR="00011577" w:rsidRPr="002A54AF" w:rsidRDefault="00011577" w:rsidP="00011577">
      <w:pPr>
        <w:tabs>
          <w:tab w:val="left" w:pos="567"/>
        </w:tabs>
        <w:suppressAutoHyphens/>
        <w:rPr>
          <w:szCs w:val="22"/>
          <w:lang w:val="pt-PT"/>
        </w:rPr>
      </w:pPr>
      <w:r w:rsidRPr="002A54AF">
        <w:rPr>
          <w:szCs w:val="22"/>
          <w:lang w:val="pt-PT"/>
        </w:rPr>
        <w:t>Blister PVC/Alumínio em embalagens de 2, 10, 14, 20, 28, 30, 50, 56 ou 100 comprimidos revestidos por película</w:t>
      </w:r>
      <w:r w:rsidR="00BC2279" w:rsidRPr="002A54AF">
        <w:rPr>
          <w:szCs w:val="22"/>
          <w:lang w:val="pt-PT"/>
        </w:rPr>
        <w:t xml:space="preserve"> ou blister PVC/Alumínio em doses unitárias em embalagens de 10x1, 14x1, 28x1, 30x1, 56x1 ou 100x1 comprimidos revestidos por película</w:t>
      </w:r>
      <w:r w:rsidRPr="002A54AF">
        <w:rPr>
          <w:szCs w:val="22"/>
          <w:lang w:val="pt-PT"/>
        </w:rPr>
        <w:t xml:space="preserve">. </w:t>
      </w:r>
    </w:p>
    <w:p w14:paraId="570BD04C" w14:textId="77777777" w:rsidR="00011577" w:rsidRPr="002A54AF" w:rsidRDefault="00011577" w:rsidP="00011577">
      <w:pPr>
        <w:tabs>
          <w:tab w:val="left" w:pos="567"/>
        </w:tabs>
        <w:suppressAutoHyphens/>
        <w:rPr>
          <w:szCs w:val="22"/>
          <w:lang w:val="pt-PT"/>
        </w:rPr>
      </w:pPr>
    </w:p>
    <w:p w14:paraId="7B42CAB6" w14:textId="77777777" w:rsidR="00011577" w:rsidRPr="002A54AF" w:rsidRDefault="00011577" w:rsidP="00011577">
      <w:pPr>
        <w:tabs>
          <w:tab w:val="left" w:pos="567"/>
        </w:tabs>
        <w:suppressAutoHyphens/>
        <w:rPr>
          <w:szCs w:val="22"/>
          <w:lang w:val="pt-PT"/>
        </w:rPr>
      </w:pPr>
      <w:r w:rsidRPr="002A54AF">
        <w:rPr>
          <w:szCs w:val="22"/>
          <w:lang w:val="pt-PT"/>
        </w:rPr>
        <w:t>É possível que não sejam comercializadas todas as apresentações.</w:t>
      </w:r>
    </w:p>
    <w:p w14:paraId="4C679B35" w14:textId="77777777" w:rsidR="00011577" w:rsidRPr="002A54AF" w:rsidRDefault="00011577" w:rsidP="00011577">
      <w:pPr>
        <w:tabs>
          <w:tab w:val="left" w:pos="567"/>
        </w:tabs>
        <w:suppressAutoHyphens/>
        <w:rPr>
          <w:szCs w:val="22"/>
          <w:lang w:val="pt-PT"/>
        </w:rPr>
      </w:pPr>
    </w:p>
    <w:p w14:paraId="3DBA1A18" w14:textId="77777777" w:rsidR="00011577" w:rsidRPr="002A54AF" w:rsidRDefault="00011577" w:rsidP="00011577">
      <w:pPr>
        <w:keepNext/>
        <w:tabs>
          <w:tab w:val="left" w:pos="567"/>
        </w:tabs>
        <w:suppressAutoHyphens/>
        <w:rPr>
          <w:szCs w:val="22"/>
          <w:lang w:val="pt-PT"/>
        </w:rPr>
      </w:pPr>
      <w:r w:rsidRPr="002A54AF">
        <w:rPr>
          <w:b/>
          <w:szCs w:val="22"/>
          <w:lang w:val="pt-PT"/>
        </w:rPr>
        <w:t>6.6</w:t>
      </w:r>
      <w:r w:rsidRPr="002A54AF">
        <w:rPr>
          <w:b/>
          <w:szCs w:val="22"/>
          <w:lang w:val="pt-PT"/>
        </w:rPr>
        <w:tab/>
        <w:t xml:space="preserve">Precauções especiais de eliminação </w:t>
      </w:r>
    </w:p>
    <w:p w14:paraId="2787DC64" w14:textId="77777777" w:rsidR="00011577" w:rsidRPr="002A54AF" w:rsidRDefault="00011577" w:rsidP="00011577">
      <w:pPr>
        <w:keepNext/>
        <w:tabs>
          <w:tab w:val="left" w:pos="567"/>
        </w:tabs>
        <w:suppressAutoHyphens/>
        <w:rPr>
          <w:szCs w:val="22"/>
          <w:lang w:val="pt-PT"/>
        </w:rPr>
      </w:pPr>
    </w:p>
    <w:p w14:paraId="221EC1B8" w14:textId="77777777" w:rsidR="00011577" w:rsidRPr="002A54AF" w:rsidRDefault="00B30CAF" w:rsidP="00011577">
      <w:pPr>
        <w:keepNext/>
        <w:tabs>
          <w:tab w:val="left" w:pos="567"/>
        </w:tabs>
        <w:suppressAutoHyphens/>
        <w:rPr>
          <w:szCs w:val="22"/>
          <w:lang w:val="pt-PT"/>
        </w:rPr>
      </w:pPr>
      <w:r w:rsidRPr="002A54AF">
        <w:rPr>
          <w:noProof/>
          <w:szCs w:val="22"/>
          <w:lang w:val="pt-PT"/>
        </w:rPr>
        <w:t>Qualquer medicamento não utilizado ou resíduos devem ser eliminados de acordo com as exigências locais</w:t>
      </w:r>
      <w:r w:rsidR="00011577" w:rsidRPr="002A54AF">
        <w:rPr>
          <w:szCs w:val="22"/>
          <w:lang w:val="pt-PT"/>
        </w:rPr>
        <w:t xml:space="preserve">. </w:t>
      </w:r>
    </w:p>
    <w:p w14:paraId="10FA7E12" w14:textId="77777777" w:rsidR="00011577" w:rsidRPr="008C3642" w:rsidRDefault="00011577" w:rsidP="00011577">
      <w:pPr>
        <w:tabs>
          <w:tab w:val="left" w:pos="567"/>
        </w:tabs>
        <w:suppressAutoHyphens/>
        <w:rPr>
          <w:szCs w:val="22"/>
          <w:lang w:val="pt-PT"/>
        </w:rPr>
      </w:pPr>
    </w:p>
    <w:p w14:paraId="74C3444A" w14:textId="77777777" w:rsidR="00011577" w:rsidRPr="002A54AF" w:rsidRDefault="00011577" w:rsidP="00011577">
      <w:pPr>
        <w:tabs>
          <w:tab w:val="left" w:pos="567"/>
        </w:tabs>
        <w:suppressAutoHyphens/>
        <w:rPr>
          <w:szCs w:val="22"/>
          <w:lang w:val="pt-PT"/>
        </w:rPr>
      </w:pPr>
    </w:p>
    <w:p w14:paraId="021FBD3A" w14:textId="77777777" w:rsidR="00011577" w:rsidRPr="002A54AF" w:rsidRDefault="00011577" w:rsidP="00011577">
      <w:pPr>
        <w:tabs>
          <w:tab w:val="left" w:pos="567"/>
        </w:tabs>
        <w:suppressAutoHyphens/>
        <w:rPr>
          <w:szCs w:val="22"/>
          <w:lang w:val="pt-PT"/>
        </w:rPr>
      </w:pPr>
      <w:r w:rsidRPr="002A54AF">
        <w:rPr>
          <w:b/>
          <w:szCs w:val="22"/>
          <w:lang w:val="pt-PT"/>
        </w:rPr>
        <w:t>7.</w:t>
      </w:r>
      <w:r w:rsidRPr="002A54AF">
        <w:rPr>
          <w:b/>
          <w:szCs w:val="22"/>
          <w:lang w:val="pt-PT"/>
        </w:rPr>
        <w:tab/>
        <w:t>TITULAR DA AUTORIZAÇÃO DE INTRODUÇÃO NO MERCADO</w:t>
      </w:r>
    </w:p>
    <w:p w14:paraId="16AB14BE" w14:textId="77777777" w:rsidR="00011577" w:rsidRPr="002A54AF" w:rsidRDefault="00011577" w:rsidP="00011577">
      <w:pPr>
        <w:tabs>
          <w:tab w:val="left" w:pos="567"/>
        </w:tabs>
        <w:suppressAutoHyphens/>
        <w:rPr>
          <w:szCs w:val="22"/>
          <w:lang w:val="pt-PT"/>
        </w:rPr>
      </w:pPr>
    </w:p>
    <w:p w14:paraId="3C47791E" w14:textId="77777777" w:rsidR="00A74BB1" w:rsidRPr="00A74BB1" w:rsidRDefault="00A74BB1" w:rsidP="00A74BB1">
      <w:pPr>
        <w:rPr>
          <w:szCs w:val="22"/>
          <w:lang w:val="pl-PL"/>
        </w:rPr>
      </w:pPr>
      <w:r w:rsidRPr="00A74BB1">
        <w:rPr>
          <w:szCs w:val="22"/>
          <w:lang w:val="pl-PL"/>
        </w:rPr>
        <w:t xml:space="preserve">Accord Healthcare S.L.U. </w:t>
      </w:r>
    </w:p>
    <w:p w14:paraId="1CFE584E" w14:textId="77777777" w:rsidR="00A74BB1" w:rsidRPr="00A74BB1" w:rsidRDefault="00A74BB1" w:rsidP="00A74BB1">
      <w:pPr>
        <w:rPr>
          <w:szCs w:val="22"/>
          <w:lang w:val="pl-PL"/>
        </w:rPr>
      </w:pPr>
      <w:r w:rsidRPr="00A74BB1">
        <w:rPr>
          <w:szCs w:val="22"/>
          <w:lang w:val="pl-PL"/>
        </w:rPr>
        <w:t xml:space="preserve">World Trade Center, Moll de Barcelona, s/n, </w:t>
      </w:r>
    </w:p>
    <w:p w14:paraId="648E6B18" w14:textId="77777777" w:rsidR="00A74BB1" w:rsidRPr="00A74BB1" w:rsidRDefault="00A74BB1" w:rsidP="00A74BB1">
      <w:pPr>
        <w:rPr>
          <w:szCs w:val="22"/>
          <w:lang w:val="pl-PL"/>
        </w:rPr>
      </w:pPr>
      <w:r w:rsidRPr="00A74BB1">
        <w:rPr>
          <w:szCs w:val="22"/>
          <w:lang w:val="pl-PL"/>
        </w:rPr>
        <w:t xml:space="preserve">Edifici Est 6ª planta, </w:t>
      </w:r>
    </w:p>
    <w:p w14:paraId="46AF71DA" w14:textId="77777777" w:rsidR="00A74BB1" w:rsidRPr="00A74BB1" w:rsidRDefault="00A74BB1" w:rsidP="00A74BB1">
      <w:pPr>
        <w:rPr>
          <w:szCs w:val="22"/>
          <w:lang w:val="pl-PL"/>
        </w:rPr>
      </w:pPr>
      <w:r w:rsidRPr="00A74BB1">
        <w:rPr>
          <w:szCs w:val="22"/>
          <w:lang w:val="pl-PL"/>
        </w:rPr>
        <w:t xml:space="preserve">08039 Barcelona, </w:t>
      </w:r>
    </w:p>
    <w:p w14:paraId="53AF94E1" w14:textId="77777777" w:rsidR="00011577" w:rsidRPr="002A54AF" w:rsidRDefault="00A74BB1" w:rsidP="00011577">
      <w:pPr>
        <w:tabs>
          <w:tab w:val="left" w:pos="567"/>
        </w:tabs>
        <w:suppressAutoHyphens/>
        <w:rPr>
          <w:szCs w:val="22"/>
          <w:lang w:val="pt-BR"/>
        </w:rPr>
      </w:pPr>
      <w:r w:rsidRPr="00ED57C2">
        <w:rPr>
          <w:szCs w:val="22"/>
          <w:lang w:val="pt-PT"/>
        </w:rPr>
        <w:t>Espanha</w:t>
      </w:r>
    </w:p>
    <w:p w14:paraId="11EF7008" w14:textId="77777777" w:rsidR="00011577" w:rsidRPr="002A54AF" w:rsidRDefault="00011577" w:rsidP="00011577">
      <w:pPr>
        <w:tabs>
          <w:tab w:val="left" w:pos="567"/>
        </w:tabs>
        <w:suppressAutoHyphens/>
        <w:rPr>
          <w:szCs w:val="22"/>
          <w:lang w:val="pt-BR"/>
        </w:rPr>
      </w:pPr>
    </w:p>
    <w:p w14:paraId="29A992CA" w14:textId="77777777" w:rsidR="00011577" w:rsidRPr="002A54AF" w:rsidRDefault="00011577" w:rsidP="00011577">
      <w:pPr>
        <w:tabs>
          <w:tab w:val="left" w:pos="567"/>
        </w:tabs>
        <w:suppressAutoHyphens/>
        <w:rPr>
          <w:b/>
          <w:szCs w:val="22"/>
          <w:lang w:val="pt-PT"/>
        </w:rPr>
      </w:pPr>
      <w:r w:rsidRPr="002A54AF">
        <w:rPr>
          <w:b/>
          <w:szCs w:val="22"/>
          <w:lang w:val="pt-PT"/>
        </w:rPr>
        <w:t>8.</w:t>
      </w:r>
      <w:r w:rsidRPr="002A54AF">
        <w:rPr>
          <w:b/>
          <w:szCs w:val="22"/>
          <w:lang w:val="pt-PT"/>
        </w:rPr>
        <w:tab/>
        <w:t>NÚMERO(S) DA AUTORIZAÇÃO DE INTRODUÇÃO NO MERCADO</w:t>
      </w:r>
    </w:p>
    <w:p w14:paraId="6971057B" w14:textId="77777777" w:rsidR="00011577" w:rsidRPr="002A54AF" w:rsidRDefault="00011577" w:rsidP="00011577">
      <w:pPr>
        <w:tabs>
          <w:tab w:val="left" w:pos="567"/>
        </w:tabs>
        <w:suppressAutoHyphens/>
        <w:rPr>
          <w:szCs w:val="22"/>
          <w:lang w:val="pt-PT"/>
        </w:rPr>
      </w:pPr>
    </w:p>
    <w:p w14:paraId="2FEC1F12" w14:textId="77777777" w:rsidR="00B30CAF" w:rsidRPr="00CB39F3" w:rsidRDefault="00D70D7B" w:rsidP="00011577">
      <w:pPr>
        <w:tabs>
          <w:tab w:val="left" w:pos="567"/>
        </w:tabs>
        <w:suppressAutoHyphens/>
        <w:rPr>
          <w:szCs w:val="22"/>
          <w:u w:val="single"/>
          <w:lang w:val="pt-PT"/>
        </w:rPr>
      </w:pPr>
      <w:r w:rsidRPr="00CB39F3">
        <w:rPr>
          <w:szCs w:val="22"/>
          <w:u w:val="single"/>
          <w:lang w:val="pt-PT"/>
        </w:rPr>
        <w:t>Voriconazol</w:t>
      </w:r>
      <w:r w:rsidR="00B30CAF" w:rsidRPr="00CB39F3">
        <w:rPr>
          <w:szCs w:val="22"/>
          <w:u w:val="single"/>
          <w:lang w:val="pt-PT"/>
        </w:rPr>
        <w:t xml:space="preserve"> </w:t>
      </w:r>
      <w:r w:rsidR="00F33970" w:rsidRPr="00CB39F3">
        <w:rPr>
          <w:szCs w:val="22"/>
          <w:u w:val="single"/>
          <w:lang w:val="pt-PT"/>
        </w:rPr>
        <w:t xml:space="preserve">Accord </w:t>
      </w:r>
      <w:r w:rsidR="00B30CAF" w:rsidRPr="00CB39F3">
        <w:rPr>
          <w:szCs w:val="22"/>
          <w:u w:val="single"/>
          <w:lang w:val="pt-PT"/>
        </w:rPr>
        <w:t>50 mg comprimidos revestidos por película</w:t>
      </w:r>
    </w:p>
    <w:p w14:paraId="1070B1C9" w14:textId="77777777" w:rsidR="00DF4748" w:rsidRDefault="00DF4748" w:rsidP="00011577">
      <w:pPr>
        <w:tabs>
          <w:tab w:val="left" w:pos="567"/>
        </w:tabs>
        <w:suppressAutoHyphens/>
        <w:rPr>
          <w:szCs w:val="22"/>
          <w:lang w:val="pt-PT"/>
        </w:rPr>
      </w:pPr>
    </w:p>
    <w:p w14:paraId="4E6120FE" w14:textId="77777777" w:rsidR="00011577" w:rsidRPr="002A54AF" w:rsidRDefault="00011577" w:rsidP="00011577">
      <w:pPr>
        <w:tabs>
          <w:tab w:val="left" w:pos="567"/>
        </w:tabs>
        <w:suppressAutoHyphens/>
        <w:rPr>
          <w:szCs w:val="22"/>
          <w:lang w:val="pt-PT"/>
        </w:rPr>
      </w:pPr>
      <w:r w:rsidRPr="002A54AF">
        <w:rPr>
          <w:szCs w:val="22"/>
          <w:lang w:val="pt-PT"/>
        </w:rPr>
        <w:t>EU/1/13/835/001-009</w:t>
      </w:r>
      <w:r w:rsidR="00BC2279" w:rsidRPr="002A54AF">
        <w:rPr>
          <w:szCs w:val="22"/>
          <w:lang w:val="pt-PT"/>
        </w:rPr>
        <w:t>,</w:t>
      </w:r>
    </w:p>
    <w:p w14:paraId="7F3B9A38" w14:textId="77777777" w:rsidR="00BC2279" w:rsidRPr="002A54AF" w:rsidRDefault="00BC2279" w:rsidP="00011577">
      <w:pPr>
        <w:tabs>
          <w:tab w:val="left" w:pos="567"/>
        </w:tabs>
        <w:suppressAutoHyphens/>
        <w:rPr>
          <w:szCs w:val="22"/>
          <w:lang w:val="pt-PT"/>
        </w:rPr>
      </w:pPr>
      <w:r w:rsidRPr="002A54AF">
        <w:rPr>
          <w:szCs w:val="22"/>
          <w:lang w:val="pt-PT"/>
        </w:rPr>
        <w:t>EU/1/13/835/019-024</w:t>
      </w:r>
    </w:p>
    <w:p w14:paraId="2C985067" w14:textId="77777777" w:rsidR="00B30CAF" w:rsidRPr="008C3642" w:rsidRDefault="00B30CAF" w:rsidP="00011577">
      <w:pPr>
        <w:tabs>
          <w:tab w:val="left" w:pos="567"/>
        </w:tabs>
        <w:suppressAutoHyphens/>
        <w:rPr>
          <w:szCs w:val="22"/>
          <w:lang w:val="pt-PT"/>
        </w:rPr>
      </w:pPr>
    </w:p>
    <w:p w14:paraId="6A515535" w14:textId="77777777" w:rsidR="00B30CAF" w:rsidRPr="00CB39F3" w:rsidRDefault="00D70D7B" w:rsidP="00011577">
      <w:pPr>
        <w:tabs>
          <w:tab w:val="left" w:pos="567"/>
        </w:tabs>
        <w:suppressAutoHyphens/>
        <w:rPr>
          <w:szCs w:val="22"/>
          <w:u w:val="single"/>
          <w:lang w:val="pt-PT"/>
        </w:rPr>
      </w:pPr>
      <w:r w:rsidRPr="00CB39F3">
        <w:rPr>
          <w:szCs w:val="22"/>
          <w:u w:val="single"/>
          <w:lang w:val="pt-PT"/>
        </w:rPr>
        <w:t xml:space="preserve">Voriconazol </w:t>
      </w:r>
      <w:r w:rsidR="00F33970" w:rsidRPr="00CB39F3">
        <w:rPr>
          <w:szCs w:val="22"/>
          <w:u w:val="single"/>
          <w:lang w:val="pt-PT"/>
        </w:rPr>
        <w:t xml:space="preserve">Accord </w:t>
      </w:r>
      <w:r w:rsidR="00B30CAF" w:rsidRPr="00CB39F3">
        <w:rPr>
          <w:szCs w:val="22"/>
          <w:u w:val="single"/>
          <w:lang w:val="pt-PT"/>
        </w:rPr>
        <w:t>200 mg comprimidos revestidos por película</w:t>
      </w:r>
    </w:p>
    <w:p w14:paraId="4D3ED1A2" w14:textId="77777777" w:rsidR="00DF4748" w:rsidRDefault="00DF4748" w:rsidP="00B30CAF">
      <w:pPr>
        <w:pStyle w:val="Default"/>
        <w:rPr>
          <w:rFonts w:ascii="Times New Roman" w:hAnsi="Times New Roman" w:cs="Times New Roman"/>
          <w:color w:val="auto"/>
          <w:sz w:val="22"/>
          <w:szCs w:val="22"/>
          <w:lang w:val="pt-PT"/>
        </w:rPr>
      </w:pPr>
    </w:p>
    <w:p w14:paraId="7DFD0598" w14:textId="77777777" w:rsidR="00B30CAF" w:rsidRPr="00CB39F3" w:rsidRDefault="00B30CAF" w:rsidP="00B30CAF">
      <w:pPr>
        <w:pStyle w:val="Default"/>
        <w:rPr>
          <w:rFonts w:ascii="Times New Roman" w:hAnsi="Times New Roman" w:cs="Times New Roman"/>
          <w:color w:val="auto"/>
          <w:sz w:val="22"/>
          <w:szCs w:val="22"/>
          <w:lang w:val="pt-PT"/>
        </w:rPr>
      </w:pPr>
      <w:r w:rsidRPr="00CB39F3">
        <w:rPr>
          <w:rFonts w:ascii="Times New Roman" w:hAnsi="Times New Roman" w:cs="Times New Roman"/>
          <w:color w:val="auto"/>
          <w:sz w:val="22"/>
          <w:szCs w:val="22"/>
          <w:lang w:val="pt-PT"/>
        </w:rPr>
        <w:t>EU/1/13/835/010-018,</w:t>
      </w:r>
    </w:p>
    <w:p w14:paraId="6ECC9EF0" w14:textId="77777777" w:rsidR="00B30CAF" w:rsidRPr="002A54AF" w:rsidRDefault="00B30CAF" w:rsidP="00B30CAF">
      <w:pPr>
        <w:tabs>
          <w:tab w:val="left" w:pos="567"/>
        </w:tabs>
        <w:suppressAutoHyphens/>
        <w:rPr>
          <w:szCs w:val="22"/>
          <w:lang w:val="pt-PT"/>
        </w:rPr>
      </w:pPr>
      <w:r w:rsidRPr="00CB39F3">
        <w:rPr>
          <w:szCs w:val="22"/>
          <w:lang w:val="pt-PT"/>
        </w:rPr>
        <w:t>EU/1/13/835/025-030</w:t>
      </w:r>
    </w:p>
    <w:p w14:paraId="3AFA4DCE" w14:textId="77777777" w:rsidR="00B30CAF" w:rsidRPr="002A54AF" w:rsidRDefault="00B30CAF" w:rsidP="00011577">
      <w:pPr>
        <w:tabs>
          <w:tab w:val="left" w:pos="567"/>
        </w:tabs>
        <w:suppressAutoHyphens/>
        <w:rPr>
          <w:szCs w:val="22"/>
          <w:lang w:val="pt-PT"/>
        </w:rPr>
      </w:pPr>
    </w:p>
    <w:p w14:paraId="2F87B1FA" w14:textId="77777777" w:rsidR="00011577" w:rsidRPr="002A54AF" w:rsidRDefault="00011577" w:rsidP="00011577">
      <w:pPr>
        <w:tabs>
          <w:tab w:val="left" w:pos="567"/>
        </w:tabs>
        <w:suppressAutoHyphens/>
        <w:rPr>
          <w:szCs w:val="22"/>
          <w:lang w:val="pt-PT"/>
        </w:rPr>
      </w:pPr>
    </w:p>
    <w:p w14:paraId="03C38B02" w14:textId="77777777" w:rsidR="00011577" w:rsidRPr="00DF4748" w:rsidRDefault="00165E83" w:rsidP="00CB39F3">
      <w:pPr>
        <w:suppressAutoHyphens/>
        <w:ind w:left="567" w:hanging="567"/>
        <w:rPr>
          <w:b/>
          <w:szCs w:val="22"/>
          <w:lang w:val="pt-PT"/>
        </w:rPr>
      </w:pPr>
      <w:r>
        <w:rPr>
          <w:b/>
          <w:szCs w:val="22"/>
          <w:lang w:val="pt-PT"/>
        </w:rPr>
        <w:lastRenderedPageBreak/>
        <w:t>9.</w:t>
      </w:r>
      <w:r>
        <w:rPr>
          <w:b/>
          <w:szCs w:val="22"/>
          <w:lang w:val="pt-PT"/>
        </w:rPr>
        <w:tab/>
      </w:r>
      <w:r w:rsidR="00011577" w:rsidRPr="00DF4748">
        <w:rPr>
          <w:b/>
          <w:szCs w:val="22"/>
          <w:lang w:val="pt-PT"/>
        </w:rPr>
        <w:t>DATA DA PRIMEIRA AUTORIZAÇÃO/RENOVAÇÃO DA AUTORIZAÇÃO DE INTRODUÇÃO NO MERCADO</w:t>
      </w:r>
    </w:p>
    <w:p w14:paraId="7FB86E44" w14:textId="77777777" w:rsidR="00011577" w:rsidRPr="008C3642" w:rsidRDefault="00011577" w:rsidP="00011577">
      <w:pPr>
        <w:tabs>
          <w:tab w:val="left" w:pos="567"/>
        </w:tabs>
        <w:suppressAutoHyphens/>
        <w:rPr>
          <w:szCs w:val="22"/>
          <w:lang w:val="pt-PT"/>
        </w:rPr>
      </w:pPr>
    </w:p>
    <w:p w14:paraId="616B1CCA" w14:textId="77777777" w:rsidR="00011577" w:rsidRDefault="00165E83" w:rsidP="00011577">
      <w:pPr>
        <w:tabs>
          <w:tab w:val="left" w:pos="567"/>
        </w:tabs>
        <w:suppressAutoHyphens/>
        <w:rPr>
          <w:szCs w:val="22"/>
          <w:lang w:val="pt-PT"/>
        </w:rPr>
      </w:pPr>
      <w:r>
        <w:rPr>
          <w:szCs w:val="22"/>
          <w:lang w:val="pt-PT"/>
        </w:rPr>
        <w:t xml:space="preserve">Data da primeira autorização: </w:t>
      </w:r>
      <w:r w:rsidR="00A46DA1" w:rsidRPr="002A54AF">
        <w:rPr>
          <w:szCs w:val="22"/>
          <w:lang w:val="pt-PT"/>
        </w:rPr>
        <w:t>16</w:t>
      </w:r>
      <w:r>
        <w:rPr>
          <w:szCs w:val="22"/>
          <w:lang w:val="pt-PT"/>
        </w:rPr>
        <w:t xml:space="preserve"> de maio de </w:t>
      </w:r>
      <w:r w:rsidR="00A46DA1" w:rsidRPr="002A54AF">
        <w:rPr>
          <w:szCs w:val="22"/>
          <w:lang w:val="pt-PT"/>
        </w:rPr>
        <w:t>2013</w:t>
      </w:r>
    </w:p>
    <w:p w14:paraId="653C5569" w14:textId="77777777" w:rsidR="00165E83" w:rsidRDefault="00165E83" w:rsidP="00011577">
      <w:pPr>
        <w:tabs>
          <w:tab w:val="left" w:pos="567"/>
        </w:tabs>
        <w:suppressAutoHyphens/>
        <w:rPr>
          <w:szCs w:val="22"/>
          <w:lang w:val="pt-PT"/>
        </w:rPr>
      </w:pPr>
      <w:r>
        <w:rPr>
          <w:szCs w:val="22"/>
          <w:lang w:val="pt-PT"/>
        </w:rPr>
        <w:t>Data da última renovação:</w:t>
      </w:r>
      <w:r w:rsidR="00756ADB">
        <w:rPr>
          <w:szCs w:val="22"/>
          <w:lang w:val="pt-PT"/>
        </w:rPr>
        <w:t xml:space="preserve"> </w:t>
      </w:r>
      <w:r w:rsidR="00B6400E" w:rsidRPr="000E218C">
        <w:rPr>
          <w:szCs w:val="22"/>
          <w:lang w:val="pt-PT"/>
        </w:rPr>
        <w:t>8</w:t>
      </w:r>
      <w:r w:rsidR="00756ADB" w:rsidRPr="000E218C">
        <w:rPr>
          <w:szCs w:val="22"/>
          <w:lang w:val="pt-PT"/>
        </w:rPr>
        <w:t xml:space="preserve"> de fevereiro de 2018</w:t>
      </w:r>
    </w:p>
    <w:p w14:paraId="56A589CA" w14:textId="77777777" w:rsidR="00165E83" w:rsidRPr="002A54AF" w:rsidRDefault="00165E83" w:rsidP="00011577">
      <w:pPr>
        <w:tabs>
          <w:tab w:val="left" w:pos="567"/>
        </w:tabs>
        <w:suppressAutoHyphens/>
        <w:rPr>
          <w:szCs w:val="22"/>
          <w:lang w:val="pt-PT"/>
        </w:rPr>
      </w:pPr>
    </w:p>
    <w:p w14:paraId="27A3F2C2" w14:textId="77777777" w:rsidR="00011577" w:rsidRPr="002A54AF" w:rsidRDefault="00011577" w:rsidP="00011577">
      <w:pPr>
        <w:tabs>
          <w:tab w:val="left" w:pos="567"/>
        </w:tabs>
        <w:suppressAutoHyphens/>
        <w:rPr>
          <w:szCs w:val="22"/>
          <w:lang w:val="pt-PT"/>
        </w:rPr>
      </w:pPr>
    </w:p>
    <w:p w14:paraId="57A4D74A" w14:textId="77777777" w:rsidR="00011577" w:rsidRPr="002A54AF" w:rsidRDefault="00011577" w:rsidP="00011577">
      <w:pPr>
        <w:tabs>
          <w:tab w:val="left" w:pos="567"/>
        </w:tabs>
        <w:suppressAutoHyphens/>
        <w:rPr>
          <w:szCs w:val="22"/>
          <w:lang w:val="pt-PT"/>
        </w:rPr>
      </w:pPr>
      <w:r w:rsidRPr="002A54AF">
        <w:rPr>
          <w:b/>
          <w:szCs w:val="22"/>
          <w:lang w:val="pt-PT"/>
        </w:rPr>
        <w:t>10.</w:t>
      </w:r>
      <w:r w:rsidRPr="002A54AF">
        <w:rPr>
          <w:b/>
          <w:szCs w:val="22"/>
          <w:lang w:val="pt-PT"/>
        </w:rPr>
        <w:tab/>
        <w:t>DATA DA REVISÃO DO TEXTO</w:t>
      </w:r>
    </w:p>
    <w:p w14:paraId="69E4116A" w14:textId="77777777" w:rsidR="00011577" w:rsidRPr="002A54AF" w:rsidRDefault="00011577" w:rsidP="00011577">
      <w:pPr>
        <w:tabs>
          <w:tab w:val="left" w:pos="567"/>
        </w:tabs>
        <w:rPr>
          <w:szCs w:val="22"/>
          <w:lang w:val="pt-PT"/>
        </w:rPr>
      </w:pPr>
    </w:p>
    <w:p w14:paraId="6D7D000C" w14:textId="77777777" w:rsidR="00011577" w:rsidRDefault="00011577" w:rsidP="00011577">
      <w:pPr>
        <w:tabs>
          <w:tab w:val="left" w:pos="567"/>
        </w:tabs>
        <w:rPr>
          <w:szCs w:val="22"/>
          <w:lang w:val="pt-PT"/>
        </w:rPr>
      </w:pPr>
      <w:r w:rsidRPr="002A54AF">
        <w:rPr>
          <w:szCs w:val="22"/>
          <w:lang w:val="pt-PT"/>
        </w:rPr>
        <w:t xml:space="preserve">Está disponível informação pormenorizada sobre este medicamento no sítio da internet da Agência Europeia de Medicamentos </w:t>
      </w:r>
      <w:hyperlink r:id="rId12" w:history="1">
        <w:r w:rsidR="00165E83" w:rsidRPr="00ED0BDB">
          <w:rPr>
            <w:rStyle w:val="Hyperlink"/>
            <w:szCs w:val="22"/>
            <w:lang w:val="pt-PT"/>
          </w:rPr>
          <w:t>http://www.ema.europa.eu</w:t>
        </w:r>
      </w:hyperlink>
      <w:r w:rsidRPr="002A54AF">
        <w:rPr>
          <w:szCs w:val="22"/>
          <w:lang w:val="pt-PT"/>
        </w:rPr>
        <w:t>.</w:t>
      </w:r>
    </w:p>
    <w:p w14:paraId="6F77C5D1" w14:textId="77777777" w:rsidR="00165E83" w:rsidRDefault="00165E83" w:rsidP="00011577">
      <w:pPr>
        <w:tabs>
          <w:tab w:val="left" w:pos="567"/>
        </w:tabs>
        <w:rPr>
          <w:szCs w:val="22"/>
          <w:lang w:val="pt-PT"/>
        </w:rPr>
      </w:pPr>
    </w:p>
    <w:p w14:paraId="60ECCDB2" w14:textId="77777777" w:rsidR="00165E83" w:rsidRPr="002A54AF" w:rsidRDefault="00165E83" w:rsidP="00011577">
      <w:pPr>
        <w:tabs>
          <w:tab w:val="left" w:pos="567"/>
        </w:tabs>
        <w:rPr>
          <w:szCs w:val="22"/>
          <w:lang w:val="pt-PT"/>
        </w:rPr>
      </w:pPr>
    </w:p>
    <w:p w14:paraId="779C1FB8" w14:textId="77777777" w:rsidR="00011577" w:rsidRPr="002A54AF" w:rsidRDefault="00011577" w:rsidP="009B3B8C">
      <w:pPr>
        <w:tabs>
          <w:tab w:val="left" w:pos="567"/>
        </w:tabs>
        <w:suppressAutoHyphens/>
        <w:rPr>
          <w:szCs w:val="22"/>
          <w:lang w:val="pt-PT"/>
        </w:rPr>
      </w:pPr>
      <w:r w:rsidRPr="002A54AF">
        <w:rPr>
          <w:b/>
          <w:bCs/>
          <w:szCs w:val="22"/>
          <w:lang w:val="pt-PT"/>
        </w:rPr>
        <w:br w:type="page"/>
      </w:r>
    </w:p>
    <w:p w14:paraId="3B79D1ED" w14:textId="77777777" w:rsidR="006365B7" w:rsidRPr="002A54AF" w:rsidRDefault="006365B7" w:rsidP="00011577">
      <w:pPr>
        <w:tabs>
          <w:tab w:val="left" w:pos="567"/>
        </w:tabs>
        <w:jc w:val="center"/>
        <w:outlineLvl w:val="0"/>
        <w:rPr>
          <w:szCs w:val="22"/>
          <w:lang w:val="pt-PT"/>
        </w:rPr>
      </w:pPr>
    </w:p>
    <w:p w14:paraId="4B774325" w14:textId="77777777" w:rsidR="006365B7" w:rsidRPr="002A54AF" w:rsidRDefault="006365B7" w:rsidP="00011577">
      <w:pPr>
        <w:tabs>
          <w:tab w:val="left" w:pos="567"/>
        </w:tabs>
        <w:jc w:val="center"/>
        <w:outlineLvl w:val="0"/>
        <w:rPr>
          <w:szCs w:val="22"/>
          <w:lang w:val="pt-PT"/>
        </w:rPr>
      </w:pPr>
    </w:p>
    <w:p w14:paraId="3957B84F" w14:textId="77777777" w:rsidR="006365B7" w:rsidRPr="002A54AF" w:rsidRDefault="006365B7" w:rsidP="00011577">
      <w:pPr>
        <w:tabs>
          <w:tab w:val="left" w:pos="567"/>
        </w:tabs>
        <w:jc w:val="center"/>
        <w:outlineLvl w:val="0"/>
        <w:rPr>
          <w:szCs w:val="22"/>
          <w:lang w:val="pt-PT"/>
        </w:rPr>
      </w:pPr>
    </w:p>
    <w:p w14:paraId="75468EAE" w14:textId="77777777" w:rsidR="006365B7" w:rsidRPr="002A54AF" w:rsidRDefault="006365B7" w:rsidP="00011577">
      <w:pPr>
        <w:tabs>
          <w:tab w:val="left" w:pos="567"/>
        </w:tabs>
        <w:jc w:val="center"/>
        <w:outlineLvl w:val="0"/>
        <w:rPr>
          <w:szCs w:val="22"/>
          <w:lang w:val="pt-PT"/>
        </w:rPr>
      </w:pPr>
    </w:p>
    <w:p w14:paraId="2EDC9D34" w14:textId="77777777" w:rsidR="006365B7" w:rsidRPr="002A54AF" w:rsidRDefault="006365B7" w:rsidP="00011577">
      <w:pPr>
        <w:tabs>
          <w:tab w:val="left" w:pos="567"/>
        </w:tabs>
        <w:jc w:val="center"/>
        <w:outlineLvl w:val="0"/>
        <w:rPr>
          <w:szCs w:val="22"/>
          <w:lang w:val="pt-PT"/>
        </w:rPr>
      </w:pPr>
    </w:p>
    <w:p w14:paraId="60878E42" w14:textId="77777777" w:rsidR="006365B7" w:rsidRPr="002A54AF" w:rsidRDefault="006365B7" w:rsidP="00011577">
      <w:pPr>
        <w:tabs>
          <w:tab w:val="left" w:pos="567"/>
        </w:tabs>
        <w:jc w:val="center"/>
        <w:outlineLvl w:val="0"/>
        <w:rPr>
          <w:szCs w:val="22"/>
          <w:lang w:val="pt-PT"/>
        </w:rPr>
      </w:pPr>
    </w:p>
    <w:p w14:paraId="4B6966EC" w14:textId="77777777" w:rsidR="006365B7" w:rsidRPr="002A54AF" w:rsidRDefault="006365B7" w:rsidP="00011577">
      <w:pPr>
        <w:tabs>
          <w:tab w:val="left" w:pos="567"/>
        </w:tabs>
        <w:jc w:val="center"/>
        <w:outlineLvl w:val="0"/>
        <w:rPr>
          <w:szCs w:val="22"/>
          <w:lang w:val="pt-PT"/>
        </w:rPr>
      </w:pPr>
    </w:p>
    <w:p w14:paraId="259E499F" w14:textId="77777777" w:rsidR="006365B7" w:rsidRPr="002A54AF" w:rsidRDefault="006365B7" w:rsidP="00011577">
      <w:pPr>
        <w:tabs>
          <w:tab w:val="left" w:pos="567"/>
        </w:tabs>
        <w:jc w:val="center"/>
        <w:outlineLvl w:val="0"/>
        <w:rPr>
          <w:szCs w:val="22"/>
          <w:lang w:val="pt-PT"/>
        </w:rPr>
      </w:pPr>
    </w:p>
    <w:p w14:paraId="447B2317" w14:textId="77777777" w:rsidR="006365B7" w:rsidRPr="002A54AF" w:rsidRDefault="006365B7" w:rsidP="00011577">
      <w:pPr>
        <w:tabs>
          <w:tab w:val="left" w:pos="567"/>
        </w:tabs>
        <w:jc w:val="center"/>
        <w:outlineLvl w:val="0"/>
        <w:rPr>
          <w:szCs w:val="22"/>
          <w:lang w:val="pt-PT"/>
        </w:rPr>
      </w:pPr>
    </w:p>
    <w:p w14:paraId="42FE0A63" w14:textId="77777777" w:rsidR="006365B7" w:rsidRPr="002A54AF" w:rsidRDefault="006365B7" w:rsidP="00011577">
      <w:pPr>
        <w:tabs>
          <w:tab w:val="left" w:pos="567"/>
        </w:tabs>
        <w:jc w:val="center"/>
        <w:outlineLvl w:val="0"/>
        <w:rPr>
          <w:szCs w:val="22"/>
          <w:lang w:val="pt-PT"/>
        </w:rPr>
      </w:pPr>
    </w:p>
    <w:p w14:paraId="26E15A6C" w14:textId="77777777" w:rsidR="006365B7" w:rsidRPr="002A54AF" w:rsidRDefault="006365B7" w:rsidP="00011577">
      <w:pPr>
        <w:tabs>
          <w:tab w:val="left" w:pos="567"/>
        </w:tabs>
        <w:jc w:val="center"/>
        <w:outlineLvl w:val="0"/>
        <w:rPr>
          <w:szCs w:val="22"/>
          <w:lang w:val="pt-PT"/>
        </w:rPr>
      </w:pPr>
    </w:p>
    <w:p w14:paraId="2E56AEA3" w14:textId="77777777" w:rsidR="006365B7" w:rsidRPr="002A54AF" w:rsidRDefault="006365B7" w:rsidP="00011577">
      <w:pPr>
        <w:tabs>
          <w:tab w:val="left" w:pos="567"/>
        </w:tabs>
        <w:jc w:val="center"/>
        <w:outlineLvl w:val="0"/>
        <w:rPr>
          <w:szCs w:val="22"/>
          <w:lang w:val="pt-PT"/>
        </w:rPr>
      </w:pPr>
    </w:p>
    <w:p w14:paraId="4E766F0B" w14:textId="77777777" w:rsidR="00011577" w:rsidRPr="002A54AF" w:rsidRDefault="00011577" w:rsidP="00011577">
      <w:pPr>
        <w:tabs>
          <w:tab w:val="left" w:pos="567"/>
        </w:tabs>
        <w:jc w:val="center"/>
        <w:outlineLvl w:val="0"/>
        <w:rPr>
          <w:b/>
          <w:szCs w:val="22"/>
          <w:lang w:val="pt-PT"/>
        </w:rPr>
      </w:pPr>
    </w:p>
    <w:p w14:paraId="308ECBF1" w14:textId="77777777" w:rsidR="00011577" w:rsidRPr="002A54AF" w:rsidRDefault="00011577" w:rsidP="004215C2">
      <w:pPr>
        <w:tabs>
          <w:tab w:val="left" w:pos="567"/>
        </w:tabs>
        <w:outlineLvl w:val="0"/>
        <w:rPr>
          <w:b/>
          <w:szCs w:val="22"/>
          <w:lang w:val="pt-PT"/>
        </w:rPr>
      </w:pPr>
    </w:p>
    <w:p w14:paraId="7132B94F" w14:textId="77777777" w:rsidR="00011577" w:rsidRPr="002A54AF" w:rsidRDefault="00011577" w:rsidP="00011577">
      <w:pPr>
        <w:widowControl w:val="0"/>
        <w:autoSpaceDE w:val="0"/>
        <w:autoSpaceDN w:val="0"/>
        <w:adjustRightInd w:val="0"/>
        <w:spacing w:after="200" w:line="276" w:lineRule="auto"/>
        <w:ind w:left="127" w:right="120"/>
        <w:rPr>
          <w:rFonts w:eastAsia="SimSun"/>
          <w:color w:val="000000"/>
          <w:szCs w:val="22"/>
          <w:lang w:val="pt-BR"/>
        </w:rPr>
      </w:pPr>
    </w:p>
    <w:p w14:paraId="41FC06F5" w14:textId="77777777" w:rsidR="00011577" w:rsidRPr="002A54AF" w:rsidRDefault="00011577" w:rsidP="00011577">
      <w:pPr>
        <w:widowControl w:val="0"/>
        <w:autoSpaceDE w:val="0"/>
        <w:autoSpaceDN w:val="0"/>
        <w:adjustRightInd w:val="0"/>
        <w:ind w:left="125" w:right="119"/>
        <w:jc w:val="center"/>
        <w:rPr>
          <w:rFonts w:eastAsia="SimSun"/>
          <w:color w:val="000000"/>
          <w:szCs w:val="22"/>
          <w:lang w:val="pt-BR"/>
        </w:rPr>
      </w:pPr>
    </w:p>
    <w:p w14:paraId="7CA3B732" w14:textId="77777777" w:rsidR="008C3642" w:rsidRDefault="008C3642" w:rsidP="00011577">
      <w:pPr>
        <w:keepNext/>
        <w:widowControl w:val="0"/>
        <w:autoSpaceDE w:val="0"/>
        <w:autoSpaceDN w:val="0"/>
        <w:adjustRightInd w:val="0"/>
        <w:ind w:left="127" w:right="119"/>
        <w:jc w:val="center"/>
        <w:rPr>
          <w:rFonts w:eastAsia="SimSun"/>
          <w:b/>
          <w:bCs/>
          <w:color w:val="000000"/>
          <w:szCs w:val="22"/>
          <w:lang w:val="pt-PT"/>
        </w:rPr>
      </w:pPr>
    </w:p>
    <w:p w14:paraId="2FB80355" w14:textId="77777777" w:rsidR="00011577" w:rsidRPr="002A54AF" w:rsidRDefault="00011577" w:rsidP="00011577">
      <w:pPr>
        <w:keepNext/>
        <w:widowControl w:val="0"/>
        <w:autoSpaceDE w:val="0"/>
        <w:autoSpaceDN w:val="0"/>
        <w:adjustRightInd w:val="0"/>
        <w:ind w:left="127" w:right="119"/>
        <w:jc w:val="center"/>
        <w:rPr>
          <w:rFonts w:eastAsia="SimSun"/>
          <w:bCs/>
          <w:color w:val="000000"/>
          <w:szCs w:val="22"/>
          <w:lang w:val="pt-PT"/>
        </w:rPr>
      </w:pPr>
      <w:r w:rsidRPr="002A54AF">
        <w:rPr>
          <w:rFonts w:eastAsia="SimSun"/>
          <w:b/>
          <w:bCs/>
          <w:color w:val="000000"/>
          <w:szCs w:val="22"/>
          <w:lang w:val="pt-PT"/>
        </w:rPr>
        <w:t>ANEXO II</w:t>
      </w:r>
    </w:p>
    <w:p w14:paraId="4164AB9F" w14:textId="77777777" w:rsidR="00011577" w:rsidRPr="002A54AF" w:rsidRDefault="00011577" w:rsidP="00011577">
      <w:pPr>
        <w:widowControl w:val="0"/>
        <w:autoSpaceDE w:val="0"/>
        <w:autoSpaceDN w:val="0"/>
        <w:adjustRightInd w:val="0"/>
        <w:ind w:left="127" w:right="119"/>
        <w:rPr>
          <w:rFonts w:eastAsia="SimSun"/>
          <w:color w:val="000000"/>
          <w:szCs w:val="22"/>
          <w:lang w:val="pt-PT"/>
        </w:rPr>
      </w:pPr>
    </w:p>
    <w:p w14:paraId="4E18C123" w14:textId="77777777" w:rsidR="00011577" w:rsidRPr="002A54AF" w:rsidRDefault="00011577" w:rsidP="00011577">
      <w:pPr>
        <w:keepNext/>
        <w:widowControl w:val="0"/>
        <w:autoSpaceDE w:val="0"/>
        <w:autoSpaceDN w:val="0"/>
        <w:adjustRightInd w:val="0"/>
        <w:ind w:left="1701" w:right="119" w:hanging="567"/>
        <w:rPr>
          <w:rFonts w:eastAsia="SimSun"/>
          <w:bCs/>
          <w:color w:val="000000"/>
          <w:szCs w:val="22"/>
          <w:lang w:val="pt-PT"/>
        </w:rPr>
      </w:pPr>
      <w:r w:rsidRPr="002A54AF">
        <w:rPr>
          <w:rFonts w:eastAsia="SimSun"/>
          <w:b/>
          <w:bCs/>
          <w:color w:val="000000"/>
          <w:szCs w:val="22"/>
          <w:lang w:val="pt-PT"/>
        </w:rPr>
        <w:t>A.</w:t>
      </w:r>
      <w:r w:rsidRPr="002A54AF">
        <w:rPr>
          <w:rFonts w:eastAsia="SimSun"/>
          <w:b/>
          <w:bCs/>
          <w:color w:val="000000"/>
          <w:szCs w:val="22"/>
          <w:lang w:val="pt-PT"/>
        </w:rPr>
        <w:tab/>
        <w:t>FABRICANTE(S) RESPONSÁVEL(VEIS) PELA LIBERTAÇÃO DO LOTE</w:t>
      </w:r>
      <w:r w:rsidRPr="002A54AF">
        <w:rPr>
          <w:rFonts w:eastAsia="SimSun"/>
          <w:bCs/>
          <w:color w:val="000000"/>
          <w:szCs w:val="22"/>
          <w:lang w:val="pt-PT"/>
        </w:rPr>
        <w:t xml:space="preserve"> </w:t>
      </w:r>
    </w:p>
    <w:p w14:paraId="26B63568" w14:textId="77777777" w:rsidR="00011577" w:rsidRPr="002A54AF" w:rsidRDefault="00011577" w:rsidP="00011577">
      <w:pPr>
        <w:keepNext/>
        <w:widowControl w:val="0"/>
        <w:autoSpaceDE w:val="0"/>
        <w:autoSpaceDN w:val="0"/>
        <w:adjustRightInd w:val="0"/>
        <w:ind w:left="1701" w:right="119" w:hanging="567"/>
        <w:rPr>
          <w:rFonts w:eastAsia="SimSun"/>
          <w:b/>
          <w:bCs/>
          <w:color w:val="000000"/>
          <w:szCs w:val="22"/>
          <w:lang w:val="pt-PT"/>
        </w:rPr>
      </w:pPr>
    </w:p>
    <w:p w14:paraId="372B9A84" w14:textId="77777777" w:rsidR="00011577" w:rsidRPr="002A54AF" w:rsidRDefault="00011577" w:rsidP="00011577">
      <w:pPr>
        <w:keepNext/>
        <w:widowControl w:val="0"/>
        <w:autoSpaceDE w:val="0"/>
        <w:autoSpaceDN w:val="0"/>
        <w:adjustRightInd w:val="0"/>
        <w:ind w:left="1701" w:right="119" w:hanging="567"/>
        <w:rPr>
          <w:rFonts w:eastAsia="SimSun"/>
          <w:bCs/>
          <w:color w:val="000000"/>
          <w:szCs w:val="22"/>
          <w:lang w:val="pt-PT"/>
        </w:rPr>
      </w:pPr>
      <w:r w:rsidRPr="002A54AF">
        <w:rPr>
          <w:rFonts w:eastAsia="SimSun"/>
          <w:b/>
          <w:bCs/>
          <w:color w:val="000000"/>
          <w:szCs w:val="22"/>
          <w:lang w:val="pt-PT"/>
        </w:rPr>
        <w:t>B.</w:t>
      </w:r>
      <w:r w:rsidRPr="002A54AF">
        <w:rPr>
          <w:rFonts w:eastAsia="SimSun"/>
          <w:b/>
          <w:bCs/>
          <w:color w:val="000000"/>
          <w:szCs w:val="22"/>
          <w:lang w:val="pt-PT"/>
        </w:rPr>
        <w:tab/>
        <w:t>CONDIÇÕES OU RESTRIÇÕES RELATIVAS AO FORNECIMENTO E UTILIZAÇÃO</w:t>
      </w:r>
    </w:p>
    <w:p w14:paraId="1ED39B96" w14:textId="77777777" w:rsidR="00011577" w:rsidRPr="002A54AF" w:rsidRDefault="00011577" w:rsidP="00011577">
      <w:pPr>
        <w:keepNext/>
        <w:widowControl w:val="0"/>
        <w:autoSpaceDE w:val="0"/>
        <w:autoSpaceDN w:val="0"/>
        <w:adjustRightInd w:val="0"/>
        <w:ind w:left="1701" w:right="119" w:hanging="567"/>
        <w:rPr>
          <w:rFonts w:eastAsia="SimSun"/>
          <w:b/>
          <w:bCs/>
          <w:color w:val="000000"/>
          <w:szCs w:val="22"/>
          <w:lang w:val="pt-PT"/>
        </w:rPr>
      </w:pPr>
    </w:p>
    <w:p w14:paraId="370496F8" w14:textId="77777777" w:rsidR="00011577" w:rsidRPr="002A54AF" w:rsidRDefault="00011577" w:rsidP="00011577">
      <w:pPr>
        <w:keepNext/>
        <w:widowControl w:val="0"/>
        <w:autoSpaceDE w:val="0"/>
        <w:autoSpaceDN w:val="0"/>
        <w:adjustRightInd w:val="0"/>
        <w:ind w:left="1701" w:right="119" w:hanging="567"/>
        <w:rPr>
          <w:rFonts w:eastAsia="SimSun"/>
          <w:bCs/>
          <w:color w:val="000000"/>
          <w:szCs w:val="22"/>
          <w:lang w:val="pt-PT"/>
        </w:rPr>
      </w:pPr>
      <w:r w:rsidRPr="002A54AF">
        <w:rPr>
          <w:rFonts w:eastAsia="SimSun"/>
          <w:b/>
          <w:bCs/>
          <w:color w:val="000000"/>
          <w:szCs w:val="22"/>
          <w:lang w:val="pt-PT"/>
        </w:rPr>
        <w:t>C.</w:t>
      </w:r>
      <w:r w:rsidRPr="002A54AF">
        <w:rPr>
          <w:rFonts w:eastAsia="SimSun"/>
          <w:b/>
          <w:bCs/>
          <w:color w:val="000000"/>
          <w:szCs w:val="22"/>
          <w:lang w:val="pt-PT"/>
        </w:rPr>
        <w:tab/>
        <w:t>OUTRAS CONDIÇÕES E REQUISITOS DA AUTORIZAÇÃO DE INTRODUÇÃO NO MERCADO</w:t>
      </w:r>
    </w:p>
    <w:p w14:paraId="46207AE4" w14:textId="77777777" w:rsidR="00011577" w:rsidRPr="002A54AF" w:rsidRDefault="00011577" w:rsidP="00011577">
      <w:pPr>
        <w:keepNext/>
        <w:widowControl w:val="0"/>
        <w:autoSpaceDE w:val="0"/>
        <w:autoSpaceDN w:val="0"/>
        <w:adjustRightInd w:val="0"/>
        <w:ind w:left="1701" w:right="119" w:hanging="567"/>
        <w:rPr>
          <w:rFonts w:eastAsia="SimSun"/>
          <w:b/>
          <w:bCs/>
          <w:color w:val="000000"/>
          <w:szCs w:val="22"/>
          <w:lang w:val="pt-PT"/>
        </w:rPr>
      </w:pPr>
    </w:p>
    <w:p w14:paraId="67174BA7" w14:textId="77777777" w:rsidR="00011577" w:rsidRPr="002A54AF" w:rsidRDefault="00011577" w:rsidP="00011577">
      <w:pPr>
        <w:keepNext/>
        <w:widowControl w:val="0"/>
        <w:autoSpaceDE w:val="0"/>
        <w:autoSpaceDN w:val="0"/>
        <w:adjustRightInd w:val="0"/>
        <w:ind w:left="1701" w:right="119" w:hanging="567"/>
        <w:rPr>
          <w:rFonts w:eastAsia="SimSun"/>
          <w:bCs/>
          <w:color w:val="000000"/>
          <w:szCs w:val="22"/>
          <w:lang w:val="pt-PT"/>
        </w:rPr>
      </w:pPr>
      <w:r w:rsidRPr="002A54AF">
        <w:rPr>
          <w:rFonts w:eastAsia="SimSun"/>
          <w:b/>
          <w:bCs/>
          <w:color w:val="000000"/>
          <w:szCs w:val="22"/>
          <w:lang w:val="pt-PT"/>
        </w:rPr>
        <w:t>D.</w:t>
      </w:r>
      <w:r w:rsidRPr="002A54AF">
        <w:rPr>
          <w:rFonts w:eastAsia="SimSun"/>
          <w:b/>
          <w:bCs/>
          <w:color w:val="000000"/>
          <w:szCs w:val="22"/>
          <w:lang w:val="pt-PT"/>
        </w:rPr>
        <w:tab/>
        <w:t>CONDIÇÕES OU RESTRIÇÕES RELATIVAS À UTILIZAÇÃO SEGURA E EFICAZ DO MEDICAMENTO</w:t>
      </w:r>
    </w:p>
    <w:p w14:paraId="03BE22CF" w14:textId="77777777" w:rsidR="00011577" w:rsidRPr="002A54AF" w:rsidRDefault="00011577" w:rsidP="00011577">
      <w:pPr>
        <w:widowControl w:val="0"/>
        <w:autoSpaceDE w:val="0"/>
        <w:autoSpaceDN w:val="0"/>
        <w:adjustRightInd w:val="0"/>
        <w:ind w:left="127" w:right="120"/>
        <w:rPr>
          <w:rFonts w:eastAsia="SimSun"/>
          <w:color w:val="000000"/>
          <w:szCs w:val="22"/>
          <w:lang w:val="pt-PT"/>
        </w:rPr>
      </w:pPr>
    </w:p>
    <w:p w14:paraId="304A0A36" w14:textId="77777777" w:rsidR="00011577" w:rsidRPr="002A54AF" w:rsidRDefault="00011577" w:rsidP="004215C2">
      <w:pPr>
        <w:pStyle w:val="12"/>
        <w:ind w:firstLine="0"/>
      </w:pPr>
      <w:r w:rsidRPr="002A54AF">
        <w:br w:type="page"/>
      </w:r>
      <w:r w:rsidRPr="002A54AF">
        <w:lastRenderedPageBreak/>
        <w:t>A.</w:t>
      </w:r>
      <w:r w:rsidRPr="002A54AF">
        <w:tab/>
        <w:t>FABRICANTE(S) RESPONSÁVEL(VEIS) PELA LIBERTAÇÃO DO LOTE</w:t>
      </w:r>
    </w:p>
    <w:p w14:paraId="23767723" w14:textId="77777777" w:rsidR="00011577" w:rsidRPr="002A54AF" w:rsidRDefault="00011577" w:rsidP="00ED315F">
      <w:pPr>
        <w:keepNext/>
        <w:widowControl w:val="0"/>
        <w:autoSpaceDE w:val="0"/>
        <w:autoSpaceDN w:val="0"/>
        <w:adjustRightInd w:val="0"/>
        <w:ind w:hanging="567"/>
        <w:rPr>
          <w:rFonts w:eastAsia="SimSun"/>
          <w:bCs/>
          <w:color w:val="000000"/>
          <w:szCs w:val="22"/>
          <w:lang w:val="pt-PT"/>
        </w:rPr>
      </w:pPr>
    </w:p>
    <w:p w14:paraId="12C53210" w14:textId="77777777" w:rsidR="00011577" w:rsidRPr="002A54AF" w:rsidRDefault="00011577" w:rsidP="00ED315F">
      <w:pPr>
        <w:widowControl w:val="0"/>
        <w:autoSpaceDE w:val="0"/>
        <w:autoSpaceDN w:val="0"/>
        <w:adjustRightInd w:val="0"/>
        <w:rPr>
          <w:rFonts w:eastAsia="SimSun"/>
          <w:color w:val="000000"/>
          <w:szCs w:val="22"/>
          <w:u w:val="single"/>
          <w:lang w:val="pt-PT"/>
        </w:rPr>
      </w:pPr>
      <w:r w:rsidRPr="002A54AF">
        <w:rPr>
          <w:rFonts w:eastAsia="SimSun"/>
          <w:color w:val="000000"/>
          <w:szCs w:val="22"/>
          <w:u w:val="single"/>
          <w:lang w:val="pt-PT"/>
        </w:rPr>
        <w:t>Nome e endereço do(s) fabricante(s) responsável(veis) pela libertação do lote</w:t>
      </w:r>
    </w:p>
    <w:p w14:paraId="321E5A11" w14:textId="77777777" w:rsidR="00011577" w:rsidRPr="000E218C" w:rsidRDefault="00011577" w:rsidP="00011577">
      <w:pPr>
        <w:widowControl w:val="0"/>
        <w:autoSpaceDE w:val="0"/>
        <w:autoSpaceDN w:val="0"/>
        <w:adjustRightInd w:val="0"/>
        <w:ind w:right="120"/>
        <w:rPr>
          <w:rFonts w:eastAsia="SimSun"/>
          <w:color w:val="000000"/>
          <w:szCs w:val="22"/>
          <w:lang w:val="pt-PT"/>
        </w:rPr>
      </w:pPr>
    </w:p>
    <w:p w14:paraId="5172183D" w14:textId="77777777" w:rsidR="00682995" w:rsidRPr="00ED57C2" w:rsidRDefault="00682995" w:rsidP="00682995">
      <w:pPr>
        <w:autoSpaceDE w:val="0"/>
        <w:autoSpaceDN w:val="0"/>
        <w:adjustRightInd w:val="0"/>
        <w:rPr>
          <w:lang w:val="en-GB"/>
        </w:rPr>
      </w:pPr>
      <w:r w:rsidRPr="00ED57C2">
        <w:rPr>
          <w:lang w:val="en-GB"/>
        </w:rPr>
        <w:t>Pharmadox Healthcare Ltd.</w:t>
      </w:r>
    </w:p>
    <w:p w14:paraId="2118C2BD" w14:textId="77777777" w:rsidR="00682995" w:rsidRPr="00EC15BE" w:rsidRDefault="00682995" w:rsidP="00682995">
      <w:pPr>
        <w:autoSpaceDE w:val="0"/>
        <w:autoSpaceDN w:val="0"/>
        <w:adjustRightInd w:val="0"/>
      </w:pPr>
      <w:r w:rsidRPr="00EC15BE">
        <w:t>KW20A Kordin Industrial Park,</w:t>
      </w:r>
    </w:p>
    <w:p w14:paraId="4DF399B0" w14:textId="77777777" w:rsidR="00682995" w:rsidRPr="000E218C" w:rsidRDefault="00682995" w:rsidP="00ED315F">
      <w:pPr>
        <w:pStyle w:val="ListParagraph"/>
        <w:autoSpaceDE w:val="0"/>
        <w:autoSpaceDN w:val="0"/>
        <w:adjustRightInd w:val="0"/>
        <w:ind w:left="0"/>
        <w:rPr>
          <w:szCs w:val="22"/>
        </w:rPr>
      </w:pPr>
      <w:r w:rsidRPr="00EC15BE">
        <w:t>Paola, PLA 3000</w:t>
      </w:r>
      <w:r w:rsidR="00ED315F" w:rsidRPr="000E218C">
        <w:rPr>
          <w:szCs w:val="22"/>
        </w:rPr>
        <w:t xml:space="preserve"> </w:t>
      </w:r>
    </w:p>
    <w:p w14:paraId="155BC44A" w14:textId="77777777" w:rsidR="00ED315F" w:rsidRPr="000E218C" w:rsidRDefault="00ED315F" w:rsidP="00ED315F">
      <w:pPr>
        <w:pStyle w:val="ListParagraph"/>
        <w:autoSpaceDE w:val="0"/>
        <w:autoSpaceDN w:val="0"/>
        <w:adjustRightInd w:val="0"/>
        <w:ind w:left="0"/>
        <w:rPr>
          <w:szCs w:val="22"/>
        </w:rPr>
      </w:pPr>
      <w:r w:rsidRPr="000E218C">
        <w:rPr>
          <w:szCs w:val="22"/>
        </w:rPr>
        <w:t>Malta</w:t>
      </w:r>
    </w:p>
    <w:p w14:paraId="7C860C11" w14:textId="77777777" w:rsidR="00682995" w:rsidRPr="000E218C" w:rsidRDefault="00682995" w:rsidP="00ED315F">
      <w:pPr>
        <w:pStyle w:val="ListParagraph"/>
        <w:autoSpaceDE w:val="0"/>
        <w:autoSpaceDN w:val="0"/>
        <w:adjustRightInd w:val="0"/>
        <w:ind w:left="0"/>
        <w:rPr>
          <w:szCs w:val="22"/>
        </w:rPr>
      </w:pPr>
    </w:p>
    <w:p w14:paraId="3D89E96D" w14:textId="77777777" w:rsidR="00682995" w:rsidRPr="00B1402F" w:rsidRDefault="00682995" w:rsidP="00682995">
      <w:r w:rsidRPr="00B1402F">
        <w:t>Accord Healthcare Polska Sp.z o.o.,</w:t>
      </w:r>
    </w:p>
    <w:p w14:paraId="6ECCE12C" w14:textId="77777777" w:rsidR="00682995" w:rsidRDefault="00682995" w:rsidP="00682995">
      <w:pPr>
        <w:pStyle w:val="ListParagraph"/>
        <w:autoSpaceDE w:val="0"/>
        <w:autoSpaceDN w:val="0"/>
        <w:adjustRightInd w:val="0"/>
        <w:ind w:left="0"/>
      </w:pPr>
      <w:r w:rsidRPr="00B1402F">
        <w:t>ul. Lutomierska 50,95-200 Pabianice, Polónia</w:t>
      </w:r>
    </w:p>
    <w:p w14:paraId="44E74860" w14:textId="77777777" w:rsidR="007646C1" w:rsidRDefault="007646C1" w:rsidP="00682995">
      <w:pPr>
        <w:pStyle w:val="ListParagraph"/>
        <w:autoSpaceDE w:val="0"/>
        <w:autoSpaceDN w:val="0"/>
        <w:adjustRightInd w:val="0"/>
        <w:ind w:left="0"/>
      </w:pPr>
    </w:p>
    <w:p w14:paraId="77D05A39" w14:textId="77777777" w:rsidR="007646C1" w:rsidRPr="00533763" w:rsidRDefault="007646C1" w:rsidP="007646C1">
      <w:pPr>
        <w:rPr>
          <w:szCs w:val="22"/>
          <w:lang w:val="en-GB"/>
        </w:rPr>
      </w:pPr>
      <w:r w:rsidRPr="00533763">
        <w:rPr>
          <w:szCs w:val="22"/>
          <w:lang w:val="en-GB"/>
        </w:rPr>
        <w:t xml:space="preserve">Accord Healthcare B.V., </w:t>
      </w:r>
    </w:p>
    <w:p w14:paraId="0F222443" w14:textId="77777777" w:rsidR="007646C1" w:rsidRPr="00ED57C2" w:rsidRDefault="007646C1" w:rsidP="007646C1">
      <w:pPr>
        <w:rPr>
          <w:szCs w:val="22"/>
          <w:lang w:val="pt-PT"/>
        </w:rPr>
      </w:pPr>
      <w:r w:rsidRPr="00ED57C2">
        <w:rPr>
          <w:szCs w:val="22"/>
          <w:lang w:val="pt-PT"/>
        </w:rPr>
        <w:t xml:space="preserve">Winthontlaan 200, </w:t>
      </w:r>
    </w:p>
    <w:p w14:paraId="2BD5D304" w14:textId="77777777" w:rsidR="007646C1" w:rsidRPr="00ED57C2" w:rsidRDefault="007646C1" w:rsidP="007646C1">
      <w:pPr>
        <w:rPr>
          <w:szCs w:val="22"/>
          <w:lang w:val="pt-PT"/>
        </w:rPr>
      </w:pPr>
      <w:r w:rsidRPr="00ED57C2">
        <w:rPr>
          <w:szCs w:val="22"/>
          <w:lang w:val="pt-PT"/>
        </w:rPr>
        <w:t>3526 KV Utrecht,</w:t>
      </w:r>
    </w:p>
    <w:p w14:paraId="450D0E87" w14:textId="77777777" w:rsidR="007646C1" w:rsidRPr="002A54AF" w:rsidRDefault="007646C1" w:rsidP="007646C1">
      <w:pPr>
        <w:pStyle w:val="ListParagraph"/>
        <w:autoSpaceDE w:val="0"/>
        <w:autoSpaceDN w:val="0"/>
        <w:adjustRightInd w:val="0"/>
        <w:ind w:left="0"/>
        <w:rPr>
          <w:szCs w:val="22"/>
          <w:lang w:val="pt-PT"/>
        </w:rPr>
      </w:pPr>
      <w:r w:rsidRPr="00ED57C2">
        <w:rPr>
          <w:szCs w:val="22"/>
          <w:lang w:val="pt-PT"/>
        </w:rPr>
        <w:t>Países Baixos</w:t>
      </w:r>
    </w:p>
    <w:p w14:paraId="20F33539" w14:textId="77777777" w:rsidR="00ED315F" w:rsidRPr="002A54AF" w:rsidRDefault="00ED315F" w:rsidP="00ED315F">
      <w:pPr>
        <w:pStyle w:val="ListParagraph"/>
        <w:autoSpaceDE w:val="0"/>
        <w:autoSpaceDN w:val="0"/>
        <w:adjustRightInd w:val="0"/>
        <w:ind w:left="0"/>
        <w:rPr>
          <w:szCs w:val="22"/>
          <w:lang w:val="pt-PT"/>
        </w:rPr>
      </w:pPr>
    </w:p>
    <w:p w14:paraId="2D4D9FEE" w14:textId="77777777" w:rsidR="00ED315F" w:rsidRPr="002A54AF" w:rsidRDefault="00ED315F" w:rsidP="00ED315F">
      <w:pPr>
        <w:pStyle w:val="ListParagraph"/>
        <w:autoSpaceDE w:val="0"/>
        <w:autoSpaceDN w:val="0"/>
        <w:adjustRightInd w:val="0"/>
        <w:ind w:left="0"/>
        <w:rPr>
          <w:noProof/>
          <w:color w:val="000000"/>
          <w:szCs w:val="22"/>
          <w:lang w:val="pt-PT"/>
        </w:rPr>
      </w:pPr>
      <w:r w:rsidRPr="002A54AF">
        <w:rPr>
          <w:noProof/>
          <w:color w:val="000000"/>
          <w:szCs w:val="22"/>
          <w:lang w:val="pt-PT"/>
        </w:rPr>
        <w:t>O folheto informativo que acompanha o medicamento tem de mencionar o nome e endereço do fabricante responsável pela libertação do lote em causa.</w:t>
      </w:r>
    </w:p>
    <w:p w14:paraId="15FD273C" w14:textId="77777777" w:rsidR="00ED315F" w:rsidRPr="002A54AF" w:rsidRDefault="00ED315F" w:rsidP="00ED315F">
      <w:pPr>
        <w:pStyle w:val="ListParagraph"/>
        <w:autoSpaceDE w:val="0"/>
        <w:autoSpaceDN w:val="0"/>
        <w:adjustRightInd w:val="0"/>
        <w:ind w:left="0"/>
        <w:rPr>
          <w:szCs w:val="22"/>
          <w:lang w:val="pt-PT"/>
        </w:rPr>
      </w:pPr>
    </w:p>
    <w:p w14:paraId="2BD6DDFF" w14:textId="77777777" w:rsidR="00011577" w:rsidRPr="002A54AF" w:rsidRDefault="00011577" w:rsidP="00011577">
      <w:pPr>
        <w:widowControl w:val="0"/>
        <w:autoSpaceDE w:val="0"/>
        <w:autoSpaceDN w:val="0"/>
        <w:adjustRightInd w:val="0"/>
        <w:ind w:right="120"/>
        <w:rPr>
          <w:rFonts w:eastAsia="SimSun"/>
          <w:color w:val="000000"/>
          <w:szCs w:val="22"/>
          <w:lang w:val="pt-PT"/>
        </w:rPr>
      </w:pPr>
    </w:p>
    <w:p w14:paraId="6D0F5820" w14:textId="77777777" w:rsidR="00011577" w:rsidRPr="002A54AF" w:rsidRDefault="00011577" w:rsidP="00C4485D">
      <w:pPr>
        <w:pStyle w:val="13"/>
      </w:pPr>
      <w:r w:rsidRPr="002A54AF">
        <w:t>B.</w:t>
      </w:r>
      <w:r w:rsidRPr="002A54AF">
        <w:tab/>
        <w:t>CONDIÇÕES OU RESTRIÇÕES RELATIVAS AO FORNECIMENTO E UTILIZAÇÃO</w:t>
      </w:r>
    </w:p>
    <w:p w14:paraId="00B4B153" w14:textId="77777777" w:rsidR="00011577" w:rsidRPr="002A54AF" w:rsidRDefault="00011577" w:rsidP="00011577">
      <w:pPr>
        <w:widowControl w:val="0"/>
        <w:autoSpaceDE w:val="0"/>
        <w:autoSpaceDN w:val="0"/>
        <w:adjustRightInd w:val="0"/>
        <w:ind w:left="567" w:right="120" w:hanging="567"/>
        <w:rPr>
          <w:rFonts w:eastAsia="SimSun"/>
          <w:color w:val="000000"/>
          <w:szCs w:val="22"/>
          <w:lang w:val="pt-PT"/>
        </w:rPr>
      </w:pPr>
    </w:p>
    <w:p w14:paraId="2F036DA2" w14:textId="77777777" w:rsidR="00011577" w:rsidRPr="002A54AF" w:rsidRDefault="00011577" w:rsidP="00011577">
      <w:pPr>
        <w:widowControl w:val="0"/>
        <w:autoSpaceDE w:val="0"/>
        <w:autoSpaceDN w:val="0"/>
        <w:adjustRightInd w:val="0"/>
        <w:ind w:left="567" w:right="120" w:hanging="567"/>
        <w:rPr>
          <w:rFonts w:eastAsia="SimSun"/>
          <w:color w:val="000000"/>
          <w:szCs w:val="22"/>
          <w:lang w:val="pt-PT"/>
        </w:rPr>
      </w:pPr>
      <w:r w:rsidRPr="002A54AF">
        <w:rPr>
          <w:rFonts w:eastAsia="SimSun"/>
          <w:color w:val="000000"/>
          <w:szCs w:val="22"/>
          <w:lang w:val="pt-PT"/>
        </w:rPr>
        <w:t xml:space="preserve">Medicamento sujeito a receita médica. </w:t>
      </w:r>
    </w:p>
    <w:p w14:paraId="3191A756" w14:textId="77777777" w:rsidR="00011577" w:rsidRPr="002A54AF" w:rsidRDefault="00011577" w:rsidP="00011577">
      <w:pPr>
        <w:widowControl w:val="0"/>
        <w:autoSpaceDE w:val="0"/>
        <w:autoSpaceDN w:val="0"/>
        <w:adjustRightInd w:val="0"/>
        <w:ind w:left="567" w:right="120" w:hanging="567"/>
        <w:rPr>
          <w:rFonts w:eastAsia="SimSun"/>
          <w:color w:val="000000"/>
          <w:szCs w:val="22"/>
          <w:lang w:val="pt-PT"/>
        </w:rPr>
      </w:pPr>
    </w:p>
    <w:p w14:paraId="3BCD5829" w14:textId="77777777" w:rsidR="00011577" w:rsidRPr="002A54AF" w:rsidRDefault="00011577" w:rsidP="00011577">
      <w:pPr>
        <w:widowControl w:val="0"/>
        <w:autoSpaceDE w:val="0"/>
        <w:autoSpaceDN w:val="0"/>
        <w:adjustRightInd w:val="0"/>
        <w:ind w:left="567" w:right="120" w:hanging="567"/>
        <w:rPr>
          <w:rFonts w:eastAsia="SimSun"/>
          <w:color w:val="000000"/>
          <w:szCs w:val="22"/>
          <w:lang w:val="pt-PT"/>
        </w:rPr>
      </w:pPr>
    </w:p>
    <w:p w14:paraId="4FBBEAC8" w14:textId="77777777" w:rsidR="00011577" w:rsidRPr="002A54AF" w:rsidRDefault="00011577" w:rsidP="00C4485D">
      <w:pPr>
        <w:pStyle w:val="14"/>
      </w:pPr>
      <w:r w:rsidRPr="002A54AF">
        <w:t>C.</w:t>
      </w:r>
      <w:r w:rsidRPr="002A54AF">
        <w:tab/>
        <w:t xml:space="preserve">OUTRAS CONDIÇÕES E REQUISITOS DA AUTORIZAÇÃO DE INTRODUÇÃO NO MERCADO </w:t>
      </w:r>
    </w:p>
    <w:p w14:paraId="772AE08E" w14:textId="77777777" w:rsidR="00011577" w:rsidRPr="002A54AF" w:rsidRDefault="00011577" w:rsidP="00011577">
      <w:pPr>
        <w:widowControl w:val="0"/>
        <w:autoSpaceDE w:val="0"/>
        <w:autoSpaceDN w:val="0"/>
        <w:adjustRightInd w:val="0"/>
        <w:ind w:left="567" w:right="120" w:hanging="567"/>
        <w:rPr>
          <w:rFonts w:eastAsia="SimSun"/>
          <w:bCs/>
          <w:color w:val="000000"/>
          <w:szCs w:val="22"/>
          <w:lang w:val="pt-PT"/>
        </w:rPr>
      </w:pPr>
    </w:p>
    <w:p w14:paraId="42F5A8FD" w14:textId="77777777" w:rsidR="00011577" w:rsidRPr="00646C77" w:rsidRDefault="00011577" w:rsidP="00E72BDD">
      <w:pPr>
        <w:widowControl w:val="0"/>
        <w:numPr>
          <w:ilvl w:val="0"/>
          <w:numId w:val="15"/>
        </w:numPr>
        <w:autoSpaceDE w:val="0"/>
        <w:autoSpaceDN w:val="0"/>
        <w:adjustRightInd w:val="0"/>
        <w:ind w:left="567" w:hanging="567"/>
        <w:rPr>
          <w:rFonts w:eastAsia="SimSun"/>
          <w:szCs w:val="22"/>
          <w:lang w:val="pt-PT"/>
        </w:rPr>
      </w:pPr>
      <w:r w:rsidRPr="00646C77">
        <w:rPr>
          <w:rFonts w:eastAsia="SimSun"/>
          <w:b/>
          <w:bCs/>
          <w:szCs w:val="22"/>
          <w:lang w:val="pt-PT"/>
        </w:rPr>
        <w:t>Relatórios Periódicos de Segurança</w:t>
      </w:r>
      <w:r w:rsidRPr="00646C77">
        <w:rPr>
          <w:rFonts w:eastAsia="SimSun"/>
          <w:bCs/>
          <w:szCs w:val="22"/>
          <w:lang w:val="pt-PT"/>
        </w:rPr>
        <w:t xml:space="preserve"> </w:t>
      </w:r>
      <w:r w:rsidR="004D3428" w:rsidRPr="00646C77">
        <w:rPr>
          <w:rFonts w:eastAsia="SimSun"/>
          <w:bCs/>
          <w:szCs w:val="22"/>
          <w:lang w:val="pt-PT"/>
        </w:rPr>
        <w:t>(R</w:t>
      </w:r>
      <w:r w:rsidR="004D3428">
        <w:rPr>
          <w:rFonts w:eastAsia="SimSun"/>
          <w:bCs/>
          <w:szCs w:val="22"/>
          <w:lang w:val="pt-PT"/>
        </w:rPr>
        <w:t>PS)</w:t>
      </w:r>
    </w:p>
    <w:p w14:paraId="6560C00F" w14:textId="77777777" w:rsidR="00165E83" w:rsidRDefault="00165E83" w:rsidP="00011577">
      <w:pPr>
        <w:widowControl w:val="0"/>
        <w:autoSpaceDE w:val="0"/>
        <w:autoSpaceDN w:val="0"/>
        <w:adjustRightInd w:val="0"/>
        <w:ind w:right="120"/>
        <w:rPr>
          <w:noProof/>
          <w:szCs w:val="22"/>
          <w:lang w:val="pt-PT"/>
        </w:rPr>
      </w:pPr>
    </w:p>
    <w:p w14:paraId="4BB4EA99" w14:textId="77777777" w:rsidR="00011577" w:rsidRPr="008277A1" w:rsidRDefault="008277A1" w:rsidP="00011577">
      <w:pPr>
        <w:widowControl w:val="0"/>
        <w:autoSpaceDE w:val="0"/>
        <w:autoSpaceDN w:val="0"/>
        <w:adjustRightInd w:val="0"/>
        <w:ind w:right="120"/>
        <w:rPr>
          <w:rFonts w:eastAsia="SimSun"/>
          <w:color w:val="000000"/>
          <w:szCs w:val="22"/>
          <w:lang w:val="pt-PT"/>
        </w:rPr>
      </w:pPr>
      <w:r w:rsidRPr="008277A1">
        <w:rPr>
          <w:noProof/>
          <w:szCs w:val="22"/>
          <w:lang w:val="pt-PT"/>
        </w:rPr>
        <w:t xml:space="preserve">Os requisitos para a apresentação de </w:t>
      </w:r>
      <w:r w:rsidR="004D3428">
        <w:rPr>
          <w:noProof/>
          <w:szCs w:val="22"/>
          <w:lang w:val="pt-PT"/>
        </w:rPr>
        <w:t>RPS</w:t>
      </w:r>
      <w:r w:rsidRPr="008277A1">
        <w:rPr>
          <w:noProof/>
          <w:szCs w:val="22"/>
          <w:lang w:val="pt-PT"/>
        </w:rPr>
        <w:t xml:space="preserve"> para este medicamento estão estabelecidos na lista Europeia de datas de referência (lista EURD), tal como previsto nos termos do n. 7 do artigo 107.º-C da Diretiva 2001/83/CE e quaisquer atualizações subsequentes publicadas no portal europeu de medicamentos.</w:t>
      </w:r>
    </w:p>
    <w:p w14:paraId="7698BFAD" w14:textId="77777777" w:rsidR="00011577" w:rsidRPr="008277A1" w:rsidRDefault="00011577" w:rsidP="00011577">
      <w:pPr>
        <w:keepNext/>
        <w:widowControl w:val="0"/>
        <w:autoSpaceDE w:val="0"/>
        <w:autoSpaceDN w:val="0"/>
        <w:adjustRightInd w:val="0"/>
        <w:ind w:left="567" w:right="120" w:hanging="567"/>
        <w:rPr>
          <w:rFonts w:eastAsia="SimSun"/>
          <w:b/>
          <w:bCs/>
          <w:color w:val="000000"/>
          <w:szCs w:val="22"/>
          <w:lang w:val="pt-PT"/>
        </w:rPr>
      </w:pPr>
    </w:p>
    <w:p w14:paraId="5CFE56B8" w14:textId="77777777" w:rsidR="00011577" w:rsidRPr="008277A1" w:rsidRDefault="00011577" w:rsidP="00011577">
      <w:pPr>
        <w:keepNext/>
        <w:widowControl w:val="0"/>
        <w:autoSpaceDE w:val="0"/>
        <w:autoSpaceDN w:val="0"/>
        <w:adjustRightInd w:val="0"/>
        <w:ind w:left="567" w:right="120" w:hanging="567"/>
        <w:rPr>
          <w:rFonts w:eastAsia="SimSun"/>
          <w:b/>
          <w:bCs/>
          <w:color w:val="000000"/>
          <w:szCs w:val="22"/>
          <w:lang w:val="pt-PT"/>
        </w:rPr>
      </w:pPr>
    </w:p>
    <w:p w14:paraId="2451A8E3" w14:textId="77777777" w:rsidR="00011577" w:rsidRPr="008277A1" w:rsidRDefault="00011577" w:rsidP="00C4485D">
      <w:pPr>
        <w:pStyle w:val="15"/>
      </w:pPr>
      <w:r w:rsidRPr="008277A1">
        <w:t>D.</w:t>
      </w:r>
      <w:r w:rsidRPr="008277A1">
        <w:tab/>
        <w:t>CONDIÇÕES OU RESTRIÇÕES RELATIVAS À UTILIZAÇÃO SEGURA E EFICAZ DO MEDICAMENTO</w:t>
      </w:r>
    </w:p>
    <w:p w14:paraId="6BC8D059" w14:textId="77777777" w:rsidR="00011577" w:rsidRPr="008277A1" w:rsidRDefault="00011577" w:rsidP="00011577">
      <w:pPr>
        <w:keepNext/>
        <w:widowControl w:val="0"/>
        <w:autoSpaceDE w:val="0"/>
        <w:autoSpaceDN w:val="0"/>
        <w:adjustRightInd w:val="0"/>
        <w:ind w:left="567" w:right="120" w:hanging="567"/>
        <w:rPr>
          <w:rFonts w:eastAsia="SimSun"/>
          <w:bCs/>
          <w:color w:val="000000"/>
          <w:szCs w:val="22"/>
          <w:lang w:val="pt-PT"/>
        </w:rPr>
      </w:pPr>
    </w:p>
    <w:p w14:paraId="11EDD5E7" w14:textId="77777777" w:rsidR="00011577" w:rsidRPr="006C1945" w:rsidRDefault="00011577" w:rsidP="00E72BDD">
      <w:pPr>
        <w:widowControl w:val="0"/>
        <w:numPr>
          <w:ilvl w:val="0"/>
          <w:numId w:val="12"/>
        </w:numPr>
        <w:autoSpaceDE w:val="0"/>
        <w:autoSpaceDN w:val="0"/>
        <w:adjustRightInd w:val="0"/>
        <w:ind w:left="567" w:right="120" w:hanging="567"/>
        <w:rPr>
          <w:rFonts w:eastAsia="SimSun"/>
          <w:b/>
          <w:szCs w:val="22"/>
          <w:lang w:val="pt-PT"/>
        </w:rPr>
      </w:pPr>
      <w:bookmarkStart w:id="52" w:name="page_total_master7"/>
      <w:bookmarkStart w:id="53" w:name="page_total"/>
      <w:bookmarkEnd w:id="52"/>
      <w:bookmarkEnd w:id="53"/>
      <w:r w:rsidRPr="006C1945">
        <w:rPr>
          <w:rFonts w:eastAsia="SimSun"/>
          <w:b/>
          <w:szCs w:val="22"/>
          <w:lang w:val="pt-PT"/>
        </w:rPr>
        <w:t xml:space="preserve">Plano de </w:t>
      </w:r>
      <w:r w:rsidR="004D3428">
        <w:rPr>
          <w:rFonts w:eastAsia="SimSun"/>
          <w:b/>
          <w:szCs w:val="22"/>
          <w:lang w:val="pt-PT"/>
        </w:rPr>
        <w:t>g</w:t>
      </w:r>
      <w:r w:rsidR="004D3428" w:rsidRPr="006C1945">
        <w:rPr>
          <w:rFonts w:eastAsia="SimSun"/>
          <w:b/>
          <w:szCs w:val="22"/>
          <w:lang w:val="pt-PT"/>
        </w:rPr>
        <w:t xml:space="preserve">estão </w:t>
      </w:r>
      <w:r w:rsidRPr="006C1945">
        <w:rPr>
          <w:rFonts w:eastAsia="SimSun"/>
          <w:b/>
          <w:szCs w:val="22"/>
          <w:lang w:val="pt-PT"/>
        </w:rPr>
        <w:t xml:space="preserve">do </w:t>
      </w:r>
      <w:r w:rsidR="004D3428">
        <w:rPr>
          <w:rFonts w:eastAsia="SimSun"/>
          <w:b/>
          <w:szCs w:val="22"/>
          <w:lang w:val="pt-PT"/>
        </w:rPr>
        <w:t>r</w:t>
      </w:r>
      <w:r w:rsidR="004D3428" w:rsidRPr="006C1945">
        <w:rPr>
          <w:rFonts w:eastAsia="SimSun"/>
          <w:b/>
          <w:szCs w:val="22"/>
          <w:lang w:val="pt-PT"/>
        </w:rPr>
        <w:t xml:space="preserve">isco </w:t>
      </w:r>
      <w:r w:rsidRPr="006C1945">
        <w:rPr>
          <w:rFonts w:eastAsia="SimSun"/>
          <w:b/>
          <w:szCs w:val="22"/>
          <w:lang w:val="pt-PT"/>
        </w:rPr>
        <w:t>(PGR)</w:t>
      </w:r>
    </w:p>
    <w:p w14:paraId="6C33C439" w14:textId="77777777" w:rsidR="00011577" w:rsidRPr="006C1945" w:rsidRDefault="00011577" w:rsidP="00011577">
      <w:pPr>
        <w:widowControl w:val="0"/>
        <w:autoSpaceDE w:val="0"/>
        <w:autoSpaceDN w:val="0"/>
        <w:adjustRightInd w:val="0"/>
        <w:ind w:right="120"/>
        <w:rPr>
          <w:rFonts w:eastAsia="SimSun"/>
          <w:szCs w:val="22"/>
          <w:lang w:val="pt-PT"/>
        </w:rPr>
      </w:pPr>
    </w:p>
    <w:p w14:paraId="18FBBF96" w14:textId="77777777" w:rsidR="008277A1" w:rsidRPr="006C1945" w:rsidRDefault="008277A1" w:rsidP="008277A1">
      <w:pPr>
        <w:ind w:right="-1"/>
        <w:rPr>
          <w:lang w:val="pt-PT" w:eastAsia="zh-CN"/>
        </w:rPr>
      </w:pPr>
      <w:r w:rsidRPr="006C1945">
        <w:rPr>
          <w:szCs w:val="22"/>
          <w:lang w:val="pt-PT"/>
        </w:rPr>
        <w:t xml:space="preserve">O Titular da </w:t>
      </w:r>
      <w:r w:rsidR="004D3428">
        <w:rPr>
          <w:szCs w:val="22"/>
          <w:lang w:val="pt-PT"/>
        </w:rPr>
        <w:t>autorização de introdução no mercado (</w:t>
      </w:r>
      <w:r w:rsidRPr="006C1945">
        <w:rPr>
          <w:szCs w:val="22"/>
          <w:lang w:val="pt-PT"/>
        </w:rPr>
        <w:t>AIM</w:t>
      </w:r>
      <w:r w:rsidR="004D3428">
        <w:rPr>
          <w:szCs w:val="22"/>
          <w:lang w:val="pt-PT"/>
        </w:rPr>
        <w:t>)</w:t>
      </w:r>
      <w:r w:rsidRPr="006C1945">
        <w:rPr>
          <w:szCs w:val="22"/>
          <w:lang w:val="pt-PT"/>
        </w:rPr>
        <w:t xml:space="preserve"> deve efetuar as atividades e as intervenções de farmacovigilância requeridas e detalhadas no PGR apresentado no Módulo 1.8.2. da </w:t>
      </w:r>
      <w:r w:rsidR="004D3428">
        <w:rPr>
          <w:szCs w:val="22"/>
          <w:lang w:val="pt-PT"/>
        </w:rPr>
        <w:t>a</w:t>
      </w:r>
      <w:r w:rsidRPr="006C1945">
        <w:rPr>
          <w:szCs w:val="22"/>
          <w:lang w:val="pt-PT"/>
        </w:rPr>
        <w:t xml:space="preserve">utorização de </w:t>
      </w:r>
      <w:r w:rsidR="004D3428">
        <w:rPr>
          <w:szCs w:val="22"/>
          <w:lang w:val="pt-PT"/>
        </w:rPr>
        <w:t>i</w:t>
      </w:r>
      <w:r w:rsidR="004D3428" w:rsidRPr="006C1945">
        <w:rPr>
          <w:szCs w:val="22"/>
          <w:lang w:val="pt-PT"/>
        </w:rPr>
        <w:t xml:space="preserve">ntrodução </w:t>
      </w:r>
      <w:r w:rsidRPr="006C1945">
        <w:rPr>
          <w:szCs w:val="22"/>
          <w:lang w:val="pt-PT"/>
        </w:rPr>
        <w:t xml:space="preserve">no </w:t>
      </w:r>
      <w:r w:rsidR="004D3428">
        <w:rPr>
          <w:szCs w:val="22"/>
          <w:lang w:val="pt-PT"/>
        </w:rPr>
        <w:t>m</w:t>
      </w:r>
      <w:r w:rsidR="004D3428" w:rsidRPr="006C1945">
        <w:rPr>
          <w:szCs w:val="22"/>
          <w:lang w:val="pt-PT"/>
        </w:rPr>
        <w:t>ercado</w:t>
      </w:r>
      <w:r w:rsidRPr="006C1945">
        <w:rPr>
          <w:szCs w:val="22"/>
          <w:lang w:val="pt-PT"/>
        </w:rPr>
        <w:t>, e quaisquer atualizações subsequentes do PGR acordadas.</w:t>
      </w:r>
    </w:p>
    <w:p w14:paraId="0CF1A128" w14:textId="77777777" w:rsidR="008277A1" w:rsidRPr="006C1945" w:rsidRDefault="008277A1" w:rsidP="008277A1">
      <w:pPr>
        <w:ind w:right="-1"/>
        <w:rPr>
          <w:szCs w:val="22"/>
          <w:lang w:val="pt-PT"/>
        </w:rPr>
      </w:pPr>
    </w:p>
    <w:p w14:paraId="2CC02FD5" w14:textId="77777777" w:rsidR="008277A1" w:rsidRPr="006C1945" w:rsidRDefault="008277A1" w:rsidP="008277A1">
      <w:pPr>
        <w:ind w:right="-1"/>
        <w:rPr>
          <w:szCs w:val="22"/>
          <w:lang w:val="pt-PT"/>
        </w:rPr>
      </w:pPr>
      <w:r w:rsidRPr="006C1945">
        <w:rPr>
          <w:szCs w:val="22"/>
          <w:lang w:val="pt-PT"/>
        </w:rPr>
        <w:t>Deve ser apresentado um PGR atualizado:</w:t>
      </w:r>
    </w:p>
    <w:p w14:paraId="63F7CFF9" w14:textId="77777777" w:rsidR="008277A1" w:rsidRPr="006C1945" w:rsidRDefault="008277A1" w:rsidP="008277A1">
      <w:pPr>
        <w:ind w:right="-1"/>
        <w:rPr>
          <w:i/>
          <w:szCs w:val="22"/>
          <w:lang w:val="pt-PT"/>
        </w:rPr>
      </w:pPr>
    </w:p>
    <w:p w14:paraId="34F27C3E" w14:textId="77777777" w:rsidR="008277A1" w:rsidRPr="006C1945" w:rsidRDefault="008277A1" w:rsidP="008277A1">
      <w:pPr>
        <w:numPr>
          <w:ilvl w:val="0"/>
          <w:numId w:val="22"/>
        </w:numPr>
        <w:tabs>
          <w:tab w:val="clear" w:pos="720"/>
          <w:tab w:val="num" w:pos="567"/>
        </w:tabs>
        <w:ind w:left="567" w:hanging="567"/>
        <w:rPr>
          <w:i/>
          <w:szCs w:val="22"/>
          <w:lang w:val="pt-PT"/>
        </w:rPr>
      </w:pPr>
      <w:r w:rsidRPr="006C1945">
        <w:rPr>
          <w:snapToGrid w:val="0"/>
          <w:szCs w:val="22"/>
          <w:lang w:val="pt-PT"/>
        </w:rPr>
        <w:t>A pedido da Agência Europeia de Medicamentos;</w:t>
      </w:r>
    </w:p>
    <w:p w14:paraId="559528DE" w14:textId="77777777" w:rsidR="008277A1" w:rsidRPr="006C1945" w:rsidRDefault="008277A1" w:rsidP="008277A1">
      <w:pPr>
        <w:numPr>
          <w:ilvl w:val="0"/>
          <w:numId w:val="22"/>
        </w:numPr>
        <w:tabs>
          <w:tab w:val="clear" w:pos="720"/>
          <w:tab w:val="num" w:pos="567"/>
        </w:tabs>
        <w:ind w:left="567" w:right="-143" w:hanging="567"/>
        <w:rPr>
          <w:szCs w:val="22"/>
          <w:lang w:val="pt-PT"/>
        </w:rPr>
      </w:pPr>
      <w:r w:rsidRPr="006C1945">
        <w:rPr>
          <w:snapToGrid w:val="0"/>
          <w:szCs w:val="22"/>
          <w:lang w:val="pt-PT"/>
        </w:rPr>
        <w:t>Sempre que o sistema de gestão do risco for modificado, especialmente como resultado da r</w:t>
      </w:r>
      <w:r w:rsidRPr="006C1945">
        <w:rPr>
          <w:szCs w:val="22"/>
          <w:lang w:val="pt-PT"/>
        </w:rPr>
        <w:t>eceção de nova informação que possa levar a alterações significativas no perfil benefício-risco ou como resultado de ter sido atingido um objetivo importante (farmacovigilância ou minimização do risco).</w:t>
      </w:r>
    </w:p>
    <w:p w14:paraId="564DBE63" w14:textId="77777777" w:rsidR="008277A1" w:rsidRPr="006C1945" w:rsidRDefault="008277A1" w:rsidP="008277A1">
      <w:pPr>
        <w:ind w:right="-1"/>
        <w:rPr>
          <w:szCs w:val="24"/>
          <w:lang w:val="pt-PT"/>
        </w:rPr>
      </w:pPr>
    </w:p>
    <w:p w14:paraId="7F8DD1D3" w14:textId="77777777" w:rsidR="008277A1" w:rsidRPr="006C1945" w:rsidRDefault="008277A1" w:rsidP="008277A1">
      <w:pPr>
        <w:ind w:right="-1"/>
        <w:rPr>
          <w:szCs w:val="24"/>
          <w:lang w:val="pt-PT"/>
        </w:rPr>
      </w:pPr>
      <w:r w:rsidRPr="006C1945">
        <w:rPr>
          <w:b/>
          <w:snapToGrid w:val="0"/>
          <w:szCs w:val="22"/>
          <w:lang w:val="pt-PT"/>
        </w:rPr>
        <w:t>Medidas adicionais de minimização do risco</w:t>
      </w:r>
    </w:p>
    <w:p w14:paraId="7EB78123" w14:textId="77777777" w:rsidR="008277A1" w:rsidRPr="006C1945" w:rsidRDefault="008277A1" w:rsidP="008277A1">
      <w:pPr>
        <w:ind w:right="-1"/>
        <w:rPr>
          <w:szCs w:val="22"/>
          <w:lang w:val="pt-PT"/>
        </w:rPr>
      </w:pPr>
    </w:p>
    <w:p w14:paraId="7948563E" w14:textId="77777777" w:rsidR="008277A1" w:rsidRPr="006C1945" w:rsidRDefault="008277A1" w:rsidP="008277A1">
      <w:pPr>
        <w:pStyle w:val="ListBullet"/>
        <w:numPr>
          <w:ilvl w:val="0"/>
          <w:numId w:val="0"/>
        </w:numPr>
        <w:rPr>
          <w:rStyle w:val="Instructions"/>
          <w:color w:val="auto"/>
          <w:sz w:val="22"/>
          <w:lang w:val="pt-PT"/>
        </w:rPr>
      </w:pPr>
    </w:p>
    <w:p w14:paraId="67218940" w14:textId="77777777" w:rsidR="008277A1" w:rsidRPr="006C1945" w:rsidRDefault="008277A1" w:rsidP="008277A1">
      <w:pPr>
        <w:pStyle w:val="ListBullet"/>
        <w:tabs>
          <w:tab w:val="clear" w:pos="720"/>
          <w:tab w:val="left" w:pos="567"/>
        </w:tabs>
        <w:ind w:left="567" w:hanging="567"/>
        <w:rPr>
          <w:rStyle w:val="Instructions"/>
          <w:color w:val="auto"/>
          <w:sz w:val="22"/>
          <w:lang w:val="pt-PT" w:eastAsia="en-GB"/>
        </w:rPr>
      </w:pPr>
      <w:r w:rsidRPr="006C1945">
        <w:rPr>
          <w:rStyle w:val="Instructions"/>
          <w:color w:val="auto"/>
          <w:sz w:val="22"/>
          <w:lang w:val="pt-PT"/>
        </w:rPr>
        <w:t>Cartão de Alerta do Doente para fototoxicidade e CEC:</w:t>
      </w:r>
    </w:p>
    <w:p w14:paraId="0C9B387D" w14:textId="77777777" w:rsidR="008277A1" w:rsidRPr="006C1945" w:rsidRDefault="008277A1" w:rsidP="008277A1">
      <w:pPr>
        <w:pStyle w:val="ListBullet"/>
        <w:numPr>
          <w:ilvl w:val="0"/>
          <w:numId w:val="0"/>
        </w:numPr>
        <w:ind w:left="360"/>
        <w:rPr>
          <w:rStyle w:val="Instructions"/>
          <w:color w:val="auto"/>
          <w:sz w:val="22"/>
          <w:lang w:val="pt-PT" w:eastAsia="en-GB"/>
        </w:rPr>
      </w:pPr>
    </w:p>
    <w:p w14:paraId="39D2DDE4" w14:textId="2D7AC84E" w:rsidR="008277A1" w:rsidRPr="006C1945" w:rsidRDefault="008277A1" w:rsidP="008277A1">
      <w:pPr>
        <w:pStyle w:val="PargrafodaLista2"/>
        <w:numPr>
          <w:ilvl w:val="0"/>
          <w:numId w:val="25"/>
        </w:numPr>
        <w:autoSpaceDE w:val="0"/>
        <w:autoSpaceDN w:val="0"/>
        <w:rPr>
          <w:szCs w:val="22"/>
          <w:lang w:val="pt-PT"/>
        </w:rPr>
      </w:pPr>
      <w:r w:rsidRPr="006C1945">
        <w:rPr>
          <w:szCs w:val="22"/>
          <w:lang w:val="pt-PT"/>
        </w:rPr>
        <w:t>Recorda os doentes dos riscos de fototoxicidade e CEC</w:t>
      </w:r>
      <w:r w:rsidR="00D43EFF">
        <w:rPr>
          <w:szCs w:val="22"/>
          <w:lang w:val="pt-PT"/>
        </w:rPr>
        <w:t xml:space="preserve"> durante o tratamento com voriconazol</w:t>
      </w:r>
      <w:r w:rsidRPr="006C1945">
        <w:rPr>
          <w:szCs w:val="22"/>
          <w:lang w:val="pt-PT"/>
        </w:rPr>
        <w:t>.</w:t>
      </w:r>
    </w:p>
    <w:p w14:paraId="69973C6E" w14:textId="77777777" w:rsidR="009C444C" w:rsidRPr="006C1945" w:rsidRDefault="008277A1" w:rsidP="008277A1">
      <w:pPr>
        <w:pStyle w:val="PargrafodaLista2"/>
        <w:numPr>
          <w:ilvl w:val="0"/>
          <w:numId w:val="25"/>
        </w:numPr>
        <w:autoSpaceDE w:val="0"/>
        <w:autoSpaceDN w:val="0"/>
        <w:rPr>
          <w:szCs w:val="22"/>
          <w:lang w:val="pt-PT"/>
        </w:rPr>
      </w:pPr>
      <w:r w:rsidRPr="006C1945">
        <w:rPr>
          <w:szCs w:val="22"/>
          <w:lang w:val="pt-PT"/>
        </w:rPr>
        <w:t>Recorda os doentes de quando e como notificar sinais e sintomas relevantes de fototoxicidade e cancro de pele.</w:t>
      </w:r>
    </w:p>
    <w:p w14:paraId="69F64889" w14:textId="0C4FFC06" w:rsidR="00011577" w:rsidRPr="00FE5F8B" w:rsidRDefault="008277A1" w:rsidP="00FE5F8B">
      <w:pPr>
        <w:pStyle w:val="PargrafodaLista2"/>
        <w:numPr>
          <w:ilvl w:val="0"/>
          <w:numId w:val="25"/>
        </w:numPr>
        <w:autoSpaceDE w:val="0"/>
        <w:autoSpaceDN w:val="0"/>
        <w:rPr>
          <w:rFonts w:eastAsia="SimSun"/>
          <w:szCs w:val="22"/>
          <w:lang w:val="pt-PT"/>
        </w:rPr>
      </w:pPr>
      <w:r w:rsidRPr="00FE5F8B">
        <w:rPr>
          <w:szCs w:val="22"/>
          <w:lang w:val="pt-PT"/>
        </w:rPr>
        <w:t xml:space="preserve">Recorda os doentes que devem tomar medidas para minimizar o risco de reações cutâneas e CEC (evitando a exposição à luz solar e utilizando protetor solar e vestuário de proteção) </w:t>
      </w:r>
      <w:r w:rsidR="00D43EFF">
        <w:rPr>
          <w:szCs w:val="22"/>
          <w:lang w:val="pt-PT"/>
        </w:rPr>
        <w:t xml:space="preserve">durante o tratamento com voriconazol </w:t>
      </w:r>
      <w:r w:rsidRPr="00FE5F8B">
        <w:rPr>
          <w:szCs w:val="22"/>
          <w:lang w:val="pt-PT"/>
        </w:rPr>
        <w:t>e informar os profissionais de saúde caso desenvolvam anomalias cutâneas relevantes.</w:t>
      </w:r>
      <w:r w:rsidR="00011577" w:rsidRPr="00FE5F8B">
        <w:rPr>
          <w:rFonts w:eastAsia="SimSun"/>
          <w:szCs w:val="22"/>
          <w:lang w:val="pt-PT"/>
        </w:rPr>
        <w:t xml:space="preserve"> </w:t>
      </w:r>
    </w:p>
    <w:p w14:paraId="2849A449" w14:textId="77777777" w:rsidR="00011577" w:rsidRPr="006C1945" w:rsidRDefault="00011577" w:rsidP="00011577">
      <w:pPr>
        <w:widowControl w:val="0"/>
        <w:tabs>
          <w:tab w:val="left" w:pos="828"/>
        </w:tabs>
        <w:autoSpaceDE w:val="0"/>
        <w:autoSpaceDN w:val="0"/>
        <w:adjustRightInd w:val="0"/>
        <w:rPr>
          <w:rFonts w:eastAsia="SimSun"/>
          <w:szCs w:val="22"/>
          <w:lang w:val="pt-PT"/>
        </w:rPr>
      </w:pPr>
    </w:p>
    <w:p w14:paraId="2C30494E" w14:textId="77777777" w:rsidR="00011577" w:rsidRPr="002A54AF" w:rsidRDefault="00011577" w:rsidP="00011577">
      <w:pPr>
        <w:tabs>
          <w:tab w:val="left" w:pos="567"/>
        </w:tabs>
        <w:suppressAutoHyphens/>
        <w:rPr>
          <w:szCs w:val="22"/>
          <w:lang w:val="pt-PT"/>
        </w:rPr>
      </w:pPr>
      <w:bookmarkStart w:id="54" w:name="Manuf_1"/>
      <w:bookmarkEnd w:id="54"/>
      <w:r w:rsidRPr="002A54AF">
        <w:rPr>
          <w:szCs w:val="22"/>
          <w:lang w:val="pt-PT"/>
        </w:rPr>
        <w:br w:type="page"/>
      </w:r>
    </w:p>
    <w:p w14:paraId="5379056F" w14:textId="77777777" w:rsidR="00011577" w:rsidRPr="002A54AF" w:rsidRDefault="00011577" w:rsidP="00011577">
      <w:pPr>
        <w:tabs>
          <w:tab w:val="left" w:pos="567"/>
        </w:tabs>
        <w:suppressAutoHyphens/>
        <w:rPr>
          <w:b/>
          <w:szCs w:val="22"/>
          <w:lang w:val="pt-PT"/>
        </w:rPr>
      </w:pPr>
    </w:p>
    <w:p w14:paraId="64D253D4" w14:textId="77777777" w:rsidR="00011577" w:rsidRPr="002A54AF" w:rsidRDefault="00011577" w:rsidP="00011577">
      <w:pPr>
        <w:tabs>
          <w:tab w:val="left" w:pos="567"/>
        </w:tabs>
        <w:suppressAutoHyphens/>
        <w:rPr>
          <w:b/>
          <w:szCs w:val="22"/>
          <w:lang w:val="pt-PT"/>
        </w:rPr>
      </w:pPr>
    </w:p>
    <w:p w14:paraId="73E6EA6B" w14:textId="77777777" w:rsidR="00011577" w:rsidRPr="002A54AF" w:rsidRDefault="00011577" w:rsidP="00011577">
      <w:pPr>
        <w:tabs>
          <w:tab w:val="left" w:pos="567"/>
        </w:tabs>
        <w:suppressAutoHyphens/>
        <w:rPr>
          <w:b/>
          <w:szCs w:val="22"/>
          <w:lang w:val="pt-PT"/>
        </w:rPr>
      </w:pPr>
    </w:p>
    <w:p w14:paraId="7CBBF51E" w14:textId="77777777" w:rsidR="00011577" w:rsidRPr="002A54AF" w:rsidRDefault="00011577" w:rsidP="00011577">
      <w:pPr>
        <w:tabs>
          <w:tab w:val="left" w:pos="567"/>
        </w:tabs>
        <w:suppressAutoHyphens/>
        <w:rPr>
          <w:b/>
          <w:szCs w:val="22"/>
          <w:lang w:val="pt-PT"/>
        </w:rPr>
      </w:pPr>
    </w:p>
    <w:p w14:paraId="51B76F9E" w14:textId="77777777" w:rsidR="00011577" w:rsidRPr="002A54AF" w:rsidRDefault="00011577" w:rsidP="00011577">
      <w:pPr>
        <w:tabs>
          <w:tab w:val="left" w:pos="567"/>
        </w:tabs>
        <w:suppressAutoHyphens/>
        <w:rPr>
          <w:b/>
          <w:szCs w:val="22"/>
          <w:lang w:val="pt-PT"/>
        </w:rPr>
      </w:pPr>
    </w:p>
    <w:p w14:paraId="0541D3A6" w14:textId="77777777" w:rsidR="00CE59DC" w:rsidRPr="002A54AF" w:rsidRDefault="00CE59DC" w:rsidP="00011577">
      <w:pPr>
        <w:tabs>
          <w:tab w:val="left" w:pos="567"/>
        </w:tabs>
        <w:suppressAutoHyphens/>
        <w:rPr>
          <w:b/>
          <w:szCs w:val="22"/>
          <w:lang w:val="pt-PT"/>
        </w:rPr>
      </w:pPr>
    </w:p>
    <w:p w14:paraId="49613336" w14:textId="77777777" w:rsidR="00011577" w:rsidRPr="002A54AF" w:rsidRDefault="00011577" w:rsidP="00011577">
      <w:pPr>
        <w:tabs>
          <w:tab w:val="left" w:pos="567"/>
        </w:tabs>
        <w:suppressAutoHyphens/>
        <w:rPr>
          <w:b/>
          <w:szCs w:val="22"/>
          <w:lang w:val="pt-PT"/>
        </w:rPr>
      </w:pPr>
    </w:p>
    <w:p w14:paraId="30F68964" w14:textId="77777777" w:rsidR="00011577" w:rsidRPr="002A54AF" w:rsidRDefault="00011577" w:rsidP="00011577">
      <w:pPr>
        <w:tabs>
          <w:tab w:val="left" w:pos="567"/>
        </w:tabs>
        <w:suppressAutoHyphens/>
        <w:rPr>
          <w:b/>
          <w:szCs w:val="22"/>
          <w:lang w:val="pt-PT"/>
        </w:rPr>
      </w:pPr>
    </w:p>
    <w:p w14:paraId="7D0194F2" w14:textId="77777777" w:rsidR="00011577" w:rsidRPr="002A54AF" w:rsidRDefault="00011577" w:rsidP="00011577">
      <w:pPr>
        <w:tabs>
          <w:tab w:val="left" w:pos="567"/>
        </w:tabs>
        <w:suppressAutoHyphens/>
        <w:rPr>
          <w:b/>
          <w:szCs w:val="22"/>
          <w:lang w:val="pt-PT"/>
        </w:rPr>
      </w:pPr>
    </w:p>
    <w:p w14:paraId="40BBFD07" w14:textId="77777777" w:rsidR="00011577" w:rsidRPr="002A54AF" w:rsidRDefault="00011577" w:rsidP="00011577">
      <w:pPr>
        <w:tabs>
          <w:tab w:val="left" w:pos="567"/>
        </w:tabs>
        <w:suppressAutoHyphens/>
        <w:rPr>
          <w:b/>
          <w:szCs w:val="22"/>
          <w:lang w:val="pt-PT"/>
        </w:rPr>
      </w:pPr>
    </w:p>
    <w:p w14:paraId="06E6CBCA" w14:textId="77777777" w:rsidR="00011577" w:rsidRPr="002A54AF" w:rsidRDefault="00011577" w:rsidP="00011577">
      <w:pPr>
        <w:tabs>
          <w:tab w:val="left" w:pos="567"/>
        </w:tabs>
        <w:suppressAutoHyphens/>
        <w:rPr>
          <w:b/>
          <w:szCs w:val="22"/>
          <w:lang w:val="pt-PT"/>
        </w:rPr>
      </w:pPr>
    </w:p>
    <w:p w14:paraId="5F24BA7B" w14:textId="77777777" w:rsidR="00011577" w:rsidRPr="002A54AF" w:rsidRDefault="00011577" w:rsidP="00011577">
      <w:pPr>
        <w:tabs>
          <w:tab w:val="left" w:pos="567"/>
        </w:tabs>
        <w:suppressAutoHyphens/>
        <w:rPr>
          <w:b/>
          <w:szCs w:val="22"/>
          <w:lang w:val="pt-PT"/>
        </w:rPr>
      </w:pPr>
    </w:p>
    <w:p w14:paraId="1F12E012" w14:textId="77777777" w:rsidR="00011577" w:rsidRPr="002A54AF" w:rsidRDefault="00011577" w:rsidP="00011577">
      <w:pPr>
        <w:tabs>
          <w:tab w:val="left" w:pos="567"/>
        </w:tabs>
        <w:suppressAutoHyphens/>
        <w:rPr>
          <w:b/>
          <w:szCs w:val="22"/>
          <w:lang w:val="pt-PT"/>
        </w:rPr>
      </w:pPr>
    </w:p>
    <w:p w14:paraId="322ACEC8" w14:textId="77777777" w:rsidR="00011577" w:rsidRPr="002A54AF" w:rsidRDefault="00011577" w:rsidP="00011577">
      <w:pPr>
        <w:tabs>
          <w:tab w:val="left" w:pos="567"/>
        </w:tabs>
        <w:suppressAutoHyphens/>
        <w:rPr>
          <w:b/>
          <w:szCs w:val="22"/>
          <w:lang w:val="pt-PT"/>
        </w:rPr>
      </w:pPr>
    </w:p>
    <w:p w14:paraId="2F4BA9FF" w14:textId="77777777" w:rsidR="00072FC0" w:rsidRPr="002A54AF" w:rsidRDefault="00072FC0" w:rsidP="00011577">
      <w:pPr>
        <w:tabs>
          <w:tab w:val="left" w:pos="567"/>
        </w:tabs>
        <w:suppressAutoHyphens/>
        <w:rPr>
          <w:b/>
          <w:szCs w:val="22"/>
          <w:lang w:val="pt-PT"/>
        </w:rPr>
      </w:pPr>
    </w:p>
    <w:p w14:paraId="04C55F3A" w14:textId="77777777" w:rsidR="00011577" w:rsidRPr="002A54AF" w:rsidRDefault="00011577" w:rsidP="00011577">
      <w:pPr>
        <w:tabs>
          <w:tab w:val="left" w:pos="567"/>
        </w:tabs>
        <w:suppressAutoHyphens/>
        <w:rPr>
          <w:b/>
          <w:szCs w:val="22"/>
          <w:lang w:val="pt-PT"/>
        </w:rPr>
      </w:pPr>
    </w:p>
    <w:p w14:paraId="22E2E167" w14:textId="77777777" w:rsidR="00011577" w:rsidRPr="002A54AF" w:rsidRDefault="00011577" w:rsidP="00011577">
      <w:pPr>
        <w:tabs>
          <w:tab w:val="left" w:pos="567"/>
        </w:tabs>
        <w:suppressAutoHyphens/>
        <w:rPr>
          <w:b/>
          <w:szCs w:val="22"/>
          <w:lang w:val="pt-PT"/>
        </w:rPr>
      </w:pPr>
    </w:p>
    <w:p w14:paraId="74EE0222" w14:textId="77777777" w:rsidR="00011577" w:rsidRPr="002A54AF" w:rsidRDefault="00011577" w:rsidP="00011577">
      <w:pPr>
        <w:tabs>
          <w:tab w:val="left" w:pos="567"/>
        </w:tabs>
        <w:suppressAutoHyphens/>
        <w:rPr>
          <w:b/>
          <w:szCs w:val="22"/>
          <w:lang w:val="pt-PT"/>
        </w:rPr>
      </w:pPr>
    </w:p>
    <w:p w14:paraId="69D4CAC2" w14:textId="77777777" w:rsidR="00011577" w:rsidRPr="002A54AF" w:rsidRDefault="00011577" w:rsidP="00011577">
      <w:pPr>
        <w:tabs>
          <w:tab w:val="left" w:pos="567"/>
        </w:tabs>
        <w:suppressAutoHyphens/>
        <w:rPr>
          <w:b/>
          <w:szCs w:val="22"/>
          <w:lang w:val="pt-PT"/>
        </w:rPr>
      </w:pPr>
    </w:p>
    <w:p w14:paraId="237370C9" w14:textId="77777777" w:rsidR="00011577" w:rsidRPr="002A54AF" w:rsidRDefault="00011577" w:rsidP="00011577">
      <w:pPr>
        <w:tabs>
          <w:tab w:val="left" w:pos="567"/>
        </w:tabs>
        <w:suppressAutoHyphens/>
        <w:rPr>
          <w:b/>
          <w:szCs w:val="22"/>
          <w:lang w:val="pt-PT"/>
        </w:rPr>
      </w:pPr>
    </w:p>
    <w:p w14:paraId="1EBA8F9C" w14:textId="77777777" w:rsidR="00011577" w:rsidRPr="002A54AF" w:rsidRDefault="00011577" w:rsidP="00011577">
      <w:pPr>
        <w:tabs>
          <w:tab w:val="left" w:pos="567"/>
        </w:tabs>
        <w:suppressAutoHyphens/>
        <w:rPr>
          <w:b/>
          <w:szCs w:val="22"/>
          <w:lang w:val="pt-PT"/>
        </w:rPr>
      </w:pPr>
    </w:p>
    <w:p w14:paraId="76241D2C" w14:textId="77777777" w:rsidR="00011577" w:rsidRPr="002A54AF" w:rsidRDefault="00011577" w:rsidP="00011577">
      <w:pPr>
        <w:tabs>
          <w:tab w:val="left" w:pos="567"/>
        </w:tabs>
        <w:suppressAutoHyphens/>
        <w:rPr>
          <w:b/>
          <w:szCs w:val="22"/>
          <w:lang w:val="pt-PT"/>
        </w:rPr>
      </w:pPr>
    </w:p>
    <w:p w14:paraId="62802874" w14:textId="77777777" w:rsidR="00011577" w:rsidRPr="002A54AF" w:rsidRDefault="00011577" w:rsidP="00011577">
      <w:pPr>
        <w:tabs>
          <w:tab w:val="left" w:pos="567"/>
        </w:tabs>
        <w:suppressAutoHyphens/>
        <w:jc w:val="center"/>
        <w:rPr>
          <w:b/>
          <w:szCs w:val="22"/>
          <w:lang w:val="pt-PT"/>
        </w:rPr>
      </w:pPr>
      <w:r w:rsidRPr="002A54AF">
        <w:rPr>
          <w:b/>
          <w:szCs w:val="22"/>
          <w:lang w:val="pt-PT"/>
        </w:rPr>
        <w:t>ANEXO III</w:t>
      </w:r>
    </w:p>
    <w:p w14:paraId="699CD390" w14:textId="77777777" w:rsidR="00011577" w:rsidRPr="002A54AF" w:rsidRDefault="00011577" w:rsidP="00011577">
      <w:pPr>
        <w:tabs>
          <w:tab w:val="left" w:pos="567"/>
        </w:tabs>
        <w:suppressAutoHyphens/>
        <w:jc w:val="center"/>
        <w:rPr>
          <w:b/>
          <w:szCs w:val="22"/>
          <w:lang w:val="pt-PT"/>
        </w:rPr>
      </w:pPr>
    </w:p>
    <w:p w14:paraId="406D2AF5" w14:textId="77777777" w:rsidR="00011577" w:rsidRPr="002A54AF" w:rsidRDefault="00011577" w:rsidP="00011577">
      <w:pPr>
        <w:tabs>
          <w:tab w:val="left" w:pos="567"/>
        </w:tabs>
        <w:suppressAutoHyphens/>
        <w:jc w:val="center"/>
        <w:rPr>
          <w:b/>
          <w:szCs w:val="22"/>
          <w:lang w:val="pt-PT"/>
        </w:rPr>
      </w:pPr>
      <w:r w:rsidRPr="002A54AF">
        <w:rPr>
          <w:b/>
          <w:szCs w:val="22"/>
          <w:lang w:val="pt-PT"/>
        </w:rPr>
        <w:t>ROTULAGEM E FOLHETO INFORMATIVO</w:t>
      </w:r>
    </w:p>
    <w:p w14:paraId="3715C535" w14:textId="77777777" w:rsidR="00011577" w:rsidRPr="002A54AF" w:rsidRDefault="00011577" w:rsidP="00011577">
      <w:pPr>
        <w:tabs>
          <w:tab w:val="left" w:pos="567"/>
        </w:tabs>
        <w:suppressAutoHyphens/>
        <w:jc w:val="center"/>
        <w:rPr>
          <w:b/>
          <w:szCs w:val="22"/>
          <w:lang w:val="pt-PT"/>
        </w:rPr>
      </w:pPr>
    </w:p>
    <w:p w14:paraId="593B51AD" w14:textId="77777777" w:rsidR="00011577" w:rsidRPr="002A54AF" w:rsidRDefault="00011577" w:rsidP="00011577">
      <w:pPr>
        <w:tabs>
          <w:tab w:val="left" w:pos="567"/>
        </w:tabs>
        <w:suppressAutoHyphens/>
        <w:rPr>
          <w:b/>
          <w:szCs w:val="22"/>
          <w:lang w:val="pt-PT"/>
        </w:rPr>
      </w:pPr>
      <w:r w:rsidRPr="002A54AF">
        <w:rPr>
          <w:b/>
          <w:szCs w:val="22"/>
          <w:lang w:val="pt-PT"/>
        </w:rPr>
        <w:br w:type="page"/>
      </w:r>
    </w:p>
    <w:p w14:paraId="53B9485E" w14:textId="77777777" w:rsidR="00011577" w:rsidRPr="002A54AF" w:rsidRDefault="00011577" w:rsidP="00011577">
      <w:pPr>
        <w:tabs>
          <w:tab w:val="left" w:pos="567"/>
        </w:tabs>
        <w:suppressAutoHyphens/>
        <w:rPr>
          <w:b/>
          <w:szCs w:val="22"/>
          <w:lang w:val="pt-PT"/>
        </w:rPr>
      </w:pPr>
    </w:p>
    <w:p w14:paraId="061A14EB" w14:textId="77777777" w:rsidR="00011577" w:rsidRPr="002A54AF" w:rsidRDefault="00011577" w:rsidP="00011577">
      <w:pPr>
        <w:tabs>
          <w:tab w:val="left" w:pos="567"/>
        </w:tabs>
        <w:suppressAutoHyphens/>
        <w:rPr>
          <w:b/>
          <w:szCs w:val="22"/>
          <w:lang w:val="pt-PT"/>
        </w:rPr>
      </w:pPr>
    </w:p>
    <w:p w14:paraId="31A13BE3" w14:textId="77777777" w:rsidR="00011577" w:rsidRPr="002A54AF" w:rsidRDefault="00011577" w:rsidP="00011577">
      <w:pPr>
        <w:tabs>
          <w:tab w:val="left" w:pos="567"/>
        </w:tabs>
        <w:suppressAutoHyphens/>
        <w:rPr>
          <w:b/>
          <w:szCs w:val="22"/>
          <w:lang w:val="pt-PT"/>
        </w:rPr>
      </w:pPr>
    </w:p>
    <w:p w14:paraId="11833601" w14:textId="77777777" w:rsidR="00011577" w:rsidRPr="002A54AF" w:rsidRDefault="00011577" w:rsidP="00011577">
      <w:pPr>
        <w:tabs>
          <w:tab w:val="left" w:pos="567"/>
        </w:tabs>
        <w:suppressAutoHyphens/>
        <w:rPr>
          <w:b/>
          <w:szCs w:val="22"/>
          <w:lang w:val="pt-PT"/>
        </w:rPr>
      </w:pPr>
    </w:p>
    <w:p w14:paraId="71BB833A" w14:textId="77777777" w:rsidR="00011577" w:rsidRPr="002A54AF" w:rsidRDefault="00011577" w:rsidP="00011577">
      <w:pPr>
        <w:tabs>
          <w:tab w:val="left" w:pos="567"/>
        </w:tabs>
        <w:suppressAutoHyphens/>
        <w:rPr>
          <w:b/>
          <w:szCs w:val="22"/>
          <w:lang w:val="pt-PT"/>
        </w:rPr>
      </w:pPr>
    </w:p>
    <w:p w14:paraId="41A6311F" w14:textId="77777777" w:rsidR="00011577" w:rsidRPr="002A54AF" w:rsidRDefault="00011577" w:rsidP="00011577">
      <w:pPr>
        <w:tabs>
          <w:tab w:val="left" w:pos="567"/>
        </w:tabs>
        <w:suppressAutoHyphens/>
        <w:rPr>
          <w:b/>
          <w:szCs w:val="22"/>
          <w:lang w:val="pt-PT"/>
        </w:rPr>
      </w:pPr>
    </w:p>
    <w:p w14:paraId="1FB73F37" w14:textId="77777777" w:rsidR="00011577" w:rsidRPr="002A54AF" w:rsidRDefault="00011577" w:rsidP="00011577">
      <w:pPr>
        <w:tabs>
          <w:tab w:val="left" w:pos="567"/>
        </w:tabs>
        <w:suppressAutoHyphens/>
        <w:rPr>
          <w:b/>
          <w:szCs w:val="22"/>
          <w:lang w:val="pt-PT"/>
        </w:rPr>
      </w:pPr>
    </w:p>
    <w:p w14:paraId="5400E95C" w14:textId="77777777" w:rsidR="00011577" w:rsidRPr="002A54AF" w:rsidRDefault="00011577" w:rsidP="00011577">
      <w:pPr>
        <w:tabs>
          <w:tab w:val="left" w:pos="567"/>
        </w:tabs>
        <w:suppressAutoHyphens/>
        <w:rPr>
          <w:b/>
          <w:szCs w:val="22"/>
          <w:lang w:val="pt-PT"/>
        </w:rPr>
      </w:pPr>
    </w:p>
    <w:p w14:paraId="42055A18" w14:textId="77777777" w:rsidR="00011577" w:rsidRPr="002A54AF" w:rsidRDefault="00011577" w:rsidP="00011577">
      <w:pPr>
        <w:tabs>
          <w:tab w:val="left" w:pos="567"/>
        </w:tabs>
        <w:suppressAutoHyphens/>
        <w:rPr>
          <w:b/>
          <w:szCs w:val="22"/>
          <w:lang w:val="pt-PT"/>
        </w:rPr>
      </w:pPr>
    </w:p>
    <w:p w14:paraId="625E253B" w14:textId="77777777" w:rsidR="00011577" w:rsidRPr="002A54AF" w:rsidRDefault="00011577" w:rsidP="00011577">
      <w:pPr>
        <w:tabs>
          <w:tab w:val="left" w:pos="567"/>
        </w:tabs>
        <w:suppressAutoHyphens/>
        <w:rPr>
          <w:b/>
          <w:szCs w:val="22"/>
          <w:lang w:val="pt-PT"/>
        </w:rPr>
      </w:pPr>
    </w:p>
    <w:p w14:paraId="50C73275" w14:textId="77777777" w:rsidR="00011577" w:rsidRPr="002A54AF" w:rsidRDefault="00011577" w:rsidP="00011577">
      <w:pPr>
        <w:tabs>
          <w:tab w:val="left" w:pos="567"/>
        </w:tabs>
        <w:suppressAutoHyphens/>
        <w:rPr>
          <w:b/>
          <w:szCs w:val="22"/>
          <w:lang w:val="pt-PT"/>
        </w:rPr>
      </w:pPr>
    </w:p>
    <w:p w14:paraId="04E78D2C" w14:textId="77777777" w:rsidR="00011577" w:rsidRPr="002A54AF" w:rsidRDefault="00CE59DC" w:rsidP="00CE59DC">
      <w:pPr>
        <w:tabs>
          <w:tab w:val="left" w:pos="4002"/>
        </w:tabs>
        <w:suppressAutoHyphens/>
        <w:rPr>
          <w:b/>
          <w:szCs w:val="22"/>
          <w:lang w:val="pt-PT"/>
        </w:rPr>
      </w:pPr>
      <w:r w:rsidRPr="002A54AF">
        <w:rPr>
          <w:b/>
          <w:szCs w:val="22"/>
          <w:lang w:val="pt-PT"/>
        </w:rPr>
        <w:tab/>
      </w:r>
    </w:p>
    <w:p w14:paraId="421F7C38" w14:textId="77777777" w:rsidR="00CE59DC" w:rsidRPr="002A54AF" w:rsidRDefault="00CE59DC" w:rsidP="00CE59DC">
      <w:pPr>
        <w:tabs>
          <w:tab w:val="left" w:pos="4002"/>
        </w:tabs>
        <w:suppressAutoHyphens/>
        <w:rPr>
          <w:b/>
          <w:szCs w:val="22"/>
          <w:lang w:val="pt-PT"/>
        </w:rPr>
      </w:pPr>
    </w:p>
    <w:p w14:paraId="4CED42C4" w14:textId="77777777" w:rsidR="00CE59DC" w:rsidRPr="002A54AF" w:rsidRDefault="00CE59DC" w:rsidP="00CE59DC">
      <w:pPr>
        <w:tabs>
          <w:tab w:val="left" w:pos="4002"/>
        </w:tabs>
        <w:suppressAutoHyphens/>
        <w:rPr>
          <w:b/>
          <w:szCs w:val="22"/>
          <w:lang w:val="pt-PT"/>
        </w:rPr>
      </w:pPr>
    </w:p>
    <w:p w14:paraId="45272B8D" w14:textId="77777777" w:rsidR="00011577" w:rsidRPr="002A54AF" w:rsidRDefault="00011577" w:rsidP="00011577">
      <w:pPr>
        <w:tabs>
          <w:tab w:val="left" w:pos="567"/>
        </w:tabs>
        <w:suppressAutoHyphens/>
        <w:rPr>
          <w:b/>
          <w:szCs w:val="22"/>
          <w:lang w:val="pt-PT"/>
        </w:rPr>
      </w:pPr>
    </w:p>
    <w:p w14:paraId="0ABE8B9B" w14:textId="77777777" w:rsidR="00011577" w:rsidRPr="002A54AF" w:rsidRDefault="00011577" w:rsidP="00011577">
      <w:pPr>
        <w:tabs>
          <w:tab w:val="left" w:pos="567"/>
        </w:tabs>
        <w:suppressAutoHyphens/>
        <w:rPr>
          <w:b/>
          <w:szCs w:val="22"/>
          <w:lang w:val="pt-PT"/>
        </w:rPr>
      </w:pPr>
    </w:p>
    <w:p w14:paraId="4AFE6272" w14:textId="77777777" w:rsidR="00011577" w:rsidRPr="002A54AF" w:rsidRDefault="00011577" w:rsidP="00011577">
      <w:pPr>
        <w:tabs>
          <w:tab w:val="left" w:pos="567"/>
        </w:tabs>
        <w:suppressAutoHyphens/>
        <w:rPr>
          <w:b/>
          <w:szCs w:val="22"/>
          <w:lang w:val="pt-PT"/>
        </w:rPr>
      </w:pPr>
    </w:p>
    <w:p w14:paraId="1C137E8A" w14:textId="77777777" w:rsidR="00011577" w:rsidRPr="002A54AF" w:rsidRDefault="00011577" w:rsidP="00011577">
      <w:pPr>
        <w:tabs>
          <w:tab w:val="left" w:pos="567"/>
        </w:tabs>
        <w:suppressAutoHyphens/>
        <w:rPr>
          <w:b/>
          <w:szCs w:val="22"/>
          <w:lang w:val="pt-PT"/>
        </w:rPr>
      </w:pPr>
    </w:p>
    <w:p w14:paraId="32EA46C8" w14:textId="77777777" w:rsidR="00011577" w:rsidRPr="002A54AF" w:rsidRDefault="00011577" w:rsidP="00011577">
      <w:pPr>
        <w:tabs>
          <w:tab w:val="left" w:pos="567"/>
        </w:tabs>
        <w:suppressAutoHyphens/>
        <w:rPr>
          <w:b/>
          <w:szCs w:val="22"/>
          <w:lang w:val="pt-PT"/>
        </w:rPr>
      </w:pPr>
    </w:p>
    <w:p w14:paraId="60AA278B" w14:textId="77777777" w:rsidR="00011577" w:rsidRPr="002A54AF" w:rsidRDefault="00011577" w:rsidP="00011577">
      <w:pPr>
        <w:tabs>
          <w:tab w:val="left" w:pos="567"/>
        </w:tabs>
        <w:suppressAutoHyphens/>
        <w:rPr>
          <w:b/>
          <w:szCs w:val="22"/>
          <w:lang w:val="pt-PT"/>
        </w:rPr>
      </w:pPr>
    </w:p>
    <w:p w14:paraId="7ABBE4DF" w14:textId="77777777" w:rsidR="00072FC0" w:rsidRPr="002A54AF" w:rsidRDefault="00072FC0" w:rsidP="00011577">
      <w:pPr>
        <w:tabs>
          <w:tab w:val="left" w:pos="567"/>
        </w:tabs>
        <w:suppressAutoHyphens/>
        <w:rPr>
          <w:b/>
          <w:szCs w:val="22"/>
          <w:lang w:val="pt-PT"/>
        </w:rPr>
      </w:pPr>
    </w:p>
    <w:p w14:paraId="15483600" w14:textId="77777777" w:rsidR="00011577" w:rsidRPr="002A54AF" w:rsidRDefault="00011577" w:rsidP="00011577">
      <w:pPr>
        <w:tabs>
          <w:tab w:val="left" w:pos="567"/>
        </w:tabs>
        <w:suppressAutoHyphens/>
        <w:rPr>
          <w:b/>
          <w:szCs w:val="22"/>
          <w:lang w:val="pt-PT"/>
        </w:rPr>
      </w:pPr>
    </w:p>
    <w:p w14:paraId="0E4C6290" w14:textId="77777777" w:rsidR="00011577" w:rsidRPr="002A54AF" w:rsidRDefault="00011577" w:rsidP="00C4485D">
      <w:pPr>
        <w:pStyle w:val="16"/>
      </w:pPr>
      <w:r w:rsidRPr="002A54AF">
        <w:t>A. ROTULAGEM</w:t>
      </w:r>
    </w:p>
    <w:p w14:paraId="236DE982" w14:textId="77777777" w:rsidR="00011577" w:rsidRDefault="00011577" w:rsidP="00011577">
      <w:pPr>
        <w:tabs>
          <w:tab w:val="left" w:pos="567"/>
        </w:tabs>
        <w:rPr>
          <w:szCs w:val="22"/>
          <w:lang w:val="pt-PT"/>
        </w:rPr>
      </w:pPr>
      <w:r w:rsidRPr="002A54AF">
        <w:rPr>
          <w:szCs w:val="22"/>
          <w:lang w:val="pt-PT"/>
        </w:rPr>
        <w:br w:type="page"/>
      </w:r>
    </w:p>
    <w:p w14:paraId="4AA3E6BC" w14:textId="77777777" w:rsidR="008C3642" w:rsidRPr="002A54AF" w:rsidRDefault="008C3642" w:rsidP="00011577">
      <w:pPr>
        <w:tabs>
          <w:tab w:val="left" w:pos="567"/>
        </w:tabs>
        <w:rPr>
          <w:b/>
          <w:szCs w:val="22"/>
          <w:lang w:val="pt-PT"/>
        </w:rPr>
      </w:pPr>
    </w:p>
    <w:p w14:paraId="0CD79138" w14:textId="77777777" w:rsidR="00011577" w:rsidRPr="002A54AF" w:rsidRDefault="00011577" w:rsidP="00011577">
      <w:pPr>
        <w:pBdr>
          <w:top w:val="single" w:sz="4" w:space="1" w:color="auto"/>
          <w:left w:val="single" w:sz="4" w:space="4" w:color="auto"/>
          <w:bottom w:val="single" w:sz="4" w:space="1" w:color="auto"/>
          <w:right w:val="single" w:sz="4" w:space="4" w:color="auto"/>
        </w:pBdr>
        <w:shd w:val="clear" w:color="auto" w:fill="FFFFFF"/>
        <w:tabs>
          <w:tab w:val="left" w:pos="567"/>
        </w:tabs>
        <w:suppressAutoHyphens/>
        <w:ind w:right="14"/>
        <w:rPr>
          <w:b/>
          <w:szCs w:val="22"/>
          <w:lang w:val="pt-PT"/>
        </w:rPr>
      </w:pPr>
      <w:r w:rsidRPr="002A54AF">
        <w:rPr>
          <w:b/>
          <w:szCs w:val="22"/>
          <w:lang w:val="pt-PT"/>
        </w:rPr>
        <w:t xml:space="preserve">INDICAÇÕES A INCLUIR NO ACONDICIONAMENTO SECUNDÁRIO </w:t>
      </w:r>
    </w:p>
    <w:p w14:paraId="44EAB96E" w14:textId="77777777" w:rsidR="00011577" w:rsidRPr="002A54AF" w:rsidRDefault="00011577" w:rsidP="00011577">
      <w:pPr>
        <w:pBdr>
          <w:top w:val="single" w:sz="4" w:space="1" w:color="auto"/>
          <w:left w:val="single" w:sz="4" w:space="4" w:color="auto"/>
          <w:bottom w:val="single" w:sz="4" w:space="1" w:color="auto"/>
          <w:right w:val="single" w:sz="4" w:space="4" w:color="auto"/>
        </w:pBdr>
        <w:shd w:val="clear" w:color="auto" w:fill="FFFFFF"/>
        <w:tabs>
          <w:tab w:val="left" w:pos="567"/>
        </w:tabs>
        <w:suppressAutoHyphens/>
        <w:ind w:right="14"/>
        <w:rPr>
          <w:b/>
          <w:szCs w:val="22"/>
          <w:lang w:val="pt-PT"/>
        </w:rPr>
      </w:pPr>
    </w:p>
    <w:p w14:paraId="7BD8919D" w14:textId="77777777" w:rsidR="00011577" w:rsidRPr="002A54AF" w:rsidRDefault="00011577" w:rsidP="00011577">
      <w:pPr>
        <w:pBdr>
          <w:top w:val="single" w:sz="4" w:space="1" w:color="auto"/>
          <w:left w:val="single" w:sz="4" w:space="4" w:color="auto"/>
          <w:bottom w:val="single" w:sz="4" w:space="1" w:color="auto"/>
          <w:right w:val="single" w:sz="4" w:space="4" w:color="auto"/>
        </w:pBdr>
        <w:shd w:val="clear" w:color="auto" w:fill="FFFFFF"/>
        <w:tabs>
          <w:tab w:val="left" w:pos="567"/>
        </w:tabs>
        <w:suppressAutoHyphens/>
        <w:ind w:right="14"/>
        <w:rPr>
          <w:b/>
          <w:szCs w:val="22"/>
          <w:lang w:val="pt-PT"/>
        </w:rPr>
      </w:pPr>
      <w:r w:rsidRPr="002A54AF">
        <w:rPr>
          <w:b/>
          <w:szCs w:val="22"/>
          <w:lang w:val="pt-PT"/>
        </w:rPr>
        <w:t>EMBALAGEM EXTERIOR (Blister</w:t>
      </w:r>
      <w:r w:rsidRPr="002A54AF">
        <w:rPr>
          <w:b/>
          <w:i/>
          <w:szCs w:val="22"/>
          <w:lang w:val="pt-PT"/>
        </w:rPr>
        <w:t xml:space="preserve"> </w:t>
      </w:r>
      <w:r w:rsidRPr="002A54AF">
        <w:rPr>
          <w:b/>
          <w:szCs w:val="22"/>
          <w:lang w:val="pt-PT"/>
        </w:rPr>
        <w:t>dos comprimidos revestidos por película de 50 mg – Embalagem de 2, 10, 14, 20, 28, 30, 50, 56, 100 comprimidos)</w:t>
      </w:r>
    </w:p>
    <w:p w14:paraId="3E574060" w14:textId="77777777" w:rsidR="00011577" w:rsidRPr="002A54AF" w:rsidRDefault="00011577" w:rsidP="00011577">
      <w:pPr>
        <w:tabs>
          <w:tab w:val="left" w:pos="567"/>
        </w:tabs>
        <w:suppressAutoHyphens/>
        <w:ind w:right="14"/>
        <w:rPr>
          <w:szCs w:val="22"/>
          <w:lang w:val="pt-PT"/>
        </w:rPr>
      </w:pPr>
    </w:p>
    <w:p w14:paraId="344D84F5" w14:textId="77777777" w:rsidR="00011577" w:rsidRPr="002A54AF" w:rsidRDefault="00011577" w:rsidP="00011577">
      <w:pPr>
        <w:tabs>
          <w:tab w:val="left" w:pos="567"/>
        </w:tabs>
        <w:suppressAutoHyphens/>
        <w:ind w:right="14"/>
        <w:rPr>
          <w:szCs w:val="22"/>
          <w:lang w:val="pt-PT"/>
        </w:rPr>
      </w:pPr>
    </w:p>
    <w:p w14:paraId="1CF27BEE"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1.</w:t>
      </w:r>
      <w:r w:rsidRPr="002A54AF">
        <w:rPr>
          <w:b/>
          <w:szCs w:val="22"/>
          <w:lang w:val="pt-PT"/>
        </w:rPr>
        <w:tab/>
        <w:t>NOME DO MEDICAMENTO</w:t>
      </w:r>
    </w:p>
    <w:p w14:paraId="1D891388" w14:textId="77777777" w:rsidR="00011577" w:rsidRPr="002A54AF" w:rsidRDefault="00011577" w:rsidP="00011577">
      <w:pPr>
        <w:tabs>
          <w:tab w:val="left" w:pos="567"/>
        </w:tabs>
        <w:suppressAutoHyphens/>
        <w:ind w:right="14"/>
        <w:rPr>
          <w:szCs w:val="22"/>
          <w:lang w:val="pt-PT"/>
        </w:rPr>
      </w:pPr>
    </w:p>
    <w:p w14:paraId="2EBF197B" w14:textId="77777777" w:rsidR="00011577" w:rsidRPr="002A54AF" w:rsidRDefault="00011577" w:rsidP="00011577">
      <w:pPr>
        <w:tabs>
          <w:tab w:val="left" w:pos="567"/>
        </w:tabs>
        <w:suppressAutoHyphens/>
        <w:ind w:right="14"/>
        <w:rPr>
          <w:szCs w:val="22"/>
          <w:lang w:val="pt-PT"/>
        </w:rPr>
      </w:pPr>
      <w:r w:rsidRPr="002A54AF">
        <w:rPr>
          <w:szCs w:val="22"/>
          <w:lang w:val="pt-PT"/>
        </w:rPr>
        <w:t>Voriconazol Accord 50 mg comprimidos revestidos por película</w:t>
      </w:r>
    </w:p>
    <w:p w14:paraId="74414BB0" w14:textId="77777777" w:rsidR="00011577" w:rsidRPr="002A54AF" w:rsidRDefault="00033FEC" w:rsidP="00011577">
      <w:pPr>
        <w:tabs>
          <w:tab w:val="left" w:pos="567"/>
        </w:tabs>
        <w:suppressAutoHyphens/>
        <w:ind w:right="14"/>
        <w:rPr>
          <w:szCs w:val="22"/>
          <w:lang w:val="pt-PT"/>
        </w:rPr>
      </w:pPr>
      <w:r>
        <w:rPr>
          <w:szCs w:val="22"/>
          <w:lang w:val="pt-PT"/>
        </w:rPr>
        <w:t>v</w:t>
      </w:r>
      <w:r w:rsidRPr="002A54AF">
        <w:rPr>
          <w:szCs w:val="22"/>
          <w:lang w:val="pt-PT"/>
        </w:rPr>
        <w:t>oriconazol</w:t>
      </w:r>
    </w:p>
    <w:p w14:paraId="08018E23" w14:textId="77777777" w:rsidR="00011577" w:rsidRPr="00AE78B4" w:rsidRDefault="00011577" w:rsidP="00011577">
      <w:pPr>
        <w:tabs>
          <w:tab w:val="left" w:pos="567"/>
        </w:tabs>
        <w:suppressAutoHyphens/>
        <w:ind w:right="14"/>
        <w:rPr>
          <w:sz w:val="20"/>
          <w:szCs w:val="22"/>
          <w:lang w:val="pt-PT"/>
        </w:rPr>
      </w:pPr>
    </w:p>
    <w:p w14:paraId="3EB6771B" w14:textId="77777777" w:rsidR="00011577" w:rsidRPr="002A54AF" w:rsidRDefault="00011577" w:rsidP="00011577">
      <w:pPr>
        <w:tabs>
          <w:tab w:val="left" w:pos="567"/>
        </w:tabs>
        <w:suppressAutoHyphens/>
        <w:ind w:right="14"/>
        <w:rPr>
          <w:szCs w:val="22"/>
          <w:lang w:val="pt-PT"/>
        </w:rPr>
      </w:pPr>
    </w:p>
    <w:p w14:paraId="79042EF5"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lang w:val="pt-PT"/>
        </w:rPr>
      </w:pPr>
      <w:r w:rsidRPr="002A54AF">
        <w:rPr>
          <w:b/>
          <w:szCs w:val="22"/>
          <w:lang w:val="pt-PT"/>
        </w:rPr>
        <w:t>2.</w:t>
      </w:r>
      <w:r w:rsidRPr="002A54AF">
        <w:rPr>
          <w:b/>
          <w:szCs w:val="22"/>
          <w:lang w:val="pt-PT"/>
        </w:rPr>
        <w:tab/>
        <w:t>DESCRIÇÃO DA SUBSTÂNCIA(S) ACTIVA(S)</w:t>
      </w:r>
    </w:p>
    <w:p w14:paraId="308A5947" w14:textId="77777777" w:rsidR="00011577" w:rsidRPr="002A54AF" w:rsidRDefault="00011577" w:rsidP="00011577">
      <w:pPr>
        <w:tabs>
          <w:tab w:val="left" w:pos="567"/>
        </w:tabs>
        <w:suppressAutoHyphens/>
        <w:ind w:right="14"/>
        <w:rPr>
          <w:szCs w:val="22"/>
          <w:lang w:val="pt-PT"/>
        </w:rPr>
      </w:pPr>
    </w:p>
    <w:p w14:paraId="468FBE67" w14:textId="77777777" w:rsidR="00011577" w:rsidRPr="002A54AF" w:rsidRDefault="00011577" w:rsidP="00011577">
      <w:pPr>
        <w:tabs>
          <w:tab w:val="left" w:pos="567"/>
        </w:tabs>
        <w:suppressAutoHyphens/>
        <w:ind w:right="14"/>
        <w:rPr>
          <w:szCs w:val="22"/>
          <w:lang w:val="pt-PT"/>
        </w:rPr>
      </w:pPr>
      <w:r w:rsidRPr="002A54AF">
        <w:rPr>
          <w:szCs w:val="22"/>
          <w:lang w:val="pt-PT"/>
        </w:rPr>
        <w:t>Cada comprimido contém 50 mg de voriconazol.</w:t>
      </w:r>
    </w:p>
    <w:p w14:paraId="13884572" w14:textId="77777777" w:rsidR="00011577" w:rsidRPr="002A54AF" w:rsidRDefault="00011577" w:rsidP="00011577">
      <w:pPr>
        <w:tabs>
          <w:tab w:val="left" w:pos="567"/>
        </w:tabs>
        <w:suppressAutoHyphens/>
        <w:ind w:right="14"/>
        <w:rPr>
          <w:szCs w:val="22"/>
          <w:lang w:val="pt-PT"/>
        </w:rPr>
      </w:pPr>
    </w:p>
    <w:p w14:paraId="6DDCD996" w14:textId="77777777" w:rsidR="00011577" w:rsidRPr="002A54AF" w:rsidRDefault="00011577" w:rsidP="00011577">
      <w:pPr>
        <w:tabs>
          <w:tab w:val="left" w:pos="567"/>
        </w:tabs>
        <w:suppressAutoHyphens/>
        <w:ind w:right="14"/>
        <w:rPr>
          <w:szCs w:val="22"/>
          <w:lang w:val="pt-PT"/>
        </w:rPr>
      </w:pPr>
    </w:p>
    <w:p w14:paraId="4C945204"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3.</w:t>
      </w:r>
      <w:r w:rsidRPr="002A54AF">
        <w:rPr>
          <w:b/>
          <w:szCs w:val="22"/>
          <w:lang w:val="pt-PT"/>
        </w:rPr>
        <w:tab/>
        <w:t>LISTA DOS EXCIPIENTES</w:t>
      </w:r>
    </w:p>
    <w:p w14:paraId="711B4D79" w14:textId="77777777" w:rsidR="00011577" w:rsidRPr="002A54AF" w:rsidRDefault="00011577" w:rsidP="00011577">
      <w:pPr>
        <w:tabs>
          <w:tab w:val="left" w:pos="567"/>
        </w:tabs>
        <w:suppressAutoHyphens/>
        <w:ind w:right="14"/>
        <w:rPr>
          <w:szCs w:val="22"/>
          <w:lang w:val="pt-PT"/>
        </w:rPr>
      </w:pPr>
    </w:p>
    <w:p w14:paraId="3F781BFC" w14:textId="77777777" w:rsidR="00011577" w:rsidRPr="002A54AF" w:rsidRDefault="00011577" w:rsidP="00011577">
      <w:pPr>
        <w:tabs>
          <w:tab w:val="left" w:pos="567"/>
        </w:tabs>
        <w:suppressAutoHyphens/>
        <w:ind w:right="14"/>
        <w:rPr>
          <w:szCs w:val="22"/>
          <w:lang w:val="pt-PT"/>
        </w:rPr>
      </w:pPr>
      <w:r w:rsidRPr="002A54AF">
        <w:rPr>
          <w:szCs w:val="22"/>
          <w:lang w:val="pt-PT"/>
        </w:rPr>
        <w:t>Contém lactose mono-hidratada. Ver folheto informativo para mais informação.</w:t>
      </w:r>
    </w:p>
    <w:p w14:paraId="7DD6644A" w14:textId="77777777" w:rsidR="00011577" w:rsidRPr="00AE78B4" w:rsidRDefault="00011577" w:rsidP="00011577">
      <w:pPr>
        <w:tabs>
          <w:tab w:val="left" w:pos="567"/>
        </w:tabs>
        <w:suppressAutoHyphens/>
        <w:ind w:right="14"/>
        <w:rPr>
          <w:sz w:val="20"/>
          <w:szCs w:val="22"/>
          <w:lang w:val="pt-PT"/>
        </w:rPr>
      </w:pPr>
    </w:p>
    <w:p w14:paraId="24D2719B" w14:textId="77777777" w:rsidR="00011577" w:rsidRPr="002A54AF" w:rsidRDefault="00011577" w:rsidP="00011577">
      <w:pPr>
        <w:tabs>
          <w:tab w:val="left" w:pos="567"/>
        </w:tabs>
        <w:suppressAutoHyphens/>
        <w:ind w:right="14"/>
        <w:rPr>
          <w:szCs w:val="22"/>
          <w:lang w:val="pt-PT"/>
        </w:rPr>
      </w:pPr>
    </w:p>
    <w:p w14:paraId="385D1190"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4.</w:t>
      </w:r>
      <w:r w:rsidRPr="002A54AF">
        <w:rPr>
          <w:b/>
          <w:szCs w:val="22"/>
          <w:lang w:val="pt-PT"/>
        </w:rPr>
        <w:tab/>
        <w:t>FORMA FARMACÊUTICA E CONTEÚDO</w:t>
      </w:r>
    </w:p>
    <w:p w14:paraId="65779B60" w14:textId="77777777" w:rsidR="00011577" w:rsidRPr="002A54AF" w:rsidRDefault="00011577" w:rsidP="00011577">
      <w:pPr>
        <w:tabs>
          <w:tab w:val="left" w:pos="567"/>
        </w:tabs>
        <w:suppressAutoHyphens/>
        <w:ind w:right="14"/>
        <w:rPr>
          <w:szCs w:val="22"/>
          <w:lang w:val="pt-PT"/>
        </w:rPr>
      </w:pPr>
    </w:p>
    <w:p w14:paraId="38909874" w14:textId="77777777" w:rsidR="00011577" w:rsidRPr="002A54AF" w:rsidRDefault="00011577" w:rsidP="00011577">
      <w:pPr>
        <w:tabs>
          <w:tab w:val="left" w:pos="567"/>
        </w:tabs>
        <w:suppressAutoHyphens/>
        <w:ind w:right="14"/>
        <w:rPr>
          <w:szCs w:val="22"/>
          <w:lang w:val="pt-PT"/>
        </w:rPr>
      </w:pPr>
      <w:r w:rsidRPr="002A54AF">
        <w:rPr>
          <w:szCs w:val="22"/>
          <w:lang w:val="pt-PT"/>
        </w:rPr>
        <w:t>2</w:t>
      </w:r>
      <w:r w:rsidR="0020636B" w:rsidRPr="002A54AF">
        <w:rPr>
          <w:szCs w:val="22"/>
          <w:lang w:val="pt-PT"/>
        </w:rPr>
        <w:t> </w:t>
      </w:r>
      <w:r w:rsidRPr="002A54AF">
        <w:rPr>
          <w:szCs w:val="22"/>
          <w:lang w:val="pt-PT"/>
        </w:rPr>
        <w:t>comprimidos revestidos por película</w:t>
      </w:r>
    </w:p>
    <w:p w14:paraId="1E35672B"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10</w:t>
      </w:r>
      <w:r w:rsidR="0020636B" w:rsidRPr="002A54AF">
        <w:rPr>
          <w:szCs w:val="22"/>
          <w:highlight w:val="lightGray"/>
          <w:lang w:val="pt-PT"/>
        </w:rPr>
        <w:t> </w:t>
      </w:r>
      <w:r w:rsidRPr="002A54AF">
        <w:rPr>
          <w:szCs w:val="22"/>
          <w:highlight w:val="lightGray"/>
          <w:lang w:val="pt-PT"/>
        </w:rPr>
        <w:t>comprimidos revestidos por película</w:t>
      </w:r>
    </w:p>
    <w:p w14:paraId="01C3ABF9"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14</w:t>
      </w:r>
      <w:r w:rsidR="0020636B" w:rsidRPr="002A54AF">
        <w:rPr>
          <w:szCs w:val="22"/>
          <w:highlight w:val="lightGray"/>
          <w:lang w:val="pt-PT"/>
        </w:rPr>
        <w:t> </w:t>
      </w:r>
      <w:r w:rsidRPr="002A54AF">
        <w:rPr>
          <w:szCs w:val="22"/>
          <w:highlight w:val="lightGray"/>
          <w:lang w:val="pt-PT"/>
        </w:rPr>
        <w:t>comprimidos revestidos por película</w:t>
      </w:r>
    </w:p>
    <w:p w14:paraId="4AA930A5"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20</w:t>
      </w:r>
      <w:r w:rsidR="0020636B" w:rsidRPr="002A54AF">
        <w:rPr>
          <w:szCs w:val="22"/>
          <w:highlight w:val="lightGray"/>
          <w:lang w:val="pt-PT"/>
        </w:rPr>
        <w:t> </w:t>
      </w:r>
      <w:r w:rsidRPr="002A54AF">
        <w:rPr>
          <w:szCs w:val="22"/>
          <w:highlight w:val="lightGray"/>
          <w:lang w:val="pt-PT"/>
        </w:rPr>
        <w:t>comprimidos revestidos por película</w:t>
      </w:r>
    </w:p>
    <w:p w14:paraId="57BC04D5"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28</w:t>
      </w:r>
      <w:r w:rsidR="0020636B" w:rsidRPr="002A54AF">
        <w:rPr>
          <w:szCs w:val="22"/>
          <w:highlight w:val="lightGray"/>
          <w:lang w:val="pt-PT"/>
        </w:rPr>
        <w:t> </w:t>
      </w:r>
      <w:r w:rsidRPr="002A54AF">
        <w:rPr>
          <w:szCs w:val="22"/>
          <w:highlight w:val="lightGray"/>
          <w:lang w:val="pt-PT"/>
        </w:rPr>
        <w:t>comprimidos revestidos por película</w:t>
      </w:r>
    </w:p>
    <w:p w14:paraId="63123685"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30</w:t>
      </w:r>
      <w:r w:rsidR="0020636B" w:rsidRPr="002A54AF">
        <w:rPr>
          <w:szCs w:val="22"/>
          <w:highlight w:val="lightGray"/>
          <w:lang w:val="pt-PT"/>
        </w:rPr>
        <w:t> </w:t>
      </w:r>
      <w:r w:rsidRPr="002A54AF">
        <w:rPr>
          <w:szCs w:val="22"/>
          <w:highlight w:val="lightGray"/>
          <w:lang w:val="pt-PT"/>
        </w:rPr>
        <w:t>comprimidos revestidos por película</w:t>
      </w:r>
    </w:p>
    <w:p w14:paraId="4CC26FAC"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50</w:t>
      </w:r>
      <w:r w:rsidR="0020636B" w:rsidRPr="002A54AF">
        <w:rPr>
          <w:szCs w:val="22"/>
          <w:highlight w:val="lightGray"/>
          <w:lang w:val="pt-PT"/>
        </w:rPr>
        <w:t> </w:t>
      </w:r>
      <w:r w:rsidRPr="002A54AF">
        <w:rPr>
          <w:szCs w:val="22"/>
          <w:highlight w:val="lightGray"/>
          <w:lang w:val="pt-PT"/>
        </w:rPr>
        <w:t>comprimidos revestidos por película</w:t>
      </w:r>
    </w:p>
    <w:p w14:paraId="5A42EDC7"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56</w:t>
      </w:r>
      <w:r w:rsidR="0020636B" w:rsidRPr="002A54AF">
        <w:rPr>
          <w:szCs w:val="22"/>
          <w:highlight w:val="lightGray"/>
          <w:lang w:val="pt-PT"/>
        </w:rPr>
        <w:t> </w:t>
      </w:r>
      <w:r w:rsidRPr="002A54AF">
        <w:rPr>
          <w:szCs w:val="22"/>
          <w:highlight w:val="lightGray"/>
          <w:lang w:val="pt-PT"/>
        </w:rPr>
        <w:t>comprimidos revestidos por película</w:t>
      </w:r>
    </w:p>
    <w:p w14:paraId="54A8D265" w14:textId="77777777" w:rsidR="00011577" w:rsidRPr="002A54AF" w:rsidRDefault="00011577" w:rsidP="00011577">
      <w:pPr>
        <w:tabs>
          <w:tab w:val="left" w:pos="567"/>
        </w:tabs>
        <w:suppressAutoHyphens/>
        <w:ind w:right="14"/>
        <w:rPr>
          <w:szCs w:val="22"/>
          <w:lang w:val="pt-PT"/>
        </w:rPr>
      </w:pPr>
      <w:r w:rsidRPr="002A54AF">
        <w:rPr>
          <w:szCs w:val="22"/>
          <w:highlight w:val="lightGray"/>
          <w:lang w:val="pt-PT"/>
        </w:rPr>
        <w:t>100</w:t>
      </w:r>
      <w:r w:rsidR="0020636B" w:rsidRPr="002A54AF">
        <w:rPr>
          <w:szCs w:val="22"/>
          <w:highlight w:val="lightGray"/>
          <w:lang w:val="pt-PT"/>
        </w:rPr>
        <w:t> </w:t>
      </w:r>
      <w:r w:rsidRPr="002A54AF">
        <w:rPr>
          <w:szCs w:val="22"/>
          <w:highlight w:val="lightGray"/>
          <w:lang w:val="pt-PT"/>
        </w:rPr>
        <w:t>comprimidos revestidos por película</w:t>
      </w:r>
    </w:p>
    <w:p w14:paraId="6B9C4421" w14:textId="77777777" w:rsidR="00BC2279" w:rsidRPr="00E951C7" w:rsidRDefault="00BC2279" w:rsidP="00011577">
      <w:pPr>
        <w:tabs>
          <w:tab w:val="left" w:pos="567"/>
        </w:tabs>
        <w:suppressAutoHyphens/>
        <w:ind w:right="14"/>
        <w:rPr>
          <w:szCs w:val="22"/>
          <w:highlight w:val="lightGray"/>
          <w:lang w:val="pt-PT"/>
        </w:rPr>
      </w:pPr>
      <w:r w:rsidRPr="00E951C7">
        <w:rPr>
          <w:szCs w:val="22"/>
          <w:highlight w:val="lightGray"/>
          <w:lang w:val="pt-PT"/>
        </w:rPr>
        <w:t>10x1 comprimidos revestidos por película</w:t>
      </w:r>
    </w:p>
    <w:p w14:paraId="64EEA537" w14:textId="77777777" w:rsidR="00BC2279" w:rsidRPr="00E951C7" w:rsidRDefault="00BC2279" w:rsidP="00011577">
      <w:pPr>
        <w:tabs>
          <w:tab w:val="left" w:pos="567"/>
        </w:tabs>
        <w:suppressAutoHyphens/>
        <w:ind w:right="14"/>
        <w:rPr>
          <w:szCs w:val="22"/>
          <w:highlight w:val="lightGray"/>
          <w:lang w:val="pt-PT"/>
        </w:rPr>
      </w:pPr>
      <w:r w:rsidRPr="00E951C7">
        <w:rPr>
          <w:szCs w:val="22"/>
          <w:highlight w:val="lightGray"/>
          <w:lang w:val="pt-PT"/>
        </w:rPr>
        <w:t>14x1 comprimidos revestidos por película</w:t>
      </w:r>
    </w:p>
    <w:p w14:paraId="3245194E" w14:textId="77777777" w:rsidR="00BC2279" w:rsidRPr="00E951C7" w:rsidRDefault="00BC2279" w:rsidP="00011577">
      <w:pPr>
        <w:tabs>
          <w:tab w:val="left" w:pos="567"/>
        </w:tabs>
        <w:suppressAutoHyphens/>
        <w:ind w:right="14"/>
        <w:rPr>
          <w:szCs w:val="22"/>
          <w:highlight w:val="lightGray"/>
          <w:lang w:val="pt-PT"/>
        </w:rPr>
      </w:pPr>
      <w:r w:rsidRPr="00E951C7">
        <w:rPr>
          <w:szCs w:val="22"/>
          <w:highlight w:val="lightGray"/>
          <w:lang w:val="pt-PT"/>
        </w:rPr>
        <w:t>28x1 comprimidos revestidos por película</w:t>
      </w:r>
    </w:p>
    <w:p w14:paraId="1FE89583" w14:textId="77777777" w:rsidR="00BC2279" w:rsidRPr="00E951C7" w:rsidRDefault="00BC2279" w:rsidP="00011577">
      <w:pPr>
        <w:tabs>
          <w:tab w:val="left" w:pos="567"/>
        </w:tabs>
        <w:suppressAutoHyphens/>
        <w:ind w:right="14"/>
        <w:rPr>
          <w:szCs w:val="22"/>
          <w:highlight w:val="lightGray"/>
          <w:lang w:val="pt-PT"/>
        </w:rPr>
      </w:pPr>
      <w:r w:rsidRPr="00E951C7">
        <w:rPr>
          <w:szCs w:val="22"/>
          <w:highlight w:val="lightGray"/>
          <w:lang w:val="pt-PT"/>
        </w:rPr>
        <w:t>30x1 comprimidos revestidos por película</w:t>
      </w:r>
    </w:p>
    <w:p w14:paraId="38BC83B4" w14:textId="77777777" w:rsidR="00BC2279" w:rsidRPr="00E951C7" w:rsidRDefault="00BC2279" w:rsidP="00011577">
      <w:pPr>
        <w:tabs>
          <w:tab w:val="left" w:pos="567"/>
        </w:tabs>
        <w:suppressAutoHyphens/>
        <w:ind w:right="14"/>
        <w:rPr>
          <w:szCs w:val="22"/>
          <w:highlight w:val="lightGray"/>
          <w:lang w:val="pt-PT"/>
        </w:rPr>
      </w:pPr>
      <w:r w:rsidRPr="00E951C7">
        <w:rPr>
          <w:szCs w:val="22"/>
          <w:highlight w:val="lightGray"/>
          <w:lang w:val="pt-PT"/>
        </w:rPr>
        <w:t>56x1 comprimidos revestidos por película</w:t>
      </w:r>
    </w:p>
    <w:p w14:paraId="33156450" w14:textId="77777777" w:rsidR="00BC2279" w:rsidRPr="002A54AF" w:rsidRDefault="00BC2279" w:rsidP="00011577">
      <w:pPr>
        <w:tabs>
          <w:tab w:val="left" w:pos="567"/>
        </w:tabs>
        <w:suppressAutoHyphens/>
        <w:ind w:right="14"/>
        <w:rPr>
          <w:szCs w:val="22"/>
          <w:lang w:val="pt-PT"/>
        </w:rPr>
      </w:pPr>
      <w:r w:rsidRPr="00E951C7">
        <w:rPr>
          <w:szCs w:val="22"/>
          <w:highlight w:val="lightGray"/>
          <w:lang w:val="pt-PT"/>
        </w:rPr>
        <w:t>100x1 comprimidos revestidos por película</w:t>
      </w:r>
    </w:p>
    <w:p w14:paraId="56B61552" w14:textId="77777777" w:rsidR="00011577" w:rsidRPr="002A54AF" w:rsidRDefault="00011577" w:rsidP="00011577">
      <w:pPr>
        <w:tabs>
          <w:tab w:val="left" w:pos="567"/>
        </w:tabs>
        <w:suppressAutoHyphens/>
        <w:ind w:right="14"/>
        <w:rPr>
          <w:szCs w:val="22"/>
          <w:lang w:val="pt-PT"/>
        </w:rPr>
      </w:pPr>
    </w:p>
    <w:p w14:paraId="225CD6D6" w14:textId="77777777" w:rsidR="00011577" w:rsidRPr="002A54AF" w:rsidRDefault="00011577" w:rsidP="00011577">
      <w:pPr>
        <w:tabs>
          <w:tab w:val="left" w:pos="567"/>
        </w:tabs>
        <w:suppressAutoHyphens/>
        <w:ind w:right="14"/>
        <w:rPr>
          <w:szCs w:val="22"/>
          <w:lang w:val="pt-PT"/>
        </w:rPr>
      </w:pPr>
    </w:p>
    <w:p w14:paraId="5EAAA6BB"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5.</w:t>
      </w:r>
      <w:r w:rsidRPr="002A54AF">
        <w:rPr>
          <w:b/>
          <w:szCs w:val="22"/>
          <w:lang w:val="pt-PT"/>
        </w:rPr>
        <w:tab/>
        <w:t>MODO E VIA(S) DE ADMINISTRAÇÃO</w:t>
      </w:r>
    </w:p>
    <w:p w14:paraId="53CB4FB7" w14:textId="77777777" w:rsidR="00011577" w:rsidRPr="002A54AF" w:rsidRDefault="00011577" w:rsidP="00011577">
      <w:pPr>
        <w:tabs>
          <w:tab w:val="left" w:pos="567"/>
        </w:tabs>
        <w:suppressAutoHyphens/>
        <w:ind w:right="14"/>
        <w:rPr>
          <w:szCs w:val="22"/>
          <w:lang w:val="pt-PT"/>
        </w:rPr>
      </w:pPr>
    </w:p>
    <w:p w14:paraId="39BDFC05" w14:textId="77777777" w:rsidR="00011577" w:rsidRPr="002A54AF" w:rsidRDefault="00011577" w:rsidP="00011577">
      <w:pPr>
        <w:tabs>
          <w:tab w:val="left" w:pos="567"/>
        </w:tabs>
        <w:suppressAutoHyphens/>
        <w:ind w:right="14"/>
        <w:rPr>
          <w:szCs w:val="22"/>
          <w:lang w:val="pt-PT"/>
        </w:rPr>
      </w:pPr>
      <w:r w:rsidRPr="002A54AF">
        <w:rPr>
          <w:szCs w:val="22"/>
          <w:lang w:val="pt-PT"/>
        </w:rPr>
        <w:t>Consultar o folheto informativo antes de utilizar.</w:t>
      </w:r>
    </w:p>
    <w:p w14:paraId="487A0BCE" w14:textId="77777777" w:rsidR="00011577" w:rsidRPr="002A54AF" w:rsidRDefault="00011577" w:rsidP="00011577">
      <w:pPr>
        <w:tabs>
          <w:tab w:val="left" w:pos="567"/>
        </w:tabs>
        <w:suppressAutoHyphens/>
        <w:ind w:right="14"/>
        <w:rPr>
          <w:szCs w:val="22"/>
          <w:lang w:val="pt-PT"/>
        </w:rPr>
      </w:pPr>
      <w:r w:rsidRPr="002A54AF">
        <w:rPr>
          <w:szCs w:val="22"/>
          <w:lang w:val="pt-PT"/>
        </w:rPr>
        <w:t>Via oral.</w:t>
      </w:r>
    </w:p>
    <w:p w14:paraId="0D23BC53" w14:textId="77777777" w:rsidR="00011577" w:rsidRPr="002A54AF" w:rsidRDefault="00011577" w:rsidP="00011577">
      <w:pPr>
        <w:tabs>
          <w:tab w:val="left" w:pos="567"/>
        </w:tabs>
        <w:suppressAutoHyphens/>
        <w:ind w:right="14"/>
        <w:rPr>
          <w:szCs w:val="22"/>
          <w:lang w:val="pt-PT"/>
        </w:rPr>
      </w:pPr>
    </w:p>
    <w:p w14:paraId="2EFC7181" w14:textId="77777777" w:rsidR="00011577" w:rsidRPr="002A54AF" w:rsidRDefault="00011577" w:rsidP="00011577">
      <w:pPr>
        <w:tabs>
          <w:tab w:val="left" w:pos="567"/>
        </w:tabs>
        <w:suppressAutoHyphens/>
        <w:ind w:right="14"/>
        <w:rPr>
          <w:szCs w:val="22"/>
          <w:lang w:val="pt-PT"/>
        </w:rPr>
      </w:pPr>
    </w:p>
    <w:p w14:paraId="259B21EE"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lang w:val="pt-PT"/>
        </w:rPr>
      </w:pPr>
      <w:r w:rsidRPr="002A54AF">
        <w:rPr>
          <w:b/>
          <w:szCs w:val="22"/>
          <w:lang w:val="pt-PT"/>
        </w:rPr>
        <w:t>6.</w:t>
      </w:r>
      <w:r w:rsidRPr="002A54AF">
        <w:rPr>
          <w:b/>
          <w:szCs w:val="22"/>
          <w:lang w:val="pt-PT"/>
        </w:rPr>
        <w:tab/>
        <w:t>ADVERTÊNCIA ESPECIAL DE QUE O MEDICAMENTO DEVE SER MANTIDO FORA DA VISTA E DO ALCANCE DAS CRIANÇAS</w:t>
      </w:r>
    </w:p>
    <w:p w14:paraId="4B71668D" w14:textId="77777777" w:rsidR="00011577" w:rsidRPr="002A54AF" w:rsidRDefault="00011577" w:rsidP="00011577">
      <w:pPr>
        <w:tabs>
          <w:tab w:val="left" w:pos="567"/>
        </w:tabs>
        <w:suppressAutoHyphens/>
        <w:ind w:right="14"/>
        <w:rPr>
          <w:szCs w:val="22"/>
          <w:lang w:val="pt-PT"/>
        </w:rPr>
      </w:pPr>
    </w:p>
    <w:p w14:paraId="587806D0" w14:textId="77777777" w:rsidR="00011577" w:rsidRPr="002A54AF" w:rsidRDefault="00011577" w:rsidP="00011577">
      <w:pPr>
        <w:tabs>
          <w:tab w:val="left" w:pos="567"/>
        </w:tabs>
        <w:suppressAutoHyphens/>
        <w:ind w:right="14"/>
        <w:rPr>
          <w:szCs w:val="22"/>
          <w:lang w:val="pt-PT"/>
        </w:rPr>
      </w:pPr>
      <w:r w:rsidRPr="002A54AF">
        <w:rPr>
          <w:szCs w:val="22"/>
          <w:lang w:val="pt-PT"/>
        </w:rPr>
        <w:t>Manter fora da vista e do alcance das crianças.</w:t>
      </w:r>
    </w:p>
    <w:p w14:paraId="0FAA405E" w14:textId="77777777" w:rsidR="00011577" w:rsidRPr="002A54AF" w:rsidRDefault="00011577" w:rsidP="00011577">
      <w:pPr>
        <w:tabs>
          <w:tab w:val="left" w:pos="567"/>
        </w:tabs>
        <w:suppressAutoHyphens/>
        <w:ind w:right="14"/>
        <w:rPr>
          <w:szCs w:val="22"/>
          <w:lang w:val="pt-PT"/>
        </w:rPr>
      </w:pPr>
    </w:p>
    <w:p w14:paraId="117411B8" w14:textId="77777777" w:rsidR="00011577" w:rsidRPr="002A54AF" w:rsidRDefault="00011577" w:rsidP="00011577">
      <w:pPr>
        <w:tabs>
          <w:tab w:val="left" w:pos="567"/>
        </w:tabs>
        <w:suppressAutoHyphens/>
        <w:ind w:right="14"/>
        <w:rPr>
          <w:szCs w:val="22"/>
          <w:lang w:val="pt-PT"/>
        </w:rPr>
      </w:pPr>
    </w:p>
    <w:p w14:paraId="2CD882D5"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7.</w:t>
      </w:r>
      <w:r w:rsidRPr="002A54AF">
        <w:rPr>
          <w:b/>
          <w:szCs w:val="22"/>
          <w:lang w:val="pt-PT"/>
        </w:rPr>
        <w:tab/>
        <w:t>OUTRAS ADVERTÊNCIAS ESPECIAIS, SE NECESSÁRIO</w:t>
      </w:r>
    </w:p>
    <w:p w14:paraId="091FE7B2" w14:textId="77777777" w:rsidR="00011577" w:rsidRDefault="00011577" w:rsidP="00011577">
      <w:pPr>
        <w:tabs>
          <w:tab w:val="left" w:pos="567"/>
        </w:tabs>
        <w:suppressAutoHyphens/>
        <w:ind w:right="14"/>
        <w:rPr>
          <w:szCs w:val="22"/>
          <w:lang w:val="pt-PT"/>
        </w:rPr>
      </w:pPr>
    </w:p>
    <w:p w14:paraId="280841A0" w14:textId="77777777" w:rsidR="008C3642" w:rsidRPr="002A54AF" w:rsidRDefault="008C3642" w:rsidP="00011577">
      <w:pPr>
        <w:tabs>
          <w:tab w:val="left" w:pos="567"/>
        </w:tabs>
        <w:suppressAutoHyphens/>
        <w:ind w:right="14"/>
        <w:rPr>
          <w:szCs w:val="22"/>
          <w:lang w:val="pt-PT"/>
        </w:rPr>
      </w:pPr>
    </w:p>
    <w:p w14:paraId="5FCA662C" w14:textId="77777777" w:rsidR="00011577" w:rsidRPr="002A54AF" w:rsidRDefault="00011577" w:rsidP="00CE59DC">
      <w:pPr>
        <w:pBdr>
          <w:top w:val="single" w:sz="4" w:space="1" w:color="auto"/>
          <w:left w:val="single" w:sz="4" w:space="4" w:color="auto"/>
          <w:bottom w:val="single" w:sz="4" w:space="1" w:color="auto"/>
          <w:right w:val="single" w:sz="4" w:space="4" w:color="auto"/>
        </w:pBdr>
        <w:tabs>
          <w:tab w:val="left" w:pos="567"/>
        </w:tabs>
        <w:suppressAutoHyphens/>
        <w:ind w:right="14"/>
        <w:rPr>
          <w:b/>
          <w:szCs w:val="22"/>
          <w:lang w:val="pt-PT"/>
        </w:rPr>
      </w:pPr>
      <w:r w:rsidRPr="002A54AF">
        <w:rPr>
          <w:b/>
          <w:szCs w:val="22"/>
          <w:lang w:val="pt-PT"/>
        </w:rPr>
        <w:t>8.</w:t>
      </w:r>
      <w:r w:rsidRPr="002A54AF">
        <w:rPr>
          <w:b/>
          <w:szCs w:val="22"/>
          <w:lang w:val="pt-PT"/>
        </w:rPr>
        <w:tab/>
        <w:t>PRAZO DE VALIDADE</w:t>
      </w:r>
    </w:p>
    <w:p w14:paraId="72BE9806" w14:textId="77777777" w:rsidR="00011577" w:rsidRPr="002A54AF" w:rsidRDefault="00011577" w:rsidP="00CE59DC">
      <w:pPr>
        <w:tabs>
          <w:tab w:val="left" w:pos="567"/>
        </w:tabs>
        <w:suppressAutoHyphens/>
        <w:ind w:right="14"/>
        <w:rPr>
          <w:szCs w:val="22"/>
          <w:lang w:val="pt-PT"/>
        </w:rPr>
      </w:pPr>
    </w:p>
    <w:p w14:paraId="14DB098E" w14:textId="77777777" w:rsidR="00011577" w:rsidRPr="002A54AF" w:rsidRDefault="00011577" w:rsidP="00CE59DC">
      <w:pPr>
        <w:tabs>
          <w:tab w:val="left" w:pos="567"/>
        </w:tabs>
        <w:suppressAutoHyphens/>
        <w:ind w:right="14"/>
        <w:rPr>
          <w:szCs w:val="22"/>
          <w:lang w:val="pt-PT"/>
        </w:rPr>
      </w:pPr>
      <w:r w:rsidRPr="002A54AF">
        <w:rPr>
          <w:szCs w:val="22"/>
          <w:lang w:val="pt-PT"/>
        </w:rPr>
        <w:t xml:space="preserve">VAL. </w:t>
      </w:r>
    </w:p>
    <w:p w14:paraId="320A4B4D" w14:textId="77777777" w:rsidR="00011577" w:rsidRPr="008C3642" w:rsidRDefault="00011577" w:rsidP="00011577">
      <w:pPr>
        <w:keepNext/>
        <w:tabs>
          <w:tab w:val="left" w:pos="567"/>
        </w:tabs>
        <w:suppressAutoHyphens/>
        <w:ind w:right="14"/>
        <w:rPr>
          <w:sz w:val="20"/>
          <w:szCs w:val="22"/>
          <w:lang w:val="pt-PT"/>
        </w:rPr>
      </w:pPr>
    </w:p>
    <w:p w14:paraId="4FF7A416" w14:textId="77777777" w:rsidR="00011577" w:rsidRPr="002A54AF" w:rsidRDefault="00011577" w:rsidP="00011577">
      <w:pPr>
        <w:keepNext/>
        <w:tabs>
          <w:tab w:val="left" w:pos="567"/>
        </w:tabs>
        <w:suppressAutoHyphens/>
        <w:ind w:right="14"/>
        <w:rPr>
          <w:szCs w:val="22"/>
          <w:lang w:val="pt-PT"/>
        </w:rPr>
      </w:pPr>
    </w:p>
    <w:p w14:paraId="6A5EB509" w14:textId="77777777" w:rsidR="00011577" w:rsidRPr="002A54AF" w:rsidRDefault="00011577" w:rsidP="00011577">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9.</w:t>
      </w:r>
      <w:r w:rsidRPr="002A54AF">
        <w:rPr>
          <w:b/>
          <w:szCs w:val="22"/>
          <w:lang w:val="pt-PT"/>
        </w:rPr>
        <w:tab/>
        <w:t>CONDIÇÕES ESPECIAIS DE CONSERVAÇÃO</w:t>
      </w:r>
    </w:p>
    <w:p w14:paraId="4E53FA54" w14:textId="77777777" w:rsidR="00011577" w:rsidRPr="008C3642" w:rsidRDefault="00011577" w:rsidP="00011577">
      <w:pPr>
        <w:tabs>
          <w:tab w:val="left" w:pos="567"/>
        </w:tabs>
        <w:suppressAutoHyphens/>
        <w:ind w:right="14"/>
        <w:rPr>
          <w:szCs w:val="22"/>
          <w:lang w:val="pt-PT"/>
        </w:rPr>
      </w:pPr>
    </w:p>
    <w:p w14:paraId="06B73D1D" w14:textId="77777777" w:rsidR="00011577" w:rsidRPr="002A54AF" w:rsidRDefault="00011577" w:rsidP="00011577">
      <w:pPr>
        <w:tabs>
          <w:tab w:val="left" w:pos="567"/>
        </w:tabs>
        <w:suppressAutoHyphens/>
        <w:rPr>
          <w:szCs w:val="22"/>
          <w:lang w:val="pt-PT"/>
        </w:rPr>
      </w:pPr>
    </w:p>
    <w:p w14:paraId="3EB037C9"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lang w:val="pt-PT"/>
        </w:rPr>
      </w:pPr>
      <w:r w:rsidRPr="002A54AF">
        <w:rPr>
          <w:b/>
          <w:szCs w:val="22"/>
          <w:lang w:val="pt-PT"/>
        </w:rPr>
        <w:t>10.</w:t>
      </w:r>
      <w:r w:rsidRPr="002A54AF">
        <w:rPr>
          <w:b/>
          <w:szCs w:val="22"/>
          <w:lang w:val="pt-PT"/>
        </w:rPr>
        <w:tab/>
        <w:t>CUIDADOS ESPECIAIS QUANTO À ELIMINAÇÃO DO MEDICAMENTO NÃO UTILIZADO OU DOS RESÍDUOS PROVENIENTES DESSE MEDICAMENTO, SE APLICÁVEL</w:t>
      </w:r>
    </w:p>
    <w:p w14:paraId="0958E0FB" w14:textId="77777777" w:rsidR="00011577" w:rsidRPr="002A54AF" w:rsidRDefault="00011577" w:rsidP="00011577">
      <w:pPr>
        <w:tabs>
          <w:tab w:val="left" w:pos="567"/>
        </w:tabs>
        <w:suppressAutoHyphens/>
        <w:ind w:right="14"/>
        <w:rPr>
          <w:szCs w:val="22"/>
          <w:lang w:val="pt-PT"/>
        </w:rPr>
      </w:pPr>
    </w:p>
    <w:p w14:paraId="31BBB12F" w14:textId="77777777" w:rsidR="00011577" w:rsidRPr="002A54AF" w:rsidRDefault="00011577" w:rsidP="00011577">
      <w:pPr>
        <w:tabs>
          <w:tab w:val="left" w:pos="567"/>
        </w:tabs>
        <w:suppressAutoHyphens/>
        <w:ind w:right="14"/>
        <w:rPr>
          <w:szCs w:val="22"/>
          <w:lang w:val="pt-PT"/>
        </w:rPr>
      </w:pPr>
    </w:p>
    <w:p w14:paraId="0889342A"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highlight w:val="lightGray"/>
          <w:lang w:val="pt-PT"/>
        </w:rPr>
      </w:pPr>
      <w:r w:rsidRPr="002A54AF">
        <w:rPr>
          <w:b/>
          <w:szCs w:val="22"/>
          <w:lang w:val="pt-PT"/>
        </w:rPr>
        <w:t>11.</w:t>
      </w:r>
      <w:r w:rsidRPr="002A54AF">
        <w:rPr>
          <w:b/>
          <w:szCs w:val="22"/>
          <w:lang w:val="pt-PT"/>
        </w:rPr>
        <w:tab/>
        <w:t>NOME E ENDEREÇO DO TITULAR DA AUTORIZAÇÃO DE INTRODUÇÃO NO MERCADO</w:t>
      </w:r>
    </w:p>
    <w:p w14:paraId="12A2EBCE" w14:textId="77777777" w:rsidR="00011577" w:rsidRPr="00CB39F3" w:rsidRDefault="00011577" w:rsidP="00011577">
      <w:pPr>
        <w:tabs>
          <w:tab w:val="left" w:pos="567"/>
        </w:tabs>
        <w:suppressAutoHyphens/>
        <w:ind w:right="14"/>
        <w:rPr>
          <w:szCs w:val="22"/>
          <w:lang w:val="pt-PT"/>
        </w:rPr>
      </w:pPr>
    </w:p>
    <w:p w14:paraId="0F3CE853" w14:textId="77777777" w:rsidR="00A74BB1" w:rsidRPr="00A74BB1" w:rsidRDefault="00A74BB1" w:rsidP="00A74BB1">
      <w:pPr>
        <w:rPr>
          <w:szCs w:val="22"/>
          <w:lang w:val="pl-PL"/>
        </w:rPr>
      </w:pPr>
      <w:r w:rsidRPr="00A74BB1">
        <w:rPr>
          <w:szCs w:val="22"/>
          <w:lang w:val="pl-PL"/>
        </w:rPr>
        <w:t xml:space="preserve">Accord Healthcare S.L.U. </w:t>
      </w:r>
    </w:p>
    <w:p w14:paraId="2EA96B41" w14:textId="77777777" w:rsidR="00A74BB1" w:rsidRPr="00A74BB1" w:rsidRDefault="00A74BB1" w:rsidP="00A74BB1">
      <w:pPr>
        <w:rPr>
          <w:szCs w:val="22"/>
          <w:lang w:val="pl-PL"/>
        </w:rPr>
      </w:pPr>
      <w:r w:rsidRPr="00A74BB1">
        <w:rPr>
          <w:szCs w:val="22"/>
          <w:lang w:val="pl-PL"/>
        </w:rPr>
        <w:t xml:space="preserve">World Trade Center, Moll de Barcelona, s/n, </w:t>
      </w:r>
    </w:p>
    <w:p w14:paraId="348471CF" w14:textId="77777777" w:rsidR="00A74BB1" w:rsidRPr="00A74BB1" w:rsidRDefault="00A74BB1" w:rsidP="00A74BB1">
      <w:pPr>
        <w:rPr>
          <w:szCs w:val="22"/>
          <w:lang w:val="pl-PL"/>
        </w:rPr>
      </w:pPr>
      <w:r w:rsidRPr="00A74BB1">
        <w:rPr>
          <w:szCs w:val="22"/>
          <w:lang w:val="pl-PL"/>
        </w:rPr>
        <w:t xml:space="preserve">Edifici Est 6ª planta, </w:t>
      </w:r>
    </w:p>
    <w:p w14:paraId="580ED9D4" w14:textId="77777777" w:rsidR="00A74BB1" w:rsidRPr="00A74BB1" w:rsidRDefault="00A74BB1" w:rsidP="00A74BB1">
      <w:pPr>
        <w:rPr>
          <w:szCs w:val="22"/>
          <w:lang w:val="pl-PL"/>
        </w:rPr>
      </w:pPr>
      <w:r w:rsidRPr="00A74BB1">
        <w:rPr>
          <w:szCs w:val="22"/>
          <w:lang w:val="pl-PL"/>
        </w:rPr>
        <w:t xml:space="preserve">08039 Barcelona, </w:t>
      </w:r>
    </w:p>
    <w:p w14:paraId="4CC78CBB" w14:textId="77777777" w:rsidR="00011577" w:rsidRPr="008C3642" w:rsidRDefault="00A74BB1" w:rsidP="00011577">
      <w:pPr>
        <w:tabs>
          <w:tab w:val="left" w:pos="567"/>
        </w:tabs>
        <w:suppressAutoHyphens/>
        <w:ind w:right="14"/>
        <w:rPr>
          <w:szCs w:val="22"/>
          <w:lang w:val="pt-PT"/>
        </w:rPr>
      </w:pPr>
      <w:r w:rsidRPr="00ED57C2">
        <w:rPr>
          <w:szCs w:val="22"/>
          <w:lang w:val="pt-PT"/>
        </w:rPr>
        <w:t>Espanha</w:t>
      </w:r>
    </w:p>
    <w:p w14:paraId="1E6EBF4C" w14:textId="77777777" w:rsidR="00011577" w:rsidRPr="002A54AF" w:rsidRDefault="00011577" w:rsidP="00011577">
      <w:pPr>
        <w:tabs>
          <w:tab w:val="left" w:pos="567"/>
        </w:tabs>
        <w:suppressAutoHyphens/>
        <w:ind w:right="14"/>
        <w:rPr>
          <w:szCs w:val="22"/>
          <w:lang w:val="pt-PT"/>
        </w:rPr>
      </w:pPr>
    </w:p>
    <w:p w14:paraId="19AD8687"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12.</w:t>
      </w:r>
      <w:r w:rsidRPr="002A54AF">
        <w:rPr>
          <w:b/>
          <w:szCs w:val="22"/>
          <w:lang w:val="pt-PT"/>
        </w:rPr>
        <w:tab/>
        <w:t>NÚMERO(S) DA AUTORIZAÇÃO DE INTRODUÇÃO NO MERCADO</w:t>
      </w:r>
    </w:p>
    <w:p w14:paraId="310E9A32" w14:textId="77777777" w:rsidR="00011577" w:rsidRPr="002A54AF" w:rsidRDefault="00011577" w:rsidP="00011577">
      <w:pPr>
        <w:tabs>
          <w:tab w:val="left" w:pos="567"/>
        </w:tabs>
        <w:suppressAutoHyphens/>
        <w:ind w:right="14"/>
        <w:rPr>
          <w:szCs w:val="22"/>
          <w:lang w:val="pt-PT"/>
        </w:rPr>
      </w:pPr>
    </w:p>
    <w:p w14:paraId="183E5000" w14:textId="77777777" w:rsidR="00011577" w:rsidRPr="002A54AF" w:rsidRDefault="00011577" w:rsidP="00011577">
      <w:pPr>
        <w:tabs>
          <w:tab w:val="left" w:pos="567"/>
        </w:tabs>
        <w:suppressAutoHyphens/>
        <w:ind w:right="14"/>
        <w:rPr>
          <w:szCs w:val="22"/>
          <w:highlight w:val="lightGray"/>
          <w:lang w:val="pt-PT"/>
        </w:rPr>
      </w:pPr>
      <w:r w:rsidRPr="002A54AF">
        <w:rPr>
          <w:szCs w:val="22"/>
          <w:lang w:val="pt-PT"/>
        </w:rPr>
        <w:t xml:space="preserve">EU/1/13/835/001 </w:t>
      </w:r>
      <w:r w:rsidRPr="002A54AF">
        <w:rPr>
          <w:szCs w:val="22"/>
          <w:highlight w:val="lightGray"/>
          <w:lang w:val="pt-PT"/>
        </w:rPr>
        <w:t>2</w:t>
      </w:r>
      <w:r w:rsidR="0020636B" w:rsidRPr="002A54AF">
        <w:rPr>
          <w:szCs w:val="22"/>
          <w:highlight w:val="lightGray"/>
          <w:lang w:val="pt-PT"/>
        </w:rPr>
        <w:t> </w:t>
      </w:r>
      <w:r w:rsidRPr="002A54AF">
        <w:rPr>
          <w:szCs w:val="22"/>
          <w:highlight w:val="lightGray"/>
          <w:lang w:val="pt-PT"/>
        </w:rPr>
        <w:t>comprimidos revestidos por película</w:t>
      </w:r>
    </w:p>
    <w:p w14:paraId="298FCFB1"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EU/1/13/835/002 10</w:t>
      </w:r>
      <w:r w:rsidR="0020636B" w:rsidRPr="002A54AF">
        <w:rPr>
          <w:szCs w:val="22"/>
          <w:highlight w:val="lightGray"/>
          <w:lang w:val="pt-PT"/>
        </w:rPr>
        <w:t> </w:t>
      </w:r>
      <w:r w:rsidRPr="002A54AF">
        <w:rPr>
          <w:szCs w:val="22"/>
          <w:highlight w:val="lightGray"/>
          <w:lang w:val="pt-PT"/>
        </w:rPr>
        <w:t>comprimidos revestidos por película</w:t>
      </w:r>
    </w:p>
    <w:p w14:paraId="0D1F7BEA"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EU/1/13/835/003 14</w:t>
      </w:r>
      <w:r w:rsidR="0020636B" w:rsidRPr="002A54AF">
        <w:rPr>
          <w:szCs w:val="22"/>
          <w:highlight w:val="lightGray"/>
          <w:lang w:val="pt-PT"/>
        </w:rPr>
        <w:t> </w:t>
      </w:r>
      <w:r w:rsidRPr="002A54AF">
        <w:rPr>
          <w:szCs w:val="22"/>
          <w:highlight w:val="lightGray"/>
          <w:lang w:val="pt-PT"/>
        </w:rPr>
        <w:t>comprimidos revestidos por película</w:t>
      </w:r>
    </w:p>
    <w:p w14:paraId="0BE185D8"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EU/1/13/835/004 20</w:t>
      </w:r>
      <w:r w:rsidR="0020636B" w:rsidRPr="002A54AF">
        <w:rPr>
          <w:szCs w:val="22"/>
          <w:highlight w:val="lightGray"/>
          <w:lang w:val="pt-PT"/>
        </w:rPr>
        <w:t> </w:t>
      </w:r>
      <w:r w:rsidRPr="002A54AF">
        <w:rPr>
          <w:szCs w:val="22"/>
          <w:highlight w:val="lightGray"/>
          <w:lang w:val="pt-PT"/>
        </w:rPr>
        <w:t>comprimidos revestidos por película</w:t>
      </w:r>
    </w:p>
    <w:p w14:paraId="65D86E08"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EU/1/13/835/005 28</w:t>
      </w:r>
      <w:r w:rsidR="0020636B" w:rsidRPr="002A54AF">
        <w:rPr>
          <w:szCs w:val="22"/>
          <w:highlight w:val="lightGray"/>
          <w:lang w:val="pt-PT"/>
        </w:rPr>
        <w:t> </w:t>
      </w:r>
      <w:r w:rsidRPr="002A54AF">
        <w:rPr>
          <w:szCs w:val="22"/>
          <w:highlight w:val="lightGray"/>
          <w:lang w:val="pt-PT"/>
        </w:rPr>
        <w:t>comprimidos revestidos por película</w:t>
      </w:r>
    </w:p>
    <w:p w14:paraId="3B021C72"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EU/1/13/835/006 30</w:t>
      </w:r>
      <w:r w:rsidR="0020636B" w:rsidRPr="002A54AF">
        <w:rPr>
          <w:szCs w:val="22"/>
          <w:highlight w:val="lightGray"/>
          <w:lang w:val="pt-PT"/>
        </w:rPr>
        <w:t> </w:t>
      </w:r>
      <w:r w:rsidRPr="002A54AF">
        <w:rPr>
          <w:szCs w:val="22"/>
          <w:highlight w:val="lightGray"/>
          <w:lang w:val="pt-PT"/>
        </w:rPr>
        <w:t>comprimidos revestidos por película</w:t>
      </w:r>
    </w:p>
    <w:p w14:paraId="5B0A1EB3"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EU/1/13/835/007 50</w:t>
      </w:r>
      <w:r w:rsidR="0020636B" w:rsidRPr="002A54AF">
        <w:rPr>
          <w:szCs w:val="22"/>
          <w:highlight w:val="lightGray"/>
          <w:lang w:val="pt-PT"/>
        </w:rPr>
        <w:t> </w:t>
      </w:r>
      <w:r w:rsidRPr="002A54AF">
        <w:rPr>
          <w:szCs w:val="22"/>
          <w:highlight w:val="lightGray"/>
          <w:lang w:val="pt-PT"/>
        </w:rPr>
        <w:t>comprimidos revestidos por película</w:t>
      </w:r>
    </w:p>
    <w:p w14:paraId="2E489856"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EU/1/13/835/008 56</w:t>
      </w:r>
      <w:r w:rsidR="0020636B" w:rsidRPr="002A54AF">
        <w:rPr>
          <w:szCs w:val="22"/>
          <w:highlight w:val="lightGray"/>
          <w:lang w:val="pt-PT"/>
        </w:rPr>
        <w:t> </w:t>
      </w:r>
      <w:r w:rsidRPr="002A54AF">
        <w:rPr>
          <w:szCs w:val="22"/>
          <w:highlight w:val="lightGray"/>
          <w:lang w:val="pt-PT"/>
        </w:rPr>
        <w:t>comprimidos revestidos por película</w:t>
      </w:r>
    </w:p>
    <w:p w14:paraId="3208F6E1" w14:textId="77777777" w:rsidR="00011577" w:rsidRPr="002A54AF" w:rsidRDefault="00011577" w:rsidP="00011577">
      <w:pPr>
        <w:tabs>
          <w:tab w:val="left" w:pos="567"/>
        </w:tabs>
        <w:suppressAutoHyphens/>
        <w:ind w:right="14"/>
        <w:rPr>
          <w:szCs w:val="22"/>
          <w:lang w:val="pt-PT"/>
        </w:rPr>
      </w:pPr>
      <w:r w:rsidRPr="002A54AF">
        <w:rPr>
          <w:szCs w:val="22"/>
          <w:highlight w:val="lightGray"/>
          <w:lang w:val="pt-PT"/>
        </w:rPr>
        <w:t>EU/1/13/835/009 100</w:t>
      </w:r>
      <w:r w:rsidR="0020636B" w:rsidRPr="002A54AF">
        <w:rPr>
          <w:szCs w:val="22"/>
          <w:highlight w:val="lightGray"/>
          <w:lang w:val="pt-PT"/>
        </w:rPr>
        <w:t> </w:t>
      </w:r>
      <w:r w:rsidRPr="002A54AF">
        <w:rPr>
          <w:szCs w:val="22"/>
          <w:highlight w:val="lightGray"/>
          <w:lang w:val="pt-PT"/>
        </w:rPr>
        <w:t>comprimidos revestidos por película</w:t>
      </w:r>
    </w:p>
    <w:p w14:paraId="1CF3F533" w14:textId="77777777" w:rsidR="00BC2279" w:rsidRPr="00E951C7" w:rsidRDefault="00BC2279" w:rsidP="00BC2279">
      <w:pPr>
        <w:pStyle w:val="Default"/>
        <w:rPr>
          <w:rFonts w:ascii="Times New Roman" w:hAnsi="Times New Roman" w:cs="Times New Roman"/>
          <w:sz w:val="22"/>
          <w:szCs w:val="22"/>
          <w:highlight w:val="lightGray"/>
          <w:lang w:val="pt-PT"/>
        </w:rPr>
      </w:pPr>
      <w:r w:rsidRPr="00E951C7">
        <w:rPr>
          <w:rFonts w:ascii="Times New Roman" w:hAnsi="Times New Roman" w:cs="Times New Roman"/>
          <w:sz w:val="22"/>
          <w:szCs w:val="22"/>
          <w:highlight w:val="lightGray"/>
          <w:lang w:val="pt-PT"/>
        </w:rPr>
        <w:t>EU/1/13/835/019 10x1 comprimidos revestidos por película</w:t>
      </w:r>
    </w:p>
    <w:p w14:paraId="561268BD" w14:textId="77777777" w:rsidR="00BC2279" w:rsidRPr="00E951C7" w:rsidRDefault="00BC2279" w:rsidP="00BC2279">
      <w:pPr>
        <w:pStyle w:val="Default"/>
        <w:rPr>
          <w:rFonts w:ascii="Times New Roman" w:hAnsi="Times New Roman" w:cs="Times New Roman"/>
          <w:sz w:val="22"/>
          <w:szCs w:val="22"/>
          <w:highlight w:val="lightGray"/>
          <w:lang w:val="pt-PT"/>
        </w:rPr>
      </w:pPr>
      <w:r w:rsidRPr="00E951C7">
        <w:rPr>
          <w:rFonts w:ascii="Times New Roman" w:hAnsi="Times New Roman" w:cs="Times New Roman"/>
          <w:sz w:val="22"/>
          <w:szCs w:val="22"/>
          <w:highlight w:val="lightGray"/>
          <w:lang w:val="pt-PT"/>
        </w:rPr>
        <w:t>EU/1/13/835/020 14x1 comprimidos revestidos por película</w:t>
      </w:r>
    </w:p>
    <w:p w14:paraId="1B48F1E1" w14:textId="77777777" w:rsidR="00BC2279" w:rsidRPr="00E951C7" w:rsidRDefault="00BC2279" w:rsidP="00BC2279">
      <w:pPr>
        <w:pStyle w:val="Default"/>
        <w:rPr>
          <w:rFonts w:ascii="Times New Roman" w:hAnsi="Times New Roman" w:cs="Times New Roman"/>
          <w:sz w:val="22"/>
          <w:szCs w:val="22"/>
          <w:highlight w:val="lightGray"/>
          <w:lang w:val="pt-PT"/>
        </w:rPr>
      </w:pPr>
      <w:r w:rsidRPr="00E951C7">
        <w:rPr>
          <w:rFonts w:ascii="Times New Roman" w:hAnsi="Times New Roman" w:cs="Times New Roman"/>
          <w:sz w:val="22"/>
          <w:szCs w:val="22"/>
          <w:highlight w:val="lightGray"/>
          <w:lang w:val="pt-PT"/>
        </w:rPr>
        <w:t>EU/1/13/835/021 28x1 comprimidos revestidos por película</w:t>
      </w:r>
    </w:p>
    <w:p w14:paraId="587408B2" w14:textId="77777777" w:rsidR="00BC2279" w:rsidRPr="00E951C7" w:rsidRDefault="00BC2279" w:rsidP="00BC2279">
      <w:pPr>
        <w:pStyle w:val="Default"/>
        <w:rPr>
          <w:rFonts w:ascii="Times New Roman" w:hAnsi="Times New Roman" w:cs="Times New Roman"/>
          <w:sz w:val="22"/>
          <w:szCs w:val="22"/>
          <w:highlight w:val="lightGray"/>
          <w:lang w:val="pt-PT"/>
        </w:rPr>
      </w:pPr>
      <w:r w:rsidRPr="00E951C7">
        <w:rPr>
          <w:rFonts w:ascii="Times New Roman" w:hAnsi="Times New Roman" w:cs="Times New Roman"/>
          <w:sz w:val="22"/>
          <w:szCs w:val="22"/>
          <w:highlight w:val="lightGray"/>
          <w:lang w:val="pt-PT"/>
        </w:rPr>
        <w:t>EU/1/13/835/022 30x1 comprimidos revestidos por película</w:t>
      </w:r>
    </w:p>
    <w:p w14:paraId="767E8B33" w14:textId="77777777" w:rsidR="00BC2279" w:rsidRPr="00E951C7" w:rsidRDefault="00BC2279" w:rsidP="00BC2279">
      <w:pPr>
        <w:pStyle w:val="Default"/>
        <w:rPr>
          <w:rFonts w:ascii="Times New Roman" w:hAnsi="Times New Roman" w:cs="Times New Roman"/>
          <w:sz w:val="22"/>
          <w:szCs w:val="22"/>
          <w:highlight w:val="lightGray"/>
          <w:lang w:val="pt-PT"/>
        </w:rPr>
      </w:pPr>
      <w:r w:rsidRPr="00E951C7">
        <w:rPr>
          <w:rFonts w:ascii="Times New Roman" w:hAnsi="Times New Roman" w:cs="Times New Roman"/>
          <w:sz w:val="22"/>
          <w:szCs w:val="22"/>
          <w:highlight w:val="lightGray"/>
          <w:lang w:val="pt-PT"/>
        </w:rPr>
        <w:t>EU/1/13/835/023 56x1 comprimidos revestidos por película</w:t>
      </w:r>
    </w:p>
    <w:p w14:paraId="6FAF0B00" w14:textId="77777777" w:rsidR="00BC2279" w:rsidRPr="002A54AF" w:rsidRDefault="00BC2279" w:rsidP="00BC2279">
      <w:pPr>
        <w:tabs>
          <w:tab w:val="left" w:pos="567"/>
        </w:tabs>
        <w:suppressAutoHyphens/>
        <w:ind w:right="14"/>
        <w:rPr>
          <w:szCs w:val="22"/>
          <w:lang w:val="pt-PT"/>
        </w:rPr>
      </w:pPr>
      <w:r w:rsidRPr="00E951C7">
        <w:rPr>
          <w:szCs w:val="22"/>
          <w:highlight w:val="lightGray"/>
          <w:lang w:val="pt-PT"/>
        </w:rPr>
        <w:t>EU/1/13/835/024 100x1 comprimidos revestidos por película</w:t>
      </w:r>
    </w:p>
    <w:p w14:paraId="2945F95C" w14:textId="77777777" w:rsidR="00011577" w:rsidRPr="002A54AF" w:rsidRDefault="00011577" w:rsidP="00011577">
      <w:pPr>
        <w:tabs>
          <w:tab w:val="left" w:pos="567"/>
        </w:tabs>
        <w:suppressAutoHyphens/>
        <w:ind w:right="14"/>
        <w:rPr>
          <w:szCs w:val="22"/>
          <w:lang w:val="pt-PT"/>
        </w:rPr>
      </w:pPr>
    </w:p>
    <w:p w14:paraId="7C7C09B9" w14:textId="77777777" w:rsidR="00011577" w:rsidRPr="008C3642" w:rsidRDefault="00011577" w:rsidP="00011577">
      <w:pPr>
        <w:tabs>
          <w:tab w:val="left" w:pos="567"/>
        </w:tabs>
        <w:suppressAutoHyphens/>
        <w:ind w:right="14"/>
        <w:rPr>
          <w:szCs w:val="22"/>
          <w:lang w:val="pt-PT"/>
        </w:rPr>
      </w:pPr>
    </w:p>
    <w:p w14:paraId="3D8DED1A"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lang w:val="pt-PT"/>
        </w:rPr>
      </w:pPr>
      <w:r w:rsidRPr="002A54AF">
        <w:rPr>
          <w:b/>
          <w:szCs w:val="22"/>
          <w:lang w:val="pt-PT"/>
        </w:rPr>
        <w:t>13.</w:t>
      </w:r>
      <w:r w:rsidRPr="002A54AF">
        <w:rPr>
          <w:b/>
          <w:szCs w:val="22"/>
          <w:lang w:val="pt-PT"/>
        </w:rPr>
        <w:tab/>
        <w:t xml:space="preserve">NÚMERO DO LOTE </w:t>
      </w:r>
    </w:p>
    <w:p w14:paraId="08CDD1B2" w14:textId="77777777" w:rsidR="00011577" w:rsidRPr="002A54AF" w:rsidRDefault="00011577" w:rsidP="00011577">
      <w:pPr>
        <w:tabs>
          <w:tab w:val="left" w:pos="567"/>
        </w:tabs>
        <w:suppressAutoHyphens/>
        <w:ind w:right="14"/>
        <w:rPr>
          <w:szCs w:val="22"/>
          <w:lang w:val="pt-PT"/>
        </w:rPr>
      </w:pPr>
    </w:p>
    <w:p w14:paraId="5AF24592" w14:textId="77777777" w:rsidR="00011577" w:rsidRPr="002A54AF" w:rsidRDefault="00011577" w:rsidP="00011577">
      <w:pPr>
        <w:tabs>
          <w:tab w:val="left" w:pos="567"/>
        </w:tabs>
        <w:suppressAutoHyphens/>
        <w:ind w:right="14"/>
        <w:rPr>
          <w:szCs w:val="22"/>
          <w:lang w:val="pt-PT"/>
        </w:rPr>
      </w:pPr>
      <w:r w:rsidRPr="002A54AF">
        <w:rPr>
          <w:szCs w:val="22"/>
          <w:lang w:val="pt-PT"/>
        </w:rPr>
        <w:t xml:space="preserve">Lote </w:t>
      </w:r>
    </w:p>
    <w:p w14:paraId="1B63DCD0" w14:textId="77777777" w:rsidR="00011577" w:rsidRPr="008C3642" w:rsidRDefault="00011577" w:rsidP="00011577">
      <w:pPr>
        <w:tabs>
          <w:tab w:val="left" w:pos="567"/>
        </w:tabs>
        <w:suppressAutoHyphens/>
        <w:ind w:right="14"/>
        <w:rPr>
          <w:szCs w:val="22"/>
          <w:lang w:val="pt-PT"/>
        </w:rPr>
      </w:pPr>
    </w:p>
    <w:p w14:paraId="611AEB2E" w14:textId="77777777" w:rsidR="00011577" w:rsidRPr="002A54AF" w:rsidRDefault="00011577" w:rsidP="00011577">
      <w:pPr>
        <w:tabs>
          <w:tab w:val="left" w:pos="567"/>
        </w:tabs>
        <w:suppressAutoHyphens/>
        <w:ind w:right="14"/>
        <w:rPr>
          <w:szCs w:val="22"/>
          <w:lang w:val="pt-PT"/>
        </w:rPr>
      </w:pPr>
    </w:p>
    <w:p w14:paraId="60BD38D2"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14.</w:t>
      </w:r>
      <w:r w:rsidRPr="002A54AF">
        <w:rPr>
          <w:b/>
          <w:szCs w:val="22"/>
          <w:lang w:val="pt-PT"/>
        </w:rPr>
        <w:tab/>
        <w:t>CLASSIFICAÇÃO QUANTO À DISPENSA AO PÚBLICO</w:t>
      </w:r>
    </w:p>
    <w:p w14:paraId="5639CCD2" w14:textId="77777777" w:rsidR="00011577" w:rsidRPr="002A54AF" w:rsidRDefault="00011577" w:rsidP="00011577">
      <w:pPr>
        <w:tabs>
          <w:tab w:val="left" w:pos="567"/>
        </w:tabs>
        <w:suppressAutoHyphens/>
        <w:ind w:right="14"/>
        <w:rPr>
          <w:szCs w:val="22"/>
          <w:lang w:val="pt-PT"/>
        </w:rPr>
      </w:pPr>
    </w:p>
    <w:p w14:paraId="027369C9" w14:textId="77777777" w:rsidR="00011577" w:rsidRPr="002A54AF" w:rsidRDefault="00011577" w:rsidP="00011577">
      <w:pPr>
        <w:tabs>
          <w:tab w:val="left" w:pos="567"/>
        </w:tabs>
        <w:suppressAutoHyphens/>
        <w:ind w:right="14"/>
        <w:rPr>
          <w:szCs w:val="22"/>
          <w:lang w:val="pt-PT"/>
        </w:rPr>
      </w:pPr>
    </w:p>
    <w:p w14:paraId="20AE012A"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15.</w:t>
      </w:r>
      <w:r w:rsidRPr="002A54AF">
        <w:rPr>
          <w:b/>
          <w:szCs w:val="22"/>
          <w:lang w:val="pt-PT"/>
        </w:rPr>
        <w:tab/>
        <w:t>INSTRUÇÕES DE UTILIZAÇÃO</w:t>
      </w:r>
    </w:p>
    <w:p w14:paraId="4E6F6421" w14:textId="77777777" w:rsidR="00011577" w:rsidRPr="002A54AF" w:rsidRDefault="00011577" w:rsidP="00011577">
      <w:pPr>
        <w:tabs>
          <w:tab w:val="left" w:pos="567"/>
        </w:tabs>
        <w:suppressAutoHyphens/>
        <w:ind w:right="14"/>
        <w:rPr>
          <w:szCs w:val="22"/>
          <w:lang w:val="pt-PT"/>
        </w:rPr>
      </w:pPr>
    </w:p>
    <w:p w14:paraId="2261157D" w14:textId="77777777" w:rsidR="00011577" w:rsidRDefault="00011577" w:rsidP="00011577">
      <w:pPr>
        <w:tabs>
          <w:tab w:val="left" w:pos="567"/>
        </w:tabs>
        <w:suppressAutoHyphens/>
        <w:ind w:right="14"/>
        <w:rPr>
          <w:szCs w:val="22"/>
          <w:lang w:val="pt-PT"/>
        </w:rPr>
      </w:pPr>
    </w:p>
    <w:p w14:paraId="01822B8A" w14:textId="77777777" w:rsidR="00D60E92" w:rsidRPr="002A54AF" w:rsidRDefault="00D60E92" w:rsidP="00011577">
      <w:pPr>
        <w:tabs>
          <w:tab w:val="left" w:pos="567"/>
        </w:tabs>
        <w:suppressAutoHyphens/>
        <w:ind w:right="14"/>
        <w:rPr>
          <w:szCs w:val="22"/>
          <w:lang w:val="pt-PT"/>
        </w:rPr>
      </w:pPr>
    </w:p>
    <w:p w14:paraId="79CCF96A"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lastRenderedPageBreak/>
        <w:t>16.</w:t>
      </w:r>
      <w:r w:rsidRPr="002A54AF">
        <w:rPr>
          <w:b/>
          <w:szCs w:val="22"/>
          <w:lang w:val="pt-PT"/>
        </w:rPr>
        <w:tab/>
        <w:t>INFORMAÇÃO EM BRAILLE</w:t>
      </w:r>
    </w:p>
    <w:p w14:paraId="47893EC3" w14:textId="77777777" w:rsidR="00011577" w:rsidRPr="002A54AF" w:rsidRDefault="00011577" w:rsidP="00011577">
      <w:pPr>
        <w:tabs>
          <w:tab w:val="left" w:pos="567"/>
        </w:tabs>
        <w:suppressAutoHyphens/>
        <w:ind w:right="14"/>
        <w:rPr>
          <w:szCs w:val="22"/>
          <w:lang w:val="pt-PT"/>
        </w:rPr>
      </w:pPr>
    </w:p>
    <w:p w14:paraId="77398964" w14:textId="77777777" w:rsidR="00011577" w:rsidRDefault="00011577" w:rsidP="00011577">
      <w:pPr>
        <w:tabs>
          <w:tab w:val="left" w:pos="567"/>
        </w:tabs>
        <w:suppressAutoHyphens/>
        <w:ind w:right="14"/>
        <w:rPr>
          <w:szCs w:val="22"/>
          <w:lang w:val="pt-PT"/>
        </w:rPr>
      </w:pPr>
      <w:r w:rsidRPr="002A54AF">
        <w:rPr>
          <w:szCs w:val="22"/>
          <w:lang w:val="pt-PT"/>
        </w:rPr>
        <w:t>Voriconazol Accord #50 mg</w:t>
      </w:r>
    </w:p>
    <w:p w14:paraId="7558B743" w14:textId="77777777" w:rsidR="003C075F" w:rsidRDefault="003C075F" w:rsidP="00011577">
      <w:pPr>
        <w:tabs>
          <w:tab w:val="left" w:pos="567"/>
        </w:tabs>
        <w:suppressAutoHyphens/>
        <w:ind w:right="14"/>
        <w:rPr>
          <w:szCs w:val="22"/>
          <w:lang w:val="pt-PT"/>
        </w:rPr>
      </w:pPr>
    </w:p>
    <w:p w14:paraId="677B81F2" w14:textId="77777777" w:rsidR="003C075F" w:rsidRDefault="003C075F" w:rsidP="003C075F">
      <w:pPr>
        <w:rPr>
          <w:shd w:val="clear" w:color="auto" w:fill="CCCCCC"/>
          <w:lang w:val="pt-PT"/>
        </w:rPr>
      </w:pPr>
    </w:p>
    <w:p w14:paraId="0834FD74" w14:textId="77777777" w:rsidR="003C075F" w:rsidRPr="00FB1F20" w:rsidRDefault="003C075F" w:rsidP="003C075F">
      <w:pPr>
        <w:pBdr>
          <w:top w:val="single" w:sz="4" w:space="1" w:color="auto"/>
          <w:left w:val="single" w:sz="4" w:space="4" w:color="auto"/>
          <w:bottom w:val="single" w:sz="4" w:space="1" w:color="auto"/>
          <w:right w:val="single" w:sz="4" w:space="4" w:color="auto"/>
        </w:pBdr>
        <w:suppressAutoHyphens/>
        <w:ind w:left="567" w:hanging="567"/>
        <w:rPr>
          <w:noProof/>
          <w:szCs w:val="22"/>
          <w:shd w:val="clear" w:color="auto" w:fill="CCCCCC"/>
          <w:lang w:val="pt-PT"/>
        </w:rPr>
      </w:pPr>
      <w:r w:rsidRPr="00FB1F20">
        <w:rPr>
          <w:b/>
          <w:color w:val="000000"/>
          <w:szCs w:val="22"/>
          <w:lang w:val="pt-PT"/>
        </w:rPr>
        <w:t>17.</w:t>
      </w:r>
      <w:r w:rsidRPr="00FB1F20">
        <w:rPr>
          <w:b/>
          <w:color w:val="000000"/>
          <w:szCs w:val="22"/>
          <w:lang w:val="pt-PT"/>
        </w:rPr>
        <w:tab/>
        <w:t>IDENTIFICADOR ÚNICO – CÓDIGO DE BARRAS 2D</w:t>
      </w:r>
    </w:p>
    <w:p w14:paraId="73EC0B20" w14:textId="77777777" w:rsidR="003C075F" w:rsidRPr="00FB1F20" w:rsidRDefault="003C075F" w:rsidP="003C075F">
      <w:pPr>
        <w:rPr>
          <w:noProof/>
          <w:szCs w:val="22"/>
          <w:shd w:val="clear" w:color="auto" w:fill="CCCCCC"/>
          <w:lang w:val="pt-PT"/>
        </w:rPr>
      </w:pPr>
    </w:p>
    <w:p w14:paraId="4173CF79" w14:textId="77777777" w:rsidR="003C075F" w:rsidRPr="00FB1F20" w:rsidRDefault="003C075F" w:rsidP="003C075F">
      <w:pPr>
        <w:rPr>
          <w:noProof/>
          <w:szCs w:val="22"/>
          <w:shd w:val="clear" w:color="auto" w:fill="CCCCCC"/>
          <w:lang w:val="pt-PT"/>
        </w:rPr>
      </w:pPr>
      <w:r w:rsidRPr="00FB1F20">
        <w:rPr>
          <w:noProof/>
          <w:szCs w:val="22"/>
          <w:shd w:val="clear" w:color="auto" w:fill="CCCCCC"/>
          <w:lang w:val="pt-PT"/>
        </w:rPr>
        <w:t>Código de barras 2D com identificador único incluído.</w:t>
      </w:r>
    </w:p>
    <w:p w14:paraId="12EB30BF" w14:textId="77777777" w:rsidR="003C075F" w:rsidRPr="00FB1F20" w:rsidRDefault="003C075F" w:rsidP="003C075F">
      <w:pPr>
        <w:rPr>
          <w:noProof/>
          <w:szCs w:val="22"/>
          <w:shd w:val="clear" w:color="auto" w:fill="CCCCCC"/>
          <w:lang w:val="pt-PT"/>
        </w:rPr>
      </w:pPr>
    </w:p>
    <w:p w14:paraId="63B9D66B" w14:textId="77777777" w:rsidR="003C075F" w:rsidRPr="00FB1F20" w:rsidRDefault="003C075F" w:rsidP="003C075F">
      <w:pPr>
        <w:rPr>
          <w:noProof/>
          <w:szCs w:val="22"/>
          <w:shd w:val="clear" w:color="auto" w:fill="CCCCCC"/>
          <w:lang w:val="pt-PT"/>
        </w:rPr>
      </w:pPr>
    </w:p>
    <w:p w14:paraId="6B63A833" w14:textId="77777777" w:rsidR="003C075F" w:rsidRPr="00FB1F20" w:rsidRDefault="003C075F" w:rsidP="003C075F">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FB1F20">
        <w:rPr>
          <w:b/>
          <w:color w:val="000000"/>
          <w:szCs w:val="22"/>
          <w:lang w:val="pt-PT"/>
        </w:rPr>
        <w:t>18.</w:t>
      </w:r>
      <w:r w:rsidRPr="00FB1F20">
        <w:rPr>
          <w:b/>
          <w:color w:val="000000"/>
          <w:szCs w:val="22"/>
          <w:lang w:val="pt-PT"/>
        </w:rPr>
        <w:tab/>
        <w:t>IDENTIFICADOR ÚNICO - DADOS PARA LEITURA HUMANA</w:t>
      </w:r>
    </w:p>
    <w:p w14:paraId="6938AADB" w14:textId="77777777" w:rsidR="003C075F" w:rsidRDefault="003C075F" w:rsidP="003C075F">
      <w:pPr>
        <w:rPr>
          <w:noProof/>
          <w:szCs w:val="22"/>
          <w:shd w:val="clear" w:color="auto" w:fill="CCCCCC"/>
          <w:lang w:val="pt-PT"/>
        </w:rPr>
      </w:pPr>
    </w:p>
    <w:p w14:paraId="3DFF76FD" w14:textId="77777777" w:rsidR="003C075F" w:rsidRPr="00165E83" w:rsidRDefault="003C075F" w:rsidP="003C075F">
      <w:pPr>
        <w:rPr>
          <w:noProof/>
          <w:szCs w:val="22"/>
          <w:shd w:val="clear" w:color="auto" w:fill="CCCCCC"/>
          <w:lang w:val="pt-PT"/>
        </w:rPr>
      </w:pPr>
      <w:r w:rsidRPr="00165E83">
        <w:rPr>
          <w:noProof/>
          <w:szCs w:val="22"/>
          <w:shd w:val="clear" w:color="auto" w:fill="CCCCCC"/>
          <w:lang w:val="pt-PT"/>
        </w:rPr>
        <w:t>PC:</w:t>
      </w:r>
    </w:p>
    <w:p w14:paraId="0C84A32D" w14:textId="77777777" w:rsidR="003C075F" w:rsidRPr="00E951C7" w:rsidRDefault="003C075F" w:rsidP="003C075F">
      <w:pPr>
        <w:rPr>
          <w:noProof/>
          <w:szCs w:val="22"/>
          <w:shd w:val="clear" w:color="auto" w:fill="CCCCCC"/>
          <w:lang w:val="pt-PT"/>
        </w:rPr>
      </w:pPr>
      <w:r w:rsidRPr="00E951C7">
        <w:rPr>
          <w:noProof/>
          <w:szCs w:val="22"/>
          <w:shd w:val="clear" w:color="auto" w:fill="CCCCCC"/>
          <w:lang w:val="pt-PT"/>
        </w:rPr>
        <w:t>SN:</w:t>
      </w:r>
    </w:p>
    <w:p w14:paraId="5774B1F7" w14:textId="77777777" w:rsidR="003C075F" w:rsidRPr="00FB1F20" w:rsidRDefault="003C075F" w:rsidP="003C075F">
      <w:pPr>
        <w:rPr>
          <w:noProof/>
          <w:szCs w:val="22"/>
          <w:shd w:val="clear" w:color="auto" w:fill="CCCCCC"/>
          <w:lang w:val="pt-PT"/>
        </w:rPr>
      </w:pPr>
      <w:r w:rsidRPr="00CB39F3">
        <w:rPr>
          <w:noProof/>
          <w:szCs w:val="22"/>
          <w:shd w:val="clear" w:color="auto" w:fill="CCCCCC"/>
          <w:lang w:val="pt-PT"/>
        </w:rPr>
        <w:t>NN:</w:t>
      </w:r>
    </w:p>
    <w:p w14:paraId="32DC288C" w14:textId="77777777" w:rsidR="003C075F" w:rsidRPr="00314295" w:rsidRDefault="003C075F" w:rsidP="003C075F">
      <w:pPr>
        <w:widowControl w:val="0"/>
        <w:suppressAutoHyphens/>
        <w:ind w:right="14"/>
        <w:rPr>
          <w:color w:val="000000"/>
          <w:szCs w:val="22"/>
          <w:lang w:val="pt-PT"/>
        </w:rPr>
      </w:pPr>
    </w:p>
    <w:p w14:paraId="430C5834" w14:textId="77777777" w:rsidR="00011577" w:rsidRPr="002A54AF" w:rsidRDefault="003C075F" w:rsidP="008C3642">
      <w:pPr>
        <w:tabs>
          <w:tab w:val="left" w:pos="567"/>
        </w:tabs>
        <w:suppressAutoHyphens/>
        <w:ind w:right="14"/>
        <w:rPr>
          <w:szCs w:val="22"/>
          <w:lang w:val="pt-PT"/>
        </w:rPr>
      </w:pPr>
      <w:r w:rsidRPr="00176985">
        <w:rPr>
          <w:color w:val="000000"/>
          <w:szCs w:val="22"/>
          <w:lang w:val="pt-PT"/>
        </w:rPr>
        <w:br w:type="page"/>
      </w:r>
    </w:p>
    <w:p w14:paraId="4BA09875" w14:textId="77777777" w:rsidR="00011577" w:rsidRPr="002A54AF" w:rsidRDefault="00011577" w:rsidP="00011577">
      <w:pPr>
        <w:tabs>
          <w:tab w:val="left" w:pos="567"/>
        </w:tabs>
        <w:suppressAutoHyphens/>
        <w:ind w:right="14"/>
        <w:rPr>
          <w:szCs w:val="22"/>
          <w:lang w:val="pt-PT"/>
        </w:rPr>
      </w:pPr>
    </w:p>
    <w:p w14:paraId="6B05AAFA"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rPr>
          <w:b/>
          <w:szCs w:val="22"/>
          <w:lang w:val="pt-PT"/>
        </w:rPr>
      </w:pPr>
      <w:r w:rsidRPr="002A54AF">
        <w:rPr>
          <w:b/>
          <w:szCs w:val="22"/>
          <w:lang w:val="pt-PT"/>
        </w:rPr>
        <w:t>INDICAÇÕES MÍNIMAS A INCLUIR NAS EMBALAGENS “BLISTER” OU FITAS CONTENTORAS</w:t>
      </w:r>
    </w:p>
    <w:p w14:paraId="537D16EE"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rPr>
          <w:b/>
          <w:szCs w:val="22"/>
          <w:lang w:val="pt-PT"/>
        </w:rPr>
      </w:pPr>
    </w:p>
    <w:p w14:paraId="00E587B3"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rPr>
          <w:b/>
          <w:szCs w:val="22"/>
          <w:lang w:val="pt-PT"/>
        </w:rPr>
      </w:pPr>
      <w:r w:rsidRPr="002A54AF">
        <w:rPr>
          <w:b/>
          <w:szCs w:val="22"/>
          <w:lang w:val="pt-PT"/>
        </w:rPr>
        <w:t>Blister (Blister de folha de alumínio dos comprimidos revestidos por película de 50 mg (todas as embalagens blister))</w:t>
      </w:r>
    </w:p>
    <w:p w14:paraId="00938C56" w14:textId="77777777" w:rsidR="00011577" w:rsidRPr="002A54AF" w:rsidRDefault="00011577" w:rsidP="00011577">
      <w:pPr>
        <w:tabs>
          <w:tab w:val="left" w:pos="567"/>
        </w:tabs>
        <w:suppressAutoHyphens/>
        <w:ind w:right="14"/>
        <w:rPr>
          <w:szCs w:val="22"/>
          <w:lang w:val="pt-PT"/>
        </w:rPr>
      </w:pPr>
    </w:p>
    <w:p w14:paraId="377B7C76" w14:textId="77777777" w:rsidR="00011577" w:rsidRPr="002A54AF" w:rsidRDefault="00011577" w:rsidP="00011577">
      <w:pPr>
        <w:tabs>
          <w:tab w:val="left" w:pos="567"/>
        </w:tabs>
        <w:suppressAutoHyphens/>
        <w:ind w:right="14"/>
        <w:rPr>
          <w:szCs w:val="22"/>
          <w:lang w:val="pt-PT"/>
        </w:rPr>
      </w:pPr>
    </w:p>
    <w:p w14:paraId="17628935"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1.</w:t>
      </w:r>
      <w:r w:rsidRPr="002A54AF">
        <w:rPr>
          <w:b/>
          <w:szCs w:val="22"/>
          <w:lang w:val="pt-PT"/>
        </w:rPr>
        <w:tab/>
        <w:t>NOME DO MEDICAMENTO</w:t>
      </w:r>
    </w:p>
    <w:p w14:paraId="3A366250" w14:textId="77777777" w:rsidR="00011577" w:rsidRPr="002A54AF" w:rsidRDefault="00011577" w:rsidP="00011577">
      <w:pPr>
        <w:tabs>
          <w:tab w:val="left" w:pos="567"/>
        </w:tabs>
        <w:suppressAutoHyphens/>
        <w:ind w:right="14"/>
        <w:rPr>
          <w:szCs w:val="22"/>
          <w:lang w:val="pt-PT"/>
        </w:rPr>
      </w:pPr>
    </w:p>
    <w:p w14:paraId="53666968" w14:textId="77777777" w:rsidR="00011577" w:rsidRPr="002A54AF" w:rsidRDefault="00011577" w:rsidP="00011577">
      <w:pPr>
        <w:tabs>
          <w:tab w:val="left" w:pos="567"/>
        </w:tabs>
        <w:suppressAutoHyphens/>
        <w:ind w:right="14"/>
        <w:rPr>
          <w:szCs w:val="22"/>
          <w:lang w:val="pt-PT"/>
        </w:rPr>
      </w:pPr>
      <w:r w:rsidRPr="002A54AF">
        <w:rPr>
          <w:szCs w:val="22"/>
          <w:lang w:val="pt-PT"/>
        </w:rPr>
        <w:t>Voriconazol Accord 50 mg comprimidos revestidos por película</w:t>
      </w:r>
    </w:p>
    <w:p w14:paraId="1AE6AC86" w14:textId="77777777" w:rsidR="00011577" w:rsidRPr="002A54AF" w:rsidRDefault="00033FEC" w:rsidP="00011577">
      <w:pPr>
        <w:tabs>
          <w:tab w:val="left" w:pos="567"/>
        </w:tabs>
        <w:suppressAutoHyphens/>
        <w:ind w:right="14"/>
        <w:rPr>
          <w:szCs w:val="22"/>
          <w:lang w:val="pt-PT"/>
        </w:rPr>
      </w:pPr>
      <w:r>
        <w:rPr>
          <w:szCs w:val="22"/>
          <w:lang w:val="pt-PT"/>
        </w:rPr>
        <w:t>v</w:t>
      </w:r>
      <w:r w:rsidRPr="002A54AF">
        <w:rPr>
          <w:szCs w:val="22"/>
          <w:lang w:val="pt-PT"/>
        </w:rPr>
        <w:t>oriconazol</w:t>
      </w:r>
    </w:p>
    <w:p w14:paraId="1E75602E" w14:textId="77777777" w:rsidR="00011577" w:rsidRPr="002A54AF" w:rsidRDefault="00011577" w:rsidP="00011577">
      <w:pPr>
        <w:tabs>
          <w:tab w:val="left" w:pos="567"/>
        </w:tabs>
        <w:suppressAutoHyphens/>
        <w:ind w:right="14"/>
        <w:rPr>
          <w:szCs w:val="22"/>
          <w:lang w:val="pt-PT"/>
        </w:rPr>
      </w:pPr>
    </w:p>
    <w:p w14:paraId="17F793D7" w14:textId="77777777" w:rsidR="00011577" w:rsidRPr="002A54AF" w:rsidRDefault="00011577" w:rsidP="00011577">
      <w:pPr>
        <w:tabs>
          <w:tab w:val="left" w:pos="567"/>
        </w:tabs>
        <w:suppressAutoHyphens/>
        <w:ind w:right="14"/>
        <w:rPr>
          <w:szCs w:val="22"/>
          <w:lang w:val="pt-PT"/>
        </w:rPr>
      </w:pPr>
    </w:p>
    <w:p w14:paraId="0FEF4B64"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2.</w:t>
      </w:r>
      <w:r w:rsidRPr="002A54AF">
        <w:rPr>
          <w:b/>
          <w:szCs w:val="22"/>
          <w:lang w:val="pt-PT"/>
        </w:rPr>
        <w:tab/>
        <w:t>NOME DO TITULAR DA AUTORIZAÇÃO DE INTRODUÇÃO NO MERCADO</w:t>
      </w:r>
    </w:p>
    <w:p w14:paraId="6A2BFC37" w14:textId="77777777" w:rsidR="00011577" w:rsidRPr="002A54AF" w:rsidRDefault="00011577" w:rsidP="00011577">
      <w:pPr>
        <w:tabs>
          <w:tab w:val="left" w:pos="567"/>
        </w:tabs>
        <w:suppressAutoHyphens/>
        <w:ind w:right="14"/>
        <w:rPr>
          <w:szCs w:val="22"/>
          <w:lang w:val="pt-PT"/>
        </w:rPr>
      </w:pPr>
    </w:p>
    <w:p w14:paraId="3477AF5C" w14:textId="77777777" w:rsidR="00011577" w:rsidRPr="002A54AF" w:rsidRDefault="00011577" w:rsidP="00011577">
      <w:pPr>
        <w:tabs>
          <w:tab w:val="left" w:pos="567"/>
        </w:tabs>
        <w:suppressAutoHyphens/>
        <w:ind w:right="14"/>
        <w:rPr>
          <w:szCs w:val="22"/>
          <w:lang w:val="pt-PT"/>
        </w:rPr>
      </w:pPr>
      <w:r w:rsidRPr="002A54AF">
        <w:rPr>
          <w:szCs w:val="22"/>
          <w:lang w:val="pt-PT"/>
        </w:rPr>
        <w:t>Accord</w:t>
      </w:r>
    </w:p>
    <w:p w14:paraId="6E8F2D0B" w14:textId="77777777" w:rsidR="00011577" w:rsidRPr="002A54AF" w:rsidRDefault="00011577" w:rsidP="00011577">
      <w:pPr>
        <w:tabs>
          <w:tab w:val="left" w:pos="567"/>
        </w:tabs>
        <w:suppressAutoHyphens/>
        <w:ind w:right="14"/>
        <w:rPr>
          <w:szCs w:val="22"/>
          <w:lang w:val="pt-PT"/>
        </w:rPr>
      </w:pPr>
    </w:p>
    <w:p w14:paraId="05BFE9EC" w14:textId="77777777" w:rsidR="00011577" w:rsidRPr="002A54AF" w:rsidRDefault="00011577" w:rsidP="00011577">
      <w:pPr>
        <w:tabs>
          <w:tab w:val="left" w:pos="567"/>
        </w:tabs>
        <w:suppressAutoHyphens/>
        <w:ind w:right="14"/>
        <w:rPr>
          <w:szCs w:val="22"/>
          <w:lang w:val="pt-PT"/>
        </w:rPr>
      </w:pPr>
    </w:p>
    <w:p w14:paraId="2E7DBE01"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3.</w:t>
      </w:r>
      <w:r w:rsidRPr="002A54AF">
        <w:rPr>
          <w:b/>
          <w:szCs w:val="22"/>
          <w:lang w:val="pt-PT"/>
        </w:rPr>
        <w:tab/>
        <w:t>PRAZO DE VALIDADE</w:t>
      </w:r>
    </w:p>
    <w:p w14:paraId="28EEF9D7" w14:textId="77777777" w:rsidR="00011577" w:rsidRPr="002A54AF" w:rsidRDefault="00011577" w:rsidP="00011577">
      <w:pPr>
        <w:tabs>
          <w:tab w:val="left" w:pos="567"/>
        </w:tabs>
        <w:suppressAutoHyphens/>
        <w:ind w:right="14"/>
        <w:rPr>
          <w:szCs w:val="22"/>
          <w:lang w:val="pt-PT"/>
        </w:rPr>
      </w:pPr>
    </w:p>
    <w:p w14:paraId="72F37FE6" w14:textId="77777777" w:rsidR="00011577" w:rsidRPr="002A54AF" w:rsidRDefault="00011577" w:rsidP="00011577">
      <w:pPr>
        <w:tabs>
          <w:tab w:val="left" w:pos="567"/>
        </w:tabs>
        <w:suppressAutoHyphens/>
        <w:ind w:right="14"/>
        <w:rPr>
          <w:szCs w:val="22"/>
          <w:lang w:val="pt-PT"/>
        </w:rPr>
      </w:pPr>
      <w:r w:rsidRPr="002A54AF">
        <w:rPr>
          <w:szCs w:val="22"/>
          <w:lang w:val="pt-PT"/>
        </w:rPr>
        <w:t xml:space="preserve">EXP </w:t>
      </w:r>
    </w:p>
    <w:p w14:paraId="027E8FBF" w14:textId="77777777" w:rsidR="00011577" w:rsidRPr="002A54AF" w:rsidRDefault="00011577" w:rsidP="00011577">
      <w:pPr>
        <w:tabs>
          <w:tab w:val="left" w:pos="567"/>
        </w:tabs>
        <w:suppressAutoHyphens/>
        <w:ind w:right="14"/>
        <w:rPr>
          <w:szCs w:val="22"/>
          <w:lang w:val="pt-PT"/>
        </w:rPr>
      </w:pPr>
    </w:p>
    <w:p w14:paraId="4C5D4929" w14:textId="77777777" w:rsidR="00011577" w:rsidRPr="002A54AF" w:rsidRDefault="00011577" w:rsidP="00011577">
      <w:pPr>
        <w:tabs>
          <w:tab w:val="left" w:pos="567"/>
        </w:tabs>
        <w:suppressAutoHyphens/>
        <w:ind w:right="14"/>
        <w:rPr>
          <w:szCs w:val="22"/>
          <w:lang w:val="pt-PT"/>
        </w:rPr>
      </w:pPr>
    </w:p>
    <w:p w14:paraId="31CC7B45"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4.</w:t>
      </w:r>
      <w:r w:rsidRPr="002A54AF">
        <w:rPr>
          <w:b/>
          <w:szCs w:val="22"/>
          <w:lang w:val="pt-PT"/>
        </w:rPr>
        <w:tab/>
        <w:t>NÚMERO DO LOTE</w:t>
      </w:r>
    </w:p>
    <w:p w14:paraId="0CA1DA97" w14:textId="77777777" w:rsidR="00011577" w:rsidRPr="002A54AF" w:rsidRDefault="00011577" w:rsidP="00011577">
      <w:pPr>
        <w:tabs>
          <w:tab w:val="left" w:pos="567"/>
        </w:tabs>
        <w:suppressAutoHyphens/>
        <w:ind w:right="14"/>
        <w:rPr>
          <w:szCs w:val="22"/>
          <w:lang w:val="pt-PT"/>
        </w:rPr>
      </w:pPr>
    </w:p>
    <w:p w14:paraId="384B8223" w14:textId="77777777" w:rsidR="00011577" w:rsidRPr="002A54AF" w:rsidRDefault="00011577" w:rsidP="00011577">
      <w:pPr>
        <w:tabs>
          <w:tab w:val="left" w:pos="567"/>
        </w:tabs>
        <w:suppressAutoHyphens/>
        <w:ind w:right="14"/>
        <w:rPr>
          <w:szCs w:val="22"/>
          <w:lang w:val="pt-PT"/>
        </w:rPr>
      </w:pPr>
      <w:r w:rsidRPr="002A54AF">
        <w:rPr>
          <w:szCs w:val="22"/>
          <w:lang w:val="pt-PT"/>
        </w:rPr>
        <w:t xml:space="preserve">Lot </w:t>
      </w:r>
    </w:p>
    <w:p w14:paraId="43CC43CB" w14:textId="77777777" w:rsidR="00011577" w:rsidRPr="002A54AF" w:rsidRDefault="00011577" w:rsidP="00011577">
      <w:pPr>
        <w:tabs>
          <w:tab w:val="left" w:pos="567"/>
        </w:tabs>
        <w:suppressAutoHyphens/>
        <w:ind w:right="14"/>
        <w:rPr>
          <w:szCs w:val="22"/>
          <w:lang w:val="pt-PT"/>
        </w:rPr>
      </w:pPr>
    </w:p>
    <w:p w14:paraId="0E519CBD" w14:textId="77777777" w:rsidR="00011577" w:rsidRPr="002A54AF" w:rsidRDefault="00011577" w:rsidP="00011577">
      <w:pPr>
        <w:tabs>
          <w:tab w:val="left" w:pos="567"/>
        </w:tabs>
        <w:suppressAutoHyphens/>
        <w:ind w:right="14"/>
        <w:rPr>
          <w:szCs w:val="22"/>
          <w:lang w:val="pt-PT"/>
        </w:rPr>
      </w:pPr>
    </w:p>
    <w:p w14:paraId="6BF6B7E7"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5.</w:t>
      </w:r>
      <w:r w:rsidRPr="002A54AF">
        <w:rPr>
          <w:b/>
          <w:szCs w:val="22"/>
          <w:lang w:val="pt-PT"/>
        </w:rPr>
        <w:tab/>
        <w:t>OUTRAS</w:t>
      </w:r>
    </w:p>
    <w:p w14:paraId="72FA106D" w14:textId="77777777" w:rsidR="00011577" w:rsidRPr="002A54AF" w:rsidRDefault="00011577" w:rsidP="00011577">
      <w:pPr>
        <w:tabs>
          <w:tab w:val="left" w:pos="567"/>
        </w:tabs>
        <w:suppressAutoHyphens/>
        <w:ind w:right="14"/>
        <w:rPr>
          <w:szCs w:val="22"/>
          <w:lang w:val="pt-PT"/>
        </w:rPr>
      </w:pPr>
    </w:p>
    <w:p w14:paraId="7E551B02" w14:textId="77777777" w:rsidR="00011577" w:rsidRPr="002A54AF" w:rsidRDefault="00011577" w:rsidP="00011577">
      <w:pPr>
        <w:tabs>
          <w:tab w:val="left" w:pos="567"/>
        </w:tabs>
        <w:suppressAutoHyphens/>
        <w:ind w:right="14"/>
        <w:rPr>
          <w:szCs w:val="22"/>
          <w:lang w:val="pt-PT"/>
        </w:rPr>
      </w:pPr>
    </w:p>
    <w:p w14:paraId="21FA0DD8" w14:textId="77777777" w:rsidR="00011577" w:rsidRPr="002A54AF" w:rsidRDefault="00011577" w:rsidP="005110B9">
      <w:pPr>
        <w:tabs>
          <w:tab w:val="left" w:pos="567"/>
        </w:tabs>
        <w:suppressAutoHyphens/>
        <w:ind w:right="14"/>
        <w:rPr>
          <w:b/>
          <w:szCs w:val="22"/>
          <w:lang w:val="pt-PT"/>
        </w:rPr>
      </w:pPr>
      <w:r w:rsidRPr="002A54AF">
        <w:rPr>
          <w:szCs w:val="22"/>
          <w:lang w:val="pt-PT"/>
        </w:rPr>
        <w:br w:type="page"/>
      </w:r>
      <w:r w:rsidRPr="002A54AF">
        <w:rPr>
          <w:b/>
          <w:szCs w:val="22"/>
          <w:lang w:val="pt-PT"/>
        </w:rPr>
        <w:lastRenderedPageBreak/>
        <w:t xml:space="preserve"> </w:t>
      </w:r>
    </w:p>
    <w:p w14:paraId="10F1E386" w14:textId="77777777" w:rsidR="00011577" w:rsidRDefault="009C444C" w:rsidP="00011577">
      <w:pPr>
        <w:pBdr>
          <w:top w:val="single" w:sz="4" w:space="1" w:color="auto"/>
          <w:left w:val="single" w:sz="4" w:space="4" w:color="auto"/>
          <w:bottom w:val="single" w:sz="4" w:space="1" w:color="auto"/>
          <w:right w:val="single" w:sz="4" w:space="4" w:color="auto"/>
        </w:pBdr>
        <w:shd w:val="clear" w:color="auto" w:fill="FFFFFF"/>
        <w:tabs>
          <w:tab w:val="left" w:pos="567"/>
        </w:tabs>
        <w:suppressAutoHyphens/>
        <w:ind w:right="14"/>
        <w:rPr>
          <w:b/>
          <w:szCs w:val="22"/>
          <w:lang w:val="pt-PT"/>
        </w:rPr>
      </w:pPr>
      <w:r w:rsidRPr="002A54AF">
        <w:rPr>
          <w:b/>
          <w:szCs w:val="22"/>
          <w:lang w:val="pt-PT"/>
        </w:rPr>
        <w:t>INDICAÇÕES A INCLUIR NO ACONDICIONAMENTO SECUNDÁRIO</w:t>
      </w:r>
    </w:p>
    <w:p w14:paraId="2AB24D2B" w14:textId="77777777" w:rsidR="009C444C" w:rsidRPr="002A54AF" w:rsidRDefault="009C444C" w:rsidP="00011577">
      <w:pPr>
        <w:pBdr>
          <w:top w:val="single" w:sz="4" w:space="1" w:color="auto"/>
          <w:left w:val="single" w:sz="4" w:space="4" w:color="auto"/>
          <w:bottom w:val="single" w:sz="4" w:space="1" w:color="auto"/>
          <w:right w:val="single" w:sz="4" w:space="4" w:color="auto"/>
        </w:pBdr>
        <w:shd w:val="clear" w:color="auto" w:fill="FFFFFF"/>
        <w:tabs>
          <w:tab w:val="left" w:pos="567"/>
        </w:tabs>
        <w:suppressAutoHyphens/>
        <w:ind w:right="14"/>
        <w:rPr>
          <w:szCs w:val="22"/>
          <w:u w:val="single"/>
          <w:lang w:val="pt-PT"/>
        </w:rPr>
      </w:pPr>
    </w:p>
    <w:p w14:paraId="15473B06" w14:textId="77777777" w:rsidR="00011577" w:rsidRPr="002A54AF" w:rsidRDefault="00011577" w:rsidP="00011577">
      <w:pPr>
        <w:pBdr>
          <w:top w:val="single" w:sz="4" w:space="1" w:color="auto"/>
          <w:left w:val="single" w:sz="4" w:space="4" w:color="auto"/>
          <w:bottom w:val="single" w:sz="4" w:space="1" w:color="auto"/>
          <w:right w:val="single" w:sz="4" w:space="4" w:color="auto"/>
        </w:pBdr>
        <w:shd w:val="clear" w:color="auto" w:fill="FFFFFF"/>
        <w:tabs>
          <w:tab w:val="left" w:pos="567"/>
        </w:tabs>
        <w:suppressAutoHyphens/>
        <w:ind w:right="14"/>
        <w:rPr>
          <w:b/>
          <w:szCs w:val="22"/>
          <w:lang w:val="pt-PT"/>
        </w:rPr>
      </w:pPr>
      <w:r w:rsidRPr="002A54AF">
        <w:rPr>
          <w:b/>
          <w:szCs w:val="22"/>
          <w:lang w:val="pt-PT"/>
        </w:rPr>
        <w:t>EMBALAGEM EXTERIOR (Blister</w:t>
      </w:r>
      <w:r w:rsidRPr="002A54AF">
        <w:rPr>
          <w:b/>
          <w:i/>
          <w:szCs w:val="22"/>
          <w:lang w:val="pt-PT"/>
        </w:rPr>
        <w:t xml:space="preserve"> </w:t>
      </w:r>
      <w:r w:rsidRPr="002A54AF">
        <w:rPr>
          <w:b/>
          <w:szCs w:val="22"/>
          <w:lang w:val="pt-PT"/>
        </w:rPr>
        <w:t>dos comprimidos revestidos por película de 200 mg – Embalagem de 2, 10, 14, 20, 28, 30, 50, 56, 100 comprimidos)</w:t>
      </w:r>
    </w:p>
    <w:p w14:paraId="68B004D5" w14:textId="77777777" w:rsidR="00011577" w:rsidRPr="002A54AF" w:rsidRDefault="00011577" w:rsidP="00011577">
      <w:pPr>
        <w:tabs>
          <w:tab w:val="left" w:pos="567"/>
        </w:tabs>
        <w:suppressAutoHyphens/>
        <w:ind w:right="14"/>
        <w:rPr>
          <w:szCs w:val="22"/>
          <w:lang w:val="pt-PT"/>
        </w:rPr>
      </w:pPr>
    </w:p>
    <w:p w14:paraId="43B64D4C" w14:textId="77777777" w:rsidR="00011577" w:rsidRPr="002A54AF" w:rsidRDefault="00011577" w:rsidP="00011577">
      <w:pPr>
        <w:tabs>
          <w:tab w:val="left" w:pos="567"/>
        </w:tabs>
        <w:suppressAutoHyphens/>
        <w:ind w:right="14"/>
        <w:rPr>
          <w:szCs w:val="22"/>
          <w:lang w:val="pt-PT"/>
        </w:rPr>
      </w:pPr>
    </w:p>
    <w:p w14:paraId="43C0485B"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1.</w:t>
      </w:r>
      <w:r w:rsidRPr="002A54AF">
        <w:rPr>
          <w:b/>
          <w:szCs w:val="22"/>
          <w:lang w:val="pt-PT"/>
        </w:rPr>
        <w:tab/>
        <w:t>NOME DO MEDICAMENTO</w:t>
      </w:r>
    </w:p>
    <w:p w14:paraId="42A4AC8A" w14:textId="77777777" w:rsidR="00011577" w:rsidRPr="002A54AF" w:rsidRDefault="00011577" w:rsidP="00011577">
      <w:pPr>
        <w:tabs>
          <w:tab w:val="left" w:pos="567"/>
        </w:tabs>
        <w:suppressAutoHyphens/>
        <w:ind w:right="14"/>
        <w:rPr>
          <w:szCs w:val="22"/>
          <w:lang w:val="pt-PT"/>
        </w:rPr>
      </w:pPr>
    </w:p>
    <w:p w14:paraId="427C1009" w14:textId="77777777" w:rsidR="00011577" w:rsidRPr="002A54AF" w:rsidRDefault="00011577" w:rsidP="00011577">
      <w:pPr>
        <w:tabs>
          <w:tab w:val="left" w:pos="567"/>
        </w:tabs>
        <w:suppressAutoHyphens/>
        <w:ind w:right="14"/>
        <w:rPr>
          <w:szCs w:val="22"/>
          <w:lang w:val="pt-PT"/>
        </w:rPr>
      </w:pPr>
      <w:r w:rsidRPr="002A54AF">
        <w:rPr>
          <w:szCs w:val="22"/>
          <w:lang w:val="pt-PT"/>
        </w:rPr>
        <w:t>Voriconazol Accord 200 mg comprimidos revestidos por película</w:t>
      </w:r>
    </w:p>
    <w:p w14:paraId="2C80044F" w14:textId="77777777" w:rsidR="00011577" w:rsidRPr="002A54AF" w:rsidRDefault="004D7072" w:rsidP="00011577">
      <w:pPr>
        <w:tabs>
          <w:tab w:val="left" w:pos="567"/>
        </w:tabs>
        <w:suppressAutoHyphens/>
        <w:ind w:right="14"/>
        <w:rPr>
          <w:szCs w:val="22"/>
          <w:lang w:val="pt-PT"/>
        </w:rPr>
      </w:pPr>
      <w:r>
        <w:rPr>
          <w:szCs w:val="22"/>
          <w:lang w:val="pt-PT"/>
        </w:rPr>
        <w:t>v</w:t>
      </w:r>
      <w:r w:rsidRPr="002A54AF">
        <w:rPr>
          <w:szCs w:val="22"/>
          <w:lang w:val="pt-PT"/>
        </w:rPr>
        <w:t>oriconazol</w:t>
      </w:r>
    </w:p>
    <w:p w14:paraId="463218C6" w14:textId="77777777" w:rsidR="00011577" w:rsidRPr="002A54AF" w:rsidRDefault="00011577" w:rsidP="00011577">
      <w:pPr>
        <w:tabs>
          <w:tab w:val="left" w:pos="567"/>
        </w:tabs>
        <w:suppressAutoHyphens/>
        <w:ind w:right="14"/>
        <w:rPr>
          <w:szCs w:val="22"/>
          <w:lang w:val="pt-PT"/>
        </w:rPr>
      </w:pPr>
    </w:p>
    <w:p w14:paraId="0AED481D" w14:textId="77777777" w:rsidR="00011577" w:rsidRPr="002A54AF" w:rsidRDefault="00011577" w:rsidP="00011577">
      <w:pPr>
        <w:tabs>
          <w:tab w:val="left" w:pos="567"/>
        </w:tabs>
        <w:suppressAutoHyphens/>
        <w:ind w:right="14"/>
        <w:rPr>
          <w:szCs w:val="22"/>
          <w:lang w:val="pt-PT"/>
        </w:rPr>
      </w:pPr>
    </w:p>
    <w:p w14:paraId="4BF42E64"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lang w:val="pt-PT"/>
        </w:rPr>
      </w:pPr>
      <w:r w:rsidRPr="002A54AF">
        <w:rPr>
          <w:b/>
          <w:szCs w:val="22"/>
          <w:lang w:val="pt-PT"/>
        </w:rPr>
        <w:t>2.</w:t>
      </w:r>
      <w:r w:rsidRPr="002A54AF">
        <w:rPr>
          <w:b/>
          <w:szCs w:val="22"/>
          <w:lang w:val="pt-PT"/>
        </w:rPr>
        <w:tab/>
        <w:t>DESCRIÇÃO DA(S) SUBSTÂNCIA(S) ACTIVA(S)</w:t>
      </w:r>
    </w:p>
    <w:p w14:paraId="71A49275" w14:textId="77777777" w:rsidR="00011577" w:rsidRPr="002A54AF" w:rsidRDefault="00011577" w:rsidP="00011577">
      <w:pPr>
        <w:tabs>
          <w:tab w:val="left" w:pos="567"/>
        </w:tabs>
        <w:suppressAutoHyphens/>
        <w:ind w:right="14"/>
        <w:rPr>
          <w:szCs w:val="22"/>
          <w:lang w:val="pt-PT"/>
        </w:rPr>
      </w:pPr>
    </w:p>
    <w:p w14:paraId="5193946E" w14:textId="77777777" w:rsidR="00011577" w:rsidRPr="002A54AF" w:rsidRDefault="00011577" w:rsidP="00011577">
      <w:pPr>
        <w:tabs>
          <w:tab w:val="left" w:pos="567"/>
        </w:tabs>
        <w:suppressAutoHyphens/>
        <w:ind w:right="14"/>
        <w:rPr>
          <w:szCs w:val="22"/>
          <w:lang w:val="pt-PT"/>
        </w:rPr>
      </w:pPr>
      <w:r w:rsidRPr="002A54AF">
        <w:rPr>
          <w:szCs w:val="22"/>
          <w:lang w:val="pt-PT"/>
        </w:rPr>
        <w:t>Cada comprimido contém 200 mg de voriconazol.</w:t>
      </w:r>
    </w:p>
    <w:p w14:paraId="25B2189A" w14:textId="77777777" w:rsidR="00011577" w:rsidRPr="002A54AF" w:rsidRDefault="00011577" w:rsidP="00011577">
      <w:pPr>
        <w:tabs>
          <w:tab w:val="left" w:pos="567"/>
        </w:tabs>
        <w:suppressAutoHyphens/>
        <w:ind w:right="14"/>
        <w:rPr>
          <w:szCs w:val="22"/>
          <w:lang w:val="pt-PT"/>
        </w:rPr>
      </w:pPr>
    </w:p>
    <w:p w14:paraId="3C66A137" w14:textId="77777777" w:rsidR="00011577" w:rsidRPr="002A54AF" w:rsidRDefault="00011577" w:rsidP="00011577">
      <w:pPr>
        <w:tabs>
          <w:tab w:val="left" w:pos="567"/>
        </w:tabs>
        <w:suppressAutoHyphens/>
        <w:ind w:right="14"/>
        <w:rPr>
          <w:szCs w:val="22"/>
          <w:lang w:val="pt-PT"/>
        </w:rPr>
      </w:pPr>
    </w:p>
    <w:p w14:paraId="48438994"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3.</w:t>
      </w:r>
      <w:r w:rsidRPr="002A54AF">
        <w:rPr>
          <w:b/>
          <w:szCs w:val="22"/>
          <w:lang w:val="pt-PT"/>
        </w:rPr>
        <w:tab/>
        <w:t>LISTA DOS EXCIPIENTES</w:t>
      </w:r>
    </w:p>
    <w:p w14:paraId="6201E15C" w14:textId="77777777" w:rsidR="00011577" w:rsidRPr="002A54AF" w:rsidRDefault="00011577" w:rsidP="00011577">
      <w:pPr>
        <w:tabs>
          <w:tab w:val="left" w:pos="567"/>
        </w:tabs>
        <w:suppressAutoHyphens/>
        <w:ind w:right="14"/>
        <w:rPr>
          <w:szCs w:val="22"/>
          <w:lang w:val="pt-PT"/>
        </w:rPr>
      </w:pPr>
    </w:p>
    <w:p w14:paraId="7D2F6427" w14:textId="77777777" w:rsidR="00011577" w:rsidRPr="002A54AF" w:rsidRDefault="00011577" w:rsidP="00011577">
      <w:pPr>
        <w:tabs>
          <w:tab w:val="left" w:pos="567"/>
        </w:tabs>
        <w:suppressAutoHyphens/>
        <w:ind w:right="14"/>
        <w:rPr>
          <w:szCs w:val="22"/>
          <w:lang w:val="pt-PT"/>
        </w:rPr>
      </w:pPr>
      <w:r w:rsidRPr="002A54AF">
        <w:rPr>
          <w:szCs w:val="22"/>
          <w:lang w:val="pt-PT"/>
        </w:rPr>
        <w:t>Contém lactose mono-hidratada. Ver folheto informativo para mais informação.</w:t>
      </w:r>
    </w:p>
    <w:p w14:paraId="1E22354A" w14:textId="77777777" w:rsidR="00011577" w:rsidRPr="002A54AF" w:rsidRDefault="00011577" w:rsidP="00011577">
      <w:pPr>
        <w:tabs>
          <w:tab w:val="left" w:pos="567"/>
        </w:tabs>
        <w:suppressAutoHyphens/>
        <w:ind w:right="14"/>
        <w:rPr>
          <w:szCs w:val="22"/>
          <w:lang w:val="pt-PT"/>
        </w:rPr>
      </w:pPr>
    </w:p>
    <w:p w14:paraId="21631AF2" w14:textId="77777777" w:rsidR="00011577" w:rsidRPr="002A54AF" w:rsidRDefault="00011577" w:rsidP="00011577">
      <w:pPr>
        <w:tabs>
          <w:tab w:val="left" w:pos="567"/>
        </w:tabs>
        <w:suppressAutoHyphens/>
        <w:ind w:right="14"/>
        <w:rPr>
          <w:szCs w:val="22"/>
          <w:lang w:val="pt-PT"/>
        </w:rPr>
      </w:pPr>
    </w:p>
    <w:p w14:paraId="720D7F31"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4.</w:t>
      </w:r>
      <w:r w:rsidRPr="002A54AF">
        <w:rPr>
          <w:b/>
          <w:szCs w:val="22"/>
          <w:lang w:val="pt-PT"/>
        </w:rPr>
        <w:tab/>
        <w:t>FORMA FARMACÊUTICA E CONTEÚDO</w:t>
      </w:r>
    </w:p>
    <w:p w14:paraId="0AD56D5F" w14:textId="77777777" w:rsidR="00011577" w:rsidRPr="002A54AF" w:rsidRDefault="00011577" w:rsidP="00011577">
      <w:pPr>
        <w:tabs>
          <w:tab w:val="left" w:pos="567"/>
        </w:tabs>
        <w:suppressAutoHyphens/>
        <w:ind w:right="14"/>
        <w:rPr>
          <w:szCs w:val="22"/>
          <w:lang w:val="pt-PT"/>
        </w:rPr>
      </w:pPr>
    </w:p>
    <w:p w14:paraId="38D17EA6" w14:textId="77777777" w:rsidR="00011577" w:rsidRPr="002A54AF" w:rsidRDefault="00011577" w:rsidP="00011577">
      <w:pPr>
        <w:tabs>
          <w:tab w:val="left" w:pos="567"/>
        </w:tabs>
        <w:suppressAutoHyphens/>
        <w:ind w:right="14"/>
        <w:rPr>
          <w:szCs w:val="22"/>
          <w:lang w:val="pt-PT"/>
        </w:rPr>
      </w:pPr>
      <w:r w:rsidRPr="002A54AF">
        <w:rPr>
          <w:szCs w:val="22"/>
          <w:lang w:val="pt-PT"/>
        </w:rPr>
        <w:t>2</w:t>
      </w:r>
      <w:r w:rsidR="0020636B" w:rsidRPr="002A54AF">
        <w:rPr>
          <w:szCs w:val="22"/>
          <w:lang w:val="pt-PT"/>
        </w:rPr>
        <w:t> </w:t>
      </w:r>
      <w:r w:rsidRPr="002A54AF">
        <w:rPr>
          <w:szCs w:val="22"/>
          <w:lang w:val="pt-PT"/>
        </w:rPr>
        <w:t>comprimidos revestidos por película</w:t>
      </w:r>
    </w:p>
    <w:p w14:paraId="57F4756E"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10</w:t>
      </w:r>
      <w:r w:rsidR="0020636B" w:rsidRPr="002A54AF">
        <w:rPr>
          <w:szCs w:val="22"/>
          <w:highlight w:val="lightGray"/>
          <w:lang w:val="pt-PT"/>
        </w:rPr>
        <w:t> </w:t>
      </w:r>
      <w:r w:rsidRPr="002A54AF">
        <w:rPr>
          <w:szCs w:val="22"/>
          <w:highlight w:val="lightGray"/>
          <w:lang w:val="pt-PT"/>
        </w:rPr>
        <w:t>comprimidos revestidos por película</w:t>
      </w:r>
    </w:p>
    <w:p w14:paraId="5849CF9B"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14</w:t>
      </w:r>
      <w:r w:rsidR="0020636B" w:rsidRPr="002A54AF">
        <w:rPr>
          <w:szCs w:val="22"/>
          <w:highlight w:val="lightGray"/>
          <w:lang w:val="pt-PT"/>
        </w:rPr>
        <w:t> </w:t>
      </w:r>
      <w:r w:rsidRPr="002A54AF">
        <w:rPr>
          <w:szCs w:val="22"/>
          <w:highlight w:val="lightGray"/>
          <w:lang w:val="pt-PT"/>
        </w:rPr>
        <w:t>comprimidos revestidos por película</w:t>
      </w:r>
    </w:p>
    <w:p w14:paraId="22AE5490"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20</w:t>
      </w:r>
      <w:r w:rsidR="0020636B" w:rsidRPr="002A54AF">
        <w:rPr>
          <w:szCs w:val="22"/>
          <w:highlight w:val="lightGray"/>
          <w:lang w:val="pt-PT"/>
        </w:rPr>
        <w:t> </w:t>
      </w:r>
      <w:r w:rsidRPr="002A54AF">
        <w:rPr>
          <w:szCs w:val="22"/>
          <w:highlight w:val="lightGray"/>
          <w:lang w:val="pt-PT"/>
        </w:rPr>
        <w:t>comprimidos revestidos por película</w:t>
      </w:r>
    </w:p>
    <w:p w14:paraId="14EED755"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28</w:t>
      </w:r>
      <w:r w:rsidR="0020636B" w:rsidRPr="002A54AF">
        <w:rPr>
          <w:szCs w:val="22"/>
          <w:highlight w:val="lightGray"/>
          <w:lang w:val="pt-PT"/>
        </w:rPr>
        <w:t> </w:t>
      </w:r>
      <w:r w:rsidRPr="002A54AF">
        <w:rPr>
          <w:szCs w:val="22"/>
          <w:highlight w:val="lightGray"/>
          <w:lang w:val="pt-PT"/>
        </w:rPr>
        <w:t>comprimidos revestidos por película</w:t>
      </w:r>
    </w:p>
    <w:p w14:paraId="29C78224"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30</w:t>
      </w:r>
      <w:r w:rsidR="0020636B" w:rsidRPr="002A54AF">
        <w:rPr>
          <w:szCs w:val="22"/>
          <w:highlight w:val="lightGray"/>
          <w:lang w:val="pt-PT"/>
        </w:rPr>
        <w:t> </w:t>
      </w:r>
      <w:r w:rsidRPr="002A54AF">
        <w:rPr>
          <w:szCs w:val="22"/>
          <w:highlight w:val="lightGray"/>
          <w:lang w:val="pt-PT"/>
        </w:rPr>
        <w:t>comprimidos revestidos por película</w:t>
      </w:r>
    </w:p>
    <w:p w14:paraId="65D863A3"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50</w:t>
      </w:r>
      <w:r w:rsidR="0020636B" w:rsidRPr="002A54AF">
        <w:rPr>
          <w:szCs w:val="22"/>
          <w:highlight w:val="lightGray"/>
          <w:lang w:val="pt-PT"/>
        </w:rPr>
        <w:t> </w:t>
      </w:r>
      <w:r w:rsidRPr="002A54AF">
        <w:rPr>
          <w:szCs w:val="22"/>
          <w:highlight w:val="lightGray"/>
          <w:lang w:val="pt-PT"/>
        </w:rPr>
        <w:t>comprimidos revestidos por película</w:t>
      </w:r>
    </w:p>
    <w:p w14:paraId="397345C6"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56</w:t>
      </w:r>
      <w:r w:rsidR="0020636B" w:rsidRPr="002A54AF">
        <w:rPr>
          <w:szCs w:val="22"/>
          <w:highlight w:val="lightGray"/>
          <w:lang w:val="pt-PT"/>
        </w:rPr>
        <w:t> </w:t>
      </w:r>
      <w:r w:rsidRPr="002A54AF">
        <w:rPr>
          <w:szCs w:val="22"/>
          <w:highlight w:val="lightGray"/>
          <w:lang w:val="pt-PT"/>
        </w:rPr>
        <w:t>comprimidos revestidos por película</w:t>
      </w:r>
    </w:p>
    <w:p w14:paraId="16488371" w14:textId="77777777" w:rsidR="00011577" w:rsidRPr="002A54AF" w:rsidRDefault="00011577" w:rsidP="00011577">
      <w:pPr>
        <w:tabs>
          <w:tab w:val="left" w:pos="567"/>
        </w:tabs>
        <w:suppressAutoHyphens/>
        <w:ind w:right="14"/>
        <w:rPr>
          <w:szCs w:val="22"/>
          <w:lang w:val="pt-PT"/>
        </w:rPr>
      </w:pPr>
      <w:r w:rsidRPr="002A54AF">
        <w:rPr>
          <w:szCs w:val="22"/>
          <w:highlight w:val="lightGray"/>
          <w:lang w:val="pt-PT"/>
        </w:rPr>
        <w:t>100</w:t>
      </w:r>
      <w:r w:rsidR="0020636B" w:rsidRPr="002A54AF">
        <w:rPr>
          <w:szCs w:val="22"/>
          <w:highlight w:val="lightGray"/>
          <w:lang w:val="pt-PT"/>
        </w:rPr>
        <w:t> </w:t>
      </w:r>
      <w:r w:rsidRPr="002A54AF">
        <w:rPr>
          <w:szCs w:val="22"/>
          <w:highlight w:val="lightGray"/>
          <w:lang w:val="pt-PT"/>
        </w:rPr>
        <w:t>comprimidos revestidos por película</w:t>
      </w:r>
    </w:p>
    <w:p w14:paraId="76E7369A" w14:textId="77777777" w:rsidR="00AC5E44" w:rsidRPr="00E951C7" w:rsidRDefault="00AC5E44" w:rsidP="00AC5E44">
      <w:pPr>
        <w:pStyle w:val="Default"/>
        <w:rPr>
          <w:rFonts w:ascii="Times New Roman" w:hAnsi="Times New Roman" w:cs="Times New Roman"/>
          <w:sz w:val="22"/>
          <w:szCs w:val="22"/>
          <w:highlight w:val="lightGray"/>
          <w:lang w:val="pt-PT"/>
        </w:rPr>
      </w:pPr>
      <w:r w:rsidRPr="00E951C7">
        <w:rPr>
          <w:rFonts w:ascii="Times New Roman" w:hAnsi="Times New Roman" w:cs="Times New Roman"/>
          <w:sz w:val="22"/>
          <w:szCs w:val="22"/>
          <w:highlight w:val="lightGray"/>
          <w:lang w:val="pt-PT"/>
        </w:rPr>
        <w:t>10x1 comprimidos revestidos por película</w:t>
      </w:r>
    </w:p>
    <w:p w14:paraId="1F26A6C3" w14:textId="77777777" w:rsidR="00AC5E44" w:rsidRPr="00E951C7" w:rsidRDefault="00AC5E44" w:rsidP="00AC5E44">
      <w:pPr>
        <w:pStyle w:val="Default"/>
        <w:rPr>
          <w:rFonts w:ascii="Times New Roman" w:hAnsi="Times New Roman" w:cs="Times New Roman"/>
          <w:sz w:val="22"/>
          <w:szCs w:val="22"/>
          <w:highlight w:val="lightGray"/>
          <w:lang w:val="pt-PT"/>
        </w:rPr>
      </w:pPr>
      <w:r w:rsidRPr="00E951C7">
        <w:rPr>
          <w:rFonts w:ascii="Times New Roman" w:hAnsi="Times New Roman" w:cs="Times New Roman"/>
          <w:sz w:val="22"/>
          <w:szCs w:val="22"/>
          <w:highlight w:val="lightGray"/>
          <w:lang w:val="pt-PT"/>
        </w:rPr>
        <w:t>14x1 comprimidos revestidos por película</w:t>
      </w:r>
    </w:p>
    <w:p w14:paraId="28D84136" w14:textId="77777777" w:rsidR="00AC5E44" w:rsidRPr="00E951C7" w:rsidRDefault="00AC5E44" w:rsidP="00AC5E44">
      <w:pPr>
        <w:pStyle w:val="Default"/>
        <w:rPr>
          <w:rFonts w:ascii="Times New Roman" w:hAnsi="Times New Roman" w:cs="Times New Roman"/>
          <w:sz w:val="22"/>
          <w:szCs w:val="22"/>
          <w:highlight w:val="lightGray"/>
          <w:lang w:val="pt-PT"/>
        </w:rPr>
      </w:pPr>
      <w:r w:rsidRPr="00E951C7">
        <w:rPr>
          <w:rFonts w:ascii="Times New Roman" w:hAnsi="Times New Roman" w:cs="Times New Roman"/>
          <w:sz w:val="22"/>
          <w:szCs w:val="22"/>
          <w:highlight w:val="lightGray"/>
          <w:lang w:val="pt-PT"/>
        </w:rPr>
        <w:t>28x1 comprimidos revestidos por película</w:t>
      </w:r>
    </w:p>
    <w:p w14:paraId="0B4A7B34" w14:textId="77777777" w:rsidR="00AC5E44" w:rsidRPr="00E951C7" w:rsidRDefault="00AC5E44" w:rsidP="00AC5E44">
      <w:pPr>
        <w:pStyle w:val="Default"/>
        <w:rPr>
          <w:rFonts w:ascii="Times New Roman" w:hAnsi="Times New Roman" w:cs="Times New Roman"/>
          <w:sz w:val="22"/>
          <w:szCs w:val="22"/>
          <w:highlight w:val="lightGray"/>
          <w:lang w:val="pt-PT"/>
        </w:rPr>
      </w:pPr>
      <w:r w:rsidRPr="00E951C7">
        <w:rPr>
          <w:rFonts w:ascii="Times New Roman" w:hAnsi="Times New Roman" w:cs="Times New Roman"/>
          <w:sz w:val="22"/>
          <w:szCs w:val="22"/>
          <w:highlight w:val="lightGray"/>
          <w:lang w:val="pt-PT"/>
        </w:rPr>
        <w:t>30x1 comprimidos revestidos por película</w:t>
      </w:r>
    </w:p>
    <w:p w14:paraId="4365316A" w14:textId="77777777" w:rsidR="00AC5E44" w:rsidRPr="00E951C7" w:rsidRDefault="00AC5E44" w:rsidP="00AC5E44">
      <w:pPr>
        <w:pStyle w:val="Default"/>
        <w:rPr>
          <w:rFonts w:ascii="Times New Roman" w:hAnsi="Times New Roman" w:cs="Times New Roman"/>
          <w:sz w:val="22"/>
          <w:szCs w:val="22"/>
          <w:highlight w:val="lightGray"/>
          <w:lang w:val="pt-PT"/>
        </w:rPr>
      </w:pPr>
      <w:r w:rsidRPr="00E951C7">
        <w:rPr>
          <w:rFonts w:ascii="Times New Roman" w:hAnsi="Times New Roman" w:cs="Times New Roman"/>
          <w:sz w:val="22"/>
          <w:szCs w:val="22"/>
          <w:highlight w:val="lightGray"/>
          <w:lang w:val="pt-PT"/>
        </w:rPr>
        <w:t>56x1 comprimidos revestidos por película</w:t>
      </w:r>
    </w:p>
    <w:p w14:paraId="1C2579D7" w14:textId="77777777" w:rsidR="00AC5E44" w:rsidRPr="002A54AF" w:rsidRDefault="00AC5E44" w:rsidP="00AC5E44">
      <w:pPr>
        <w:tabs>
          <w:tab w:val="left" w:pos="567"/>
        </w:tabs>
        <w:suppressAutoHyphens/>
        <w:ind w:right="14"/>
        <w:rPr>
          <w:szCs w:val="22"/>
          <w:lang w:val="pt-PT"/>
        </w:rPr>
      </w:pPr>
      <w:r w:rsidRPr="00E951C7">
        <w:rPr>
          <w:szCs w:val="22"/>
          <w:highlight w:val="lightGray"/>
          <w:lang w:val="pt-PT"/>
        </w:rPr>
        <w:t>100x1 comprimidos revestidos por película</w:t>
      </w:r>
    </w:p>
    <w:p w14:paraId="64BFE7C6" w14:textId="77777777" w:rsidR="00AC5E44" w:rsidRPr="002A54AF" w:rsidRDefault="00AC5E44" w:rsidP="00011577">
      <w:pPr>
        <w:tabs>
          <w:tab w:val="left" w:pos="567"/>
        </w:tabs>
        <w:suppressAutoHyphens/>
        <w:ind w:right="14"/>
        <w:rPr>
          <w:szCs w:val="22"/>
          <w:lang w:val="pt-PT"/>
        </w:rPr>
      </w:pPr>
    </w:p>
    <w:p w14:paraId="312B7963" w14:textId="77777777" w:rsidR="00011577" w:rsidRPr="002A54AF" w:rsidRDefault="00011577" w:rsidP="00011577">
      <w:pPr>
        <w:tabs>
          <w:tab w:val="left" w:pos="567"/>
        </w:tabs>
        <w:suppressAutoHyphens/>
        <w:ind w:right="14"/>
        <w:rPr>
          <w:szCs w:val="22"/>
          <w:lang w:val="pt-PT"/>
        </w:rPr>
      </w:pPr>
    </w:p>
    <w:p w14:paraId="6BDC985D"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5.</w:t>
      </w:r>
      <w:r w:rsidRPr="002A54AF">
        <w:rPr>
          <w:b/>
          <w:szCs w:val="22"/>
          <w:lang w:val="pt-PT"/>
        </w:rPr>
        <w:tab/>
        <w:t>MODO E VIA(S) DE ADMINISTRAÇÃO</w:t>
      </w:r>
    </w:p>
    <w:p w14:paraId="08CE19FB" w14:textId="77777777" w:rsidR="00011577" w:rsidRPr="002A54AF" w:rsidRDefault="00011577" w:rsidP="00011577">
      <w:pPr>
        <w:tabs>
          <w:tab w:val="left" w:pos="567"/>
        </w:tabs>
        <w:suppressAutoHyphens/>
        <w:ind w:right="14"/>
        <w:rPr>
          <w:szCs w:val="22"/>
          <w:lang w:val="pt-PT"/>
        </w:rPr>
      </w:pPr>
    </w:p>
    <w:p w14:paraId="65C75EC4" w14:textId="77777777" w:rsidR="00011577" w:rsidRPr="002A54AF" w:rsidRDefault="00011577" w:rsidP="00011577">
      <w:pPr>
        <w:tabs>
          <w:tab w:val="left" w:pos="567"/>
        </w:tabs>
        <w:suppressAutoHyphens/>
        <w:ind w:right="14"/>
        <w:rPr>
          <w:szCs w:val="22"/>
          <w:lang w:val="pt-PT"/>
        </w:rPr>
      </w:pPr>
      <w:r w:rsidRPr="002A54AF">
        <w:rPr>
          <w:szCs w:val="22"/>
          <w:lang w:val="pt-PT"/>
        </w:rPr>
        <w:t>Consultar o folheto informativo antes de utilizar.</w:t>
      </w:r>
    </w:p>
    <w:p w14:paraId="2C8B61F7" w14:textId="77777777" w:rsidR="00011577" w:rsidRPr="002A54AF" w:rsidRDefault="00011577" w:rsidP="00011577">
      <w:pPr>
        <w:tabs>
          <w:tab w:val="left" w:pos="567"/>
        </w:tabs>
        <w:suppressAutoHyphens/>
        <w:ind w:right="14"/>
        <w:rPr>
          <w:szCs w:val="22"/>
          <w:lang w:val="pt-PT"/>
        </w:rPr>
      </w:pPr>
      <w:r w:rsidRPr="002A54AF">
        <w:rPr>
          <w:szCs w:val="22"/>
          <w:lang w:val="pt-PT"/>
        </w:rPr>
        <w:t>Via oral</w:t>
      </w:r>
    </w:p>
    <w:p w14:paraId="7A3A159F" w14:textId="77777777" w:rsidR="00011577" w:rsidRPr="002A54AF" w:rsidRDefault="00011577" w:rsidP="00011577">
      <w:pPr>
        <w:tabs>
          <w:tab w:val="left" w:pos="567"/>
        </w:tabs>
        <w:suppressAutoHyphens/>
        <w:ind w:right="14"/>
        <w:rPr>
          <w:szCs w:val="22"/>
          <w:lang w:val="pt-PT"/>
        </w:rPr>
      </w:pPr>
    </w:p>
    <w:p w14:paraId="215C6D40" w14:textId="77777777" w:rsidR="00011577" w:rsidRPr="002A54AF" w:rsidRDefault="00011577" w:rsidP="00011577">
      <w:pPr>
        <w:tabs>
          <w:tab w:val="left" w:pos="567"/>
        </w:tabs>
        <w:suppressAutoHyphens/>
        <w:ind w:right="14"/>
        <w:rPr>
          <w:szCs w:val="22"/>
          <w:lang w:val="pt-PT"/>
        </w:rPr>
      </w:pPr>
    </w:p>
    <w:p w14:paraId="71D7E6B8"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lang w:val="pt-PT"/>
        </w:rPr>
      </w:pPr>
      <w:r w:rsidRPr="002A54AF">
        <w:rPr>
          <w:b/>
          <w:szCs w:val="22"/>
          <w:lang w:val="pt-PT"/>
        </w:rPr>
        <w:t>6.</w:t>
      </w:r>
      <w:r w:rsidRPr="002A54AF">
        <w:rPr>
          <w:b/>
          <w:szCs w:val="22"/>
          <w:lang w:val="pt-PT"/>
        </w:rPr>
        <w:tab/>
        <w:t>ADVERTÊNCIA ESPECIAL DE QUE O MEDICAMENTO DEVE SER MANTIDO FORA DA VISTA E DO ALCANCE DAS CRIANÇAS</w:t>
      </w:r>
    </w:p>
    <w:p w14:paraId="02BB2313" w14:textId="77777777" w:rsidR="00011577" w:rsidRPr="002A54AF" w:rsidRDefault="00011577" w:rsidP="00011577">
      <w:pPr>
        <w:tabs>
          <w:tab w:val="left" w:pos="567"/>
        </w:tabs>
        <w:suppressAutoHyphens/>
        <w:ind w:right="14"/>
        <w:rPr>
          <w:szCs w:val="22"/>
          <w:lang w:val="pt-PT"/>
        </w:rPr>
      </w:pPr>
    </w:p>
    <w:p w14:paraId="603D37B0" w14:textId="77777777" w:rsidR="00011577" w:rsidRPr="002A54AF" w:rsidRDefault="00011577" w:rsidP="00011577">
      <w:pPr>
        <w:tabs>
          <w:tab w:val="left" w:pos="567"/>
        </w:tabs>
        <w:suppressAutoHyphens/>
        <w:ind w:right="14"/>
        <w:rPr>
          <w:szCs w:val="22"/>
          <w:lang w:val="pt-PT"/>
        </w:rPr>
      </w:pPr>
      <w:r w:rsidRPr="002A54AF">
        <w:rPr>
          <w:szCs w:val="22"/>
          <w:lang w:val="pt-PT"/>
        </w:rPr>
        <w:t>Manter fora da vista e do alcance das crianças.</w:t>
      </w:r>
    </w:p>
    <w:p w14:paraId="278E4617" w14:textId="77777777" w:rsidR="00011577" w:rsidRPr="002A54AF" w:rsidRDefault="00011577" w:rsidP="00011577">
      <w:pPr>
        <w:tabs>
          <w:tab w:val="left" w:pos="567"/>
        </w:tabs>
        <w:suppressAutoHyphens/>
        <w:ind w:right="14"/>
        <w:rPr>
          <w:szCs w:val="22"/>
          <w:lang w:val="pt-PT"/>
        </w:rPr>
      </w:pPr>
    </w:p>
    <w:p w14:paraId="1823A119" w14:textId="77777777" w:rsidR="00011577" w:rsidRPr="002A54AF" w:rsidRDefault="00011577" w:rsidP="00011577">
      <w:pPr>
        <w:tabs>
          <w:tab w:val="left" w:pos="567"/>
        </w:tabs>
        <w:suppressAutoHyphens/>
        <w:ind w:right="14"/>
        <w:rPr>
          <w:szCs w:val="22"/>
          <w:lang w:val="pt-PT"/>
        </w:rPr>
      </w:pPr>
    </w:p>
    <w:p w14:paraId="29E7ED29"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7.</w:t>
      </w:r>
      <w:r w:rsidRPr="002A54AF">
        <w:rPr>
          <w:b/>
          <w:szCs w:val="22"/>
          <w:lang w:val="pt-PT"/>
        </w:rPr>
        <w:tab/>
        <w:t>OUTRAS ADVERTÊNCIAS ESPECIAIS, SE NECESSÁRIO</w:t>
      </w:r>
    </w:p>
    <w:p w14:paraId="418216C2" w14:textId="77777777" w:rsidR="00011577" w:rsidRPr="002A54AF" w:rsidRDefault="00011577" w:rsidP="00011577">
      <w:pPr>
        <w:tabs>
          <w:tab w:val="left" w:pos="567"/>
        </w:tabs>
        <w:suppressAutoHyphens/>
        <w:ind w:right="14"/>
        <w:rPr>
          <w:szCs w:val="22"/>
          <w:lang w:val="pt-PT"/>
        </w:rPr>
      </w:pPr>
    </w:p>
    <w:p w14:paraId="36AFFAA7" w14:textId="77777777" w:rsidR="00011577" w:rsidRPr="002A54AF" w:rsidRDefault="00011577" w:rsidP="00011577">
      <w:pPr>
        <w:tabs>
          <w:tab w:val="left" w:pos="567"/>
        </w:tabs>
        <w:suppressAutoHyphens/>
        <w:ind w:right="14"/>
        <w:rPr>
          <w:szCs w:val="22"/>
          <w:lang w:val="pt-PT"/>
        </w:rPr>
      </w:pPr>
    </w:p>
    <w:p w14:paraId="182F9AE8" w14:textId="77777777" w:rsidR="00011577" w:rsidRPr="002A54AF" w:rsidRDefault="00011577" w:rsidP="00CE59DC">
      <w:pPr>
        <w:pBdr>
          <w:top w:val="single" w:sz="4" w:space="1" w:color="auto"/>
          <w:left w:val="single" w:sz="4" w:space="4" w:color="auto"/>
          <w:bottom w:val="single" w:sz="4" w:space="1" w:color="auto"/>
          <w:right w:val="single" w:sz="4" w:space="4" w:color="auto"/>
        </w:pBdr>
        <w:tabs>
          <w:tab w:val="left" w:pos="567"/>
        </w:tabs>
        <w:suppressAutoHyphens/>
        <w:ind w:right="14"/>
        <w:rPr>
          <w:b/>
          <w:szCs w:val="22"/>
          <w:lang w:val="pt-PT"/>
        </w:rPr>
      </w:pPr>
      <w:r w:rsidRPr="002A54AF">
        <w:rPr>
          <w:b/>
          <w:szCs w:val="22"/>
          <w:lang w:val="pt-PT"/>
        </w:rPr>
        <w:t>8.</w:t>
      </w:r>
      <w:r w:rsidRPr="002A54AF">
        <w:rPr>
          <w:b/>
          <w:szCs w:val="22"/>
          <w:lang w:val="pt-PT"/>
        </w:rPr>
        <w:tab/>
        <w:t>PRAZO DE VALIDADE</w:t>
      </w:r>
    </w:p>
    <w:p w14:paraId="75567FA2" w14:textId="77777777" w:rsidR="00011577" w:rsidRPr="002A54AF" w:rsidRDefault="00011577" w:rsidP="00CE59DC">
      <w:pPr>
        <w:tabs>
          <w:tab w:val="left" w:pos="567"/>
        </w:tabs>
        <w:suppressAutoHyphens/>
        <w:ind w:right="14"/>
        <w:rPr>
          <w:szCs w:val="22"/>
          <w:lang w:val="pt-PT"/>
        </w:rPr>
      </w:pPr>
    </w:p>
    <w:p w14:paraId="126B6363" w14:textId="77777777" w:rsidR="00011577" w:rsidRPr="002A54AF" w:rsidRDefault="00011577" w:rsidP="00CE59DC">
      <w:pPr>
        <w:tabs>
          <w:tab w:val="left" w:pos="567"/>
        </w:tabs>
        <w:suppressAutoHyphens/>
        <w:ind w:right="14"/>
        <w:rPr>
          <w:szCs w:val="22"/>
          <w:lang w:val="pt-PT"/>
        </w:rPr>
      </w:pPr>
      <w:r w:rsidRPr="002A54AF">
        <w:rPr>
          <w:szCs w:val="22"/>
          <w:lang w:val="pt-PT"/>
        </w:rPr>
        <w:t xml:space="preserve">VAL. </w:t>
      </w:r>
    </w:p>
    <w:p w14:paraId="3CD0986B" w14:textId="77777777" w:rsidR="00011577" w:rsidRPr="008C3642" w:rsidRDefault="00011577" w:rsidP="00011577">
      <w:pPr>
        <w:keepNext/>
        <w:tabs>
          <w:tab w:val="left" w:pos="567"/>
        </w:tabs>
        <w:suppressAutoHyphens/>
        <w:ind w:right="14"/>
        <w:rPr>
          <w:szCs w:val="22"/>
          <w:lang w:val="pt-PT"/>
        </w:rPr>
      </w:pPr>
    </w:p>
    <w:p w14:paraId="29741757" w14:textId="77777777" w:rsidR="00011577" w:rsidRPr="002A54AF" w:rsidRDefault="00011577" w:rsidP="00011577">
      <w:pPr>
        <w:keepNext/>
        <w:tabs>
          <w:tab w:val="left" w:pos="567"/>
        </w:tabs>
        <w:suppressAutoHyphens/>
        <w:ind w:right="14"/>
        <w:rPr>
          <w:szCs w:val="22"/>
          <w:lang w:val="pt-PT"/>
        </w:rPr>
      </w:pPr>
    </w:p>
    <w:p w14:paraId="65B02F9B" w14:textId="77777777" w:rsidR="00011577" w:rsidRPr="002A54AF" w:rsidRDefault="00011577" w:rsidP="00011577">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9.</w:t>
      </w:r>
      <w:r w:rsidRPr="002A54AF">
        <w:rPr>
          <w:b/>
          <w:szCs w:val="22"/>
          <w:lang w:val="pt-PT"/>
        </w:rPr>
        <w:tab/>
        <w:t>CONDIÇÕES ESPECIAIS DE CONSERVAÇÃO</w:t>
      </w:r>
    </w:p>
    <w:p w14:paraId="331F46B2" w14:textId="77777777" w:rsidR="00011577" w:rsidRPr="008C3642" w:rsidRDefault="00011577" w:rsidP="00011577">
      <w:pPr>
        <w:tabs>
          <w:tab w:val="left" w:pos="567"/>
        </w:tabs>
        <w:suppressAutoHyphens/>
        <w:rPr>
          <w:szCs w:val="22"/>
          <w:lang w:val="pt-PT"/>
        </w:rPr>
      </w:pPr>
    </w:p>
    <w:p w14:paraId="51E7D808" w14:textId="77777777" w:rsidR="00011577" w:rsidRPr="002A54AF" w:rsidRDefault="00011577" w:rsidP="00011577">
      <w:pPr>
        <w:tabs>
          <w:tab w:val="left" w:pos="567"/>
        </w:tabs>
        <w:suppressAutoHyphens/>
        <w:rPr>
          <w:szCs w:val="22"/>
          <w:lang w:val="pt-PT"/>
        </w:rPr>
      </w:pPr>
    </w:p>
    <w:p w14:paraId="46577BAE"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lang w:val="pt-PT"/>
        </w:rPr>
      </w:pPr>
      <w:r w:rsidRPr="002A54AF">
        <w:rPr>
          <w:b/>
          <w:szCs w:val="22"/>
          <w:lang w:val="pt-PT"/>
        </w:rPr>
        <w:t>10.</w:t>
      </w:r>
      <w:r w:rsidRPr="002A54AF">
        <w:rPr>
          <w:b/>
          <w:szCs w:val="22"/>
          <w:lang w:val="pt-PT"/>
        </w:rPr>
        <w:tab/>
        <w:t>CUIDADOS ESPECIAIS QUANTO À ELIMINAÇÃO DO MEDICAMENTO NÃO UTILIZADO OU DOS RESÍDUOS PROVENIENTES DESSE MEDICAMENTO, SE APLICÁVEL</w:t>
      </w:r>
    </w:p>
    <w:p w14:paraId="253094B5" w14:textId="77777777" w:rsidR="00011577" w:rsidRPr="002A54AF" w:rsidRDefault="00011577" w:rsidP="00011577">
      <w:pPr>
        <w:tabs>
          <w:tab w:val="left" w:pos="567"/>
        </w:tabs>
        <w:suppressAutoHyphens/>
        <w:ind w:right="14"/>
        <w:rPr>
          <w:szCs w:val="22"/>
          <w:lang w:val="pt-PT"/>
        </w:rPr>
      </w:pPr>
    </w:p>
    <w:p w14:paraId="53C5BD11" w14:textId="77777777" w:rsidR="00011577" w:rsidRPr="002A54AF" w:rsidRDefault="00011577" w:rsidP="00011577">
      <w:pPr>
        <w:tabs>
          <w:tab w:val="left" w:pos="567"/>
        </w:tabs>
        <w:suppressAutoHyphens/>
        <w:ind w:right="14"/>
        <w:rPr>
          <w:szCs w:val="22"/>
          <w:lang w:val="pt-PT"/>
        </w:rPr>
      </w:pPr>
    </w:p>
    <w:p w14:paraId="63F322CB"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highlight w:val="lightGray"/>
          <w:lang w:val="pt-PT"/>
        </w:rPr>
      </w:pPr>
      <w:r w:rsidRPr="002A54AF">
        <w:rPr>
          <w:b/>
          <w:szCs w:val="22"/>
          <w:lang w:val="pt-PT"/>
        </w:rPr>
        <w:t>11.</w:t>
      </w:r>
      <w:r w:rsidRPr="002A54AF">
        <w:rPr>
          <w:b/>
          <w:szCs w:val="22"/>
          <w:lang w:val="pt-PT"/>
        </w:rPr>
        <w:tab/>
        <w:t>NOME E ENDEREÇO DO TITULAR DA AUTORIZAÇÃO DE INTRODUÇÃO NO MERCADO</w:t>
      </w:r>
    </w:p>
    <w:p w14:paraId="018ABBFD" w14:textId="77777777" w:rsidR="00011577" w:rsidRPr="002A54AF" w:rsidRDefault="00011577" w:rsidP="00011577">
      <w:pPr>
        <w:tabs>
          <w:tab w:val="left" w:pos="567"/>
        </w:tabs>
        <w:suppressAutoHyphens/>
        <w:ind w:right="14"/>
        <w:rPr>
          <w:szCs w:val="22"/>
          <w:lang w:val="pt-PT"/>
        </w:rPr>
      </w:pPr>
    </w:p>
    <w:p w14:paraId="425A7E26" w14:textId="77777777" w:rsidR="00A74BB1" w:rsidRPr="00A74BB1" w:rsidRDefault="00A74BB1" w:rsidP="00A74BB1">
      <w:pPr>
        <w:rPr>
          <w:szCs w:val="22"/>
          <w:lang w:val="pl-PL"/>
        </w:rPr>
      </w:pPr>
      <w:r w:rsidRPr="00A74BB1">
        <w:rPr>
          <w:szCs w:val="22"/>
          <w:lang w:val="pl-PL"/>
        </w:rPr>
        <w:t xml:space="preserve">Accord Healthcare S.L.U. </w:t>
      </w:r>
    </w:p>
    <w:p w14:paraId="24A65C36" w14:textId="77777777" w:rsidR="00A74BB1" w:rsidRPr="00A74BB1" w:rsidRDefault="00A74BB1" w:rsidP="00A74BB1">
      <w:pPr>
        <w:rPr>
          <w:szCs w:val="22"/>
          <w:lang w:val="pl-PL"/>
        </w:rPr>
      </w:pPr>
      <w:r w:rsidRPr="00A74BB1">
        <w:rPr>
          <w:szCs w:val="22"/>
          <w:lang w:val="pl-PL"/>
        </w:rPr>
        <w:t xml:space="preserve">World Trade Center, Moll de Barcelona, s/n, </w:t>
      </w:r>
    </w:p>
    <w:p w14:paraId="1D2C51D8" w14:textId="77777777" w:rsidR="00A74BB1" w:rsidRPr="00A74BB1" w:rsidRDefault="00A74BB1" w:rsidP="00A74BB1">
      <w:pPr>
        <w:rPr>
          <w:szCs w:val="22"/>
          <w:lang w:val="pl-PL"/>
        </w:rPr>
      </w:pPr>
      <w:r w:rsidRPr="00A74BB1">
        <w:rPr>
          <w:szCs w:val="22"/>
          <w:lang w:val="pl-PL"/>
        </w:rPr>
        <w:t xml:space="preserve">Edifici Est 6ª planta, </w:t>
      </w:r>
    </w:p>
    <w:p w14:paraId="484C9739" w14:textId="77777777" w:rsidR="00A74BB1" w:rsidRPr="00A74BB1" w:rsidRDefault="00A74BB1" w:rsidP="00A74BB1">
      <w:pPr>
        <w:rPr>
          <w:szCs w:val="22"/>
          <w:lang w:val="pl-PL"/>
        </w:rPr>
      </w:pPr>
      <w:r w:rsidRPr="00A74BB1">
        <w:rPr>
          <w:szCs w:val="22"/>
          <w:lang w:val="pl-PL"/>
        </w:rPr>
        <w:t xml:space="preserve">08039 Barcelona, </w:t>
      </w:r>
    </w:p>
    <w:p w14:paraId="3D5231AF" w14:textId="77777777" w:rsidR="00011577" w:rsidRPr="008C3642" w:rsidRDefault="00A74BB1" w:rsidP="00011577">
      <w:pPr>
        <w:tabs>
          <w:tab w:val="left" w:pos="567"/>
        </w:tabs>
        <w:suppressAutoHyphens/>
        <w:ind w:right="14"/>
        <w:rPr>
          <w:szCs w:val="22"/>
          <w:lang w:val="pt-PT"/>
        </w:rPr>
      </w:pPr>
      <w:r w:rsidRPr="00ED57C2">
        <w:rPr>
          <w:szCs w:val="22"/>
          <w:lang w:val="pt-PT"/>
        </w:rPr>
        <w:t>Espanha</w:t>
      </w:r>
    </w:p>
    <w:p w14:paraId="1548E776" w14:textId="77777777" w:rsidR="00011577" w:rsidRPr="002A54AF" w:rsidRDefault="00011577" w:rsidP="00011577">
      <w:pPr>
        <w:tabs>
          <w:tab w:val="left" w:pos="567"/>
        </w:tabs>
        <w:suppressAutoHyphens/>
        <w:ind w:right="14"/>
        <w:rPr>
          <w:szCs w:val="22"/>
          <w:lang w:val="pt-PT"/>
        </w:rPr>
      </w:pPr>
    </w:p>
    <w:p w14:paraId="28E44806"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12.</w:t>
      </w:r>
      <w:r w:rsidRPr="002A54AF">
        <w:rPr>
          <w:b/>
          <w:szCs w:val="22"/>
          <w:lang w:val="pt-PT"/>
        </w:rPr>
        <w:tab/>
        <w:t>NÚMERO(S) DA AUTORIZAÇÃO DE INTRODUÇÃO NO MERCADO</w:t>
      </w:r>
    </w:p>
    <w:p w14:paraId="58ABE3D2" w14:textId="77777777" w:rsidR="00011577" w:rsidRPr="002A54AF" w:rsidRDefault="00011577" w:rsidP="00011577">
      <w:pPr>
        <w:tabs>
          <w:tab w:val="left" w:pos="567"/>
        </w:tabs>
        <w:suppressAutoHyphens/>
        <w:ind w:right="14"/>
        <w:rPr>
          <w:szCs w:val="22"/>
          <w:lang w:val="pt-PT"/>
        </w:rPr>
      </w:pPr>
    </w:p>
    <w:p w14:paraId="554FE0BB" w14:textId="77777777" w:rsidR="00011577" w:rsidRPr="002A54AF" w:rsidRDefault="00011577" w:rsidP="00011577">
      <w:pPr>
        <w:tabs>
          <w:tab w:val="left" w:pos="567"/>
        </w:tabs>
        <w:suppressAutoHyphens/>
        <w:ind w:right="14"/>
        <w:rPr>
          <w:szCs w:val="22"/>
          <w:highlight w:val="lightGray"/>
          <w:lang w:val="pt-PT"/>
        </w:rPr>
      </w:pPr>
      <w:r w:rsidRPr="002A54AF">
        <w:rPr>
          <w:szCs w:val="22"/>
          <w:lang w:val="pt-PT"/>
        </w:rPr>
        <w:t xml:space="preserve">EU/1/13/835/010 </w:t>
      </w:r>
      <w:r w:rsidRPr="002A54AF">
        <w:rPr>
          <w:szCs w:val="22"/>
          <w:highlight w:val="lightGray"/>
          <w:lang w:val="pt-PT"/>
        </w:rPr>
        <w:t>2</w:t>
      </w:r>
      <w:r w:rsidR="0020636B" w:rsidRPr="002A54AF">
        <w:rPr>
          <w:szCs w:val="22"/>
          <w:highlight w:val="lightGray"/>
          <w:lang w:val="pt-PT"/>
        </w:rPr>
        <w:t> </w:t>
      </w:r>
      <w:r w:rsidRPr="002A54AF">
        <w:rPr>
          <w:szCs w:val="22"/>
          <w:highlight w:val="lightGray"/>
          <w:lang w:val="pt-PT"/>
        </w:rPr>
        <w:t>comprimidos revestidos por película</w:t>
      </w:r>
    </w:p>
    <w:p w14:paraId="746D3FEB"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EU/1/13/835/011 10</w:t>
      </w:r>
      <w:r w:rsidR="0020636B" w:rsidRPr="002A54AF">
        <w:rPr>
          <w:szCs w:val="22"/>
          <w:highlight w:val="lightGray"/>
          <w:lang w:val="pt-PT"/>
        </w:rPr>
        <w:t> </w:t>
      </w:r>
      <w:r w:rsidRPr="002A54AF">
        <w:rPr>
          <w:szCs w:val="22"/>
          <w:highlight w:val="lightGray"/>
          <w:lang w:val="pt-PT"/>
        </w:rPr>
        <w:t>comprimidos revestidos por película</w:t>
      </w:r>
    </w:p>
    <w:p w14:paraId="1E3A2058"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EU/1/13/835/012 14</w:t>
      </w:r>
      <w:r w:rsidR="0020636B" w:rsidRPr="002A54AF">
        <w:rPr>
          <w:szCs w:val="22"/>
          <w:highlight w:val="lightGray"/>
          <w:lang w:val="pt-PT"/>
        </w:rPr>
        <w:t> </w:t>
      </w:r>
      <w:r w:rsidRPr="002A54AF">
        <w:rPr>
          <w:szCs w:val="22"/>
          <w:highlight w:val="lightGray"/>
          <w:lang w:val="pt-PT"/>
        </w:rPr>
        <w:t>comprimidos revestidos por película</w:t>
      </w:r>
    </w:p>
    <w:p w14:paraId="36F7A11E"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EU/1/13/835/013 20</w:t>
      </w:r>
      <w:r w:rsidR="0020636B" w:rsidRPr="002A54AF">
        <w:rPr>
          <w:szCs w:val="22"/>
          <w:highlight w:val="lightGray"/>
          <w:lang w:val="pt-PT"/>
        </w:rPr>
        <w:t> </w:t>
      </w:r>
      <w:r w:rsidRPr="002A54AF">
        <w:rPr>
          <w:szCs w:val="22"/>
          <w:highlight w:val="lightGray"/>
          <w:lang w:val="pt-PT"/>
        </w:rPr>
        <w:t>comprimidos revestidos por película</w:t>
      </w:r>
    </w:p>
    <w:p w14:paraId="54ECCADF"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EU/1/13/835/014 28</w:t>
      </w:r>
      <w:r w:rsidR="0020636B" w:rsidRPr="002A54AF">
        <w:rPr>
          <w:szCs w:val="22"/>
          <w:highlight w:val="lightGray"/>
          <w:lang w:val="pt-PT"/>
        </w:rPr>
        <w:t> </w:t>
      </w:r>
      <w:r w:rsidRPr="002A54AF">
        <w:rPr>
          <w:szCs w:val="22"/>
          <w:highlight w:val="lightGray"/>
          <w:lang w:val="pt-PT"/>
        </w:rPr>
        <w:t>comprimidos revestidos por película</w:t>
      </w:r>
    </w:p>
    <w:p w14:paraId="1B2FB816"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EU/1/13/835/015 30</w:t>
      </w:r>
      <w:r w:rsidR="0020636B" w:rsidRPr="002A54AF">
        <w:rPr>
          <w:szCs w:val="22"/>
          <w:highlight w:val="lightGray"/>
          <w:lang w:val="pt-PT"/>
        </w:rPr>
        <w:t> </w:t>
      </w:r>
      <w:r w:rsidRPr="002A54AF">
        <w:rPr>
          <w:szCs w:val="22"/>
          <w:highlight w:val="lightGray"/>
          <w:lang w:val="pt-PT"/>
        </w:rPr>
        <w:t>comprimidos revestidos por película</w:t>
      </w:r>
    </w:p>
    <w:p w14:paraId="10B5ED20"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EU/1/13/835/016 50</w:t>
      </w:r>
      <w:r w:rsidR="0020636B" w:rsidRPr="002A54AF">
        <w:rPr>
          <w:szCs w:val="22"/>
          <w:highlight w:val="lightGray"/>
          <w:lang w:val="pt-PT"/>
        </w:rPr>
        <w:t> </w:t>
      </w:r>
      <w:r w:rsidRPr="002A54AF">
        <w:rPr>
          <w:szCs w:val="22"/>
          <w:highlight w:val="lightGray"/>
          <w:lang w:val="pt-PT"/>
        </w:rPr>
        <w:t>comprimidos revestidos por película</w:t>
      </w:r>
    </w:p>
    <w:p w14:paraId="2E56A2E4" w14:textId="77777777" w:rsidR="00011577" w:rsidRPr="002A54AF" w:rsidRDefault="00011577" w:rsidP="00011577">
      <w:pPr>
        <w:tabs>
          <w:tab w:val="left" w:pos="567"/>
        </w:tabs>
        <w:suppressAutoHyphens/>
        <w:ind w:right="14"/>
        <w:rPr>
          <w:szCs w:val="22"/>
          <w:highlight w:val="lightGray"/>
          <w:lang w:val="pt-PT"/>
        </w:rPr>
      </w:pPr>
      <w:r w:rsidRPr="002A54AF">
        <w:rPr>
          <w:szCs w:val="22"/>
          <w:highlight w:val="lightGray"/>
          <w:lang w:val="pt-PT"/>
        </w:rPr>
        <w:t>EU/1/13/835/017 56</w:t>
      </w:r>
      <w:r w:rsidR="0020636B" w:rsidRPr="002A54AF">
        <w:rPr>
          <w:szCs w:val="22"/>
          <w:highlight w:val="lightGray"/>
          <w:lang w:val="pt-PT"/>
        </w:rPr>
        <w:t> </w:t>
      </w:r>
      <w:r w:rsidRPr="002A54AF">
        <w:rPr>
          <w:szCs w:val="22"/>
          <w:highlight w:val="lightGray"/>
          <w:lang w:val="pt-PT"/>
        </w:rPr>
        <w:t>comprimidos revestidos por película</w:t>
      </w:r>
    </w:p>
    <w:p w14:paraId="4CB3DC7E" w14:textId="77777777" w:rsidR="00011577" w:rsidRPr="002A54AF" w:rsidRDefault="00011577" w:rsidP="00011577">
      <w:pPr>
        <w:tabs>
          <w:tab w:val="left" w:pos="567"/>
        </w:tabs>
        <w:suppressAutoHyphens/>
        <w:ind w:right="14"/>
        <w:rPr>
          <w:szCs w:val="22"/>
          <w:lang w:val="pt-PT"/>
        </w:rPr>
      </w:pPr>
      <w:r w:rsidRPr="002A54AF">
        <w:rPr>
          <w:szCs w:val="22"/>
          <w:highlight w:val="lightGray"/>
          <w:lang w:val="pt-PT"/>
        </w:rPr>
        <w:t>EU/1/13/835/018 100</w:t>
      </w:r>
      <w:r w:rsidR="0020636B" w:rsidRPr="002A54AF">
        <w:rPr>
          <w:szCs w:val="22"/>
          <w:highlight w:val="lightGray"/>
          <w:lang w:val="pt-PT"/>
        </w:rPr>
        <w:t> </w:t>
      </w:r>
      <w:r w:rsidRPr="002A54AF">
        <w:rPr>
          <w:szCs w:val="22"/>
          <w:highlight w:val="lightGray"/>
          <w:lang w:val="pt-PT"/>
        </w:rPr>
        <w:t>comprimidos revestidos por película</w:t>
      </w:r>
    </w:p>
    <w:p w14:paraId="2B1EBB8C" w14:textId="77777777" w:rsidR="00AC5E44" w:rsidRPr="00E951C7" w:rsidRDefault="00AC5E44" w:rsidP="00AC5E44">
      <w:pPr>
        <w:pStyle w:val="Default"/>
        <w:rPr>
          <w:rFonts w:ascii="Times New Roman" w:hAnsi="Times New Roman" w:cs="Times New Roman"/>
          <w:sz w:val="22"/>
          <w:szCs w:val="22"/>
          <w:highlight w:val="lightGray"/>
          <w:lang w:val="pt-PT"/>
        </w:rPr>
      </w:pPr>
      <w:r w:rsidRPr="00E951C7">
        <w:rPr>
          <w:rFonts w:ascii="Times New Roman" w:hAnsi="Times New Roman" w:cs="Times New Roman"/>
          <w:sz w:val="22"/>
          <w:szCs w:val="22"/>
          <w:highlight w:val="lightGray"/>
          <w:lang w:val="pt-PT"/>
        </w:rPr>
        <w:t>EU/1/13/835/025 10x1 comprimidos revestidos por película</w:t>
      </w:r>
    </w:p>
    <w:p w14:paraId="550DA14E" w14:textId="77777777" w:rsidR="00AC5E44" w:rsidRPr="00E951C7" w:rsidRDefault="00AC5E44" w:rsidP="00AC5E44">
      <w:pPr>
        <w:pStyle w:val="Default"/>
        <w:rPr>
          <w:rFonts w:ascii="Times New Roman" w:hAnsi="Times New Roman" w:cs="Times New Roman"/>
          <w:sz w:val="22"/>
          <w:szCs w:val="22"/>
          <w:highlight w:val="lightGray"/>
          <w:lang w:val="pt-PT"/>
        </w:rPr>
      </w:pPr>
      <w:r w:rsidRPr="00E951C7">
        <w:rPr>
          <w:rFonts w:ascii="Times New Roman" w:hAnsi="Times New Roman" w:cs="Times New Roman"/>
          <w:sz w:val="22"/>
          <w:szCs w:val="22"/>
          <w:highlight w:val="lightGray"/>
          <w:lang w:val="pt-PT"/>
        </w:rPr>
        <w:t>EU/1/13/835/026 14x1 comprimidos revestidos por película</w:t>
      </w:r>
    </w:p>
    <w:p w14:paraId="06F21710" w14:textId="77777777" w:rsidR="00AC5E44" w:rsidRPr="00E951C7" w:rsidRDefault="00AC5E44" w:rsidP="00AC5E44">
      <w:pPr>
        <w:pStyle w:val="Default"/>
        <w:rPr>
          <w:rFonts w:ascii="Times New Roman" w:hAnsi="Times New Roman" w:cs="Times New Roman"/>
          <w:sz w:val="22"/>
          <w:szCs w:val="22"/>
          <w:highlight w:val="lightGray"/>
          <w:lang w:val="pt-PT"/>
        </w:rPr>
      </w:pPr>
      <w:r w:rsidRPr="00E951C7">
        <w:rPr>
          <w:rFonts w:ascii="Times New Roman" w:hAnsi="Times New Roman" w:cs="Times New Roman"/>
          <w:sz w:val="22"/>
          <w:szCs w:val="22"/>
          <w:highlight w:val="lightGray"/>
          <w:lang w:val="pt-PT"/>
        </w:rPr>
        <w:t>EU/1/13/835/027 28x1 comprimidos revestidos por película</w:t>
      </w:r>
    </w:p>
    <w:p w14:paraId="106B7F9B" w14:textId="77777777" w:rsidR="00AC5E44" w:rsidRPr="00E951C7" w:rsidRDefault="00AC5E44" w:rsidP="00AC5E44">
      <w:pPr>
        <w:pStyle w:val="Default"/>
        <w:rPr>
          <w:rFonts w:ascii="Times New Roman" w:hAnsi="Times New Roman" w:cs="Times New Roman"/>
          <w:sz w:val="22"/>
          <w:szCs w:val="22"/>
          <w:highlight w:val="lightGray"/>
          <w:lang w:val="pt-PT"/>
        </w:rPr>
      </w:pPr>
      <w:r w:rsidRPr="00E951C7">
        <w:rPr>
          <w:rFonts w:ascii="Times New Roman" w:hAnsi="Times New Roman" w:cs="Times New Roman"/>
          <w:sz w:val="22"/>
          <w:szCs w:val="22"/>
          <w:highlight w:val="lightGray"/>
          <w:lang w:val="pt-PT"/>
        </w:rPr>
        <w:t>EU/1/13/835/028 30x1 comprimidos revestidos por película</w:t>
      </w:r>
    </w:p>
    <w:p w14:paraId="070B1908" w14:textId="77777777" w:rsidR="00AC5E44" w:rsidRPr="00E951C7" w:rsidRDefault="00AC5E44" w:rsidP="00AC5E44">
      <w:pPr>
        <w:pStyle w:val="Default"/>
        <w:rPr>
          <w:rFonts w:ascii="Times New Roman" w:hAnsi="Times New Roman" w:cs="Times New Roman"/>
          <w:sz w:val="22"/>
          <w:szCs w:val="22"/>
          <w:highlight w:val="lightGray"/>
          <w:lang w:val="pt-PT"/>
        </w:rPr>
      </w:pPr>
      <w:r w:rsidRPr="00E951C7">
        <w:rPr>
          <w:rFonts w:ascii="Times New Roman" w:hAnsi="Times New Roman" w:cs="Times New Roman"/>
          <w:sz w:val="22"/>
          <w:szCs w:val="22"/>
          <w:highlight w:val="lightGray"/>
          <w:lang w:val="pt-PT"/>
        </w:rPr>
        <w:t>EU/1/13/835/029 56x1 comprimidos revestidos por película</w:t>
      </w:r>
    </w:p>
    <w:p w14:paraId="4FCBF277" w14:textId="77777777" w:rsidR="00AC5E44" w:rsidRPr="002A54AF" w:rsidRDefault="00AC5E44" w:rsidP="00AC5E44">
      <w:pPr>
        <w:tabs>
          <w:tab w:val="left" w:pos="567"/>
        </w:tabs>
        <w:suppressAutoHyphens/>
        <w:ind w:right="14"/>
        <w:rPr>
          <w:szCs w:val="22"/>
          <w:lang w:val="pt-PT"/>
        </w:rPr>
      </w:pPr>
      <w:r w:rsidRPr="00E951C7">
        <w:rPr>
          <w:szCs w:val="22"/>
          <w:highlight w:val="lightGray"/>
          <w:lang w:val="pt-PT"/>
        </w:rPr>
        <w:t>EU/1/13/835/030 100x1 comprimidos revestidos por película</w:t>
      </w:r>
    </w:p>
    <w:p w14:paraId="5E219FA9" w14:textId="77777777" w:rsidR="00011577" w:rsidRPr="002A54AF" w:rsidRDefault="00011577" w:rsidP="00011577">
      <w:pPr>
        <w:tabs>
          <w:tab w:val="left" w:pos="567"/>
        </w:tabs>
        <w:suppressAutoHyphens/>
        <w:ind w:right="14"/>
        <w:rPr>
          <w:szCs w:val="22"/>
          <w:lang w:val="pt-PT"/>
        </w:rPr>
      </w:pPr>
    </w:p>
    <w:p w14:paraId="4AF70DD4" w14:textId="77777777" w:rsidR="00011577" w:rsidRPr="008C3642" w:rsidRDefault="00011577" w:rsidP="00011577">
      <w:pPr>
        <w:tabs>
          <w:tab w:val="left" w:pos="567"/>
        </w:tabs>
        <w:suppressAutoHyphens/>
        <w:ind w:right="14"/>
        <w:rPr>
          <w:szCs w:val="22"/>
          <w:lang w:val="pt-PT"/>
        </w:rPr>
      </w:pPr>
    </w:p>
    <w:p w14:paraId="02DA6C64"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lang w:val="pt-PT"/>
        </w:rPr>
      </w:pPr>
      <w:r w:rsidRPr="002A54AF">
        <w:rPr>
          <w:b/>
          <w:szCs w:val="22"/>
          <w:lang w:val="pt-PT"/>
        </w:rPr>
        <w:t>13.</w:t>
      </w:r>
      <w:r w:rsidRPr="002A54AF">
        <w:rPr>
          <w:b/>
          <w:szCs w:val="22"/>
          <w:lang w:val="pt-PT"/>
        </w:rPr>
        <w:tab/>
        <w:t xml:space="preserve">NÚMERO DO LOTE </w:t>
      </w:r>
    </w:p>
    <w:p w14:paraId="107CDACC" w14:textId="77777777" w:rsidR="00011577" w:rsidRPr="002A54AF" w:rsidRDefault="00011577" w:rsidP="00011577">
      <w:pPr>
        <w:tabs>
          <w:tab w:val="left" w:pos="567"/>
        </w:tabs>
        <w:suppressAutoHyphens/>
        <w:ind w:right="14"/>
        <w:rPr>
          <w:szCs w:val="22"/>
          <w:lang w:val="pt-PT"/>
        </w:rPr>
      </w:pPr>
    </w:p>
    <w:p w14:paraId="20E28CDF" w14:textId="77777777" w:rsidR="00011577" w:rsidRPr="002A54AF" w:rsidRDefault="00011577" w:rsidP="00011577">
      <w:pPr>
        <w:tabs>
          <w:tab w:val="left" w:pos="567"/>
        </w:tabs>
        <w:suppressAutoHyphens/>
        <w:ind w:right="14"/>
        <w:rPr>
          <w:szCs w:val="22"/>
          <w:lang w:val="pt-PT"/>
        </w:rPr>
      </w:pPr>
      <w:r w:rsidRPr="002A54AF">
        <w:rPr>
          <w:szCs w:val="22"/>
          <w:lang w:val="pt-PT"/>
        </w:rPr>
        <w:t xml:space="preserve">Lote </w:t>
      </w:r>
    </w:p>
    <w:p w14:paraId="2E42F971" w14:textId="77777777" w:rsidR="00011577" w:rsidRPr="002A54AF" w:rsidRDefault="00011577" w:rsidP="00011577">
      <w:pPr>
        <w:tabs>
          <w:tab w:val="left" w:pos="567"/>
        </w:tabs>
        <w:suppressAutoHyphens/>
        <w:ind w:right="14"/>
        <w:rPr>
          <w:szCs w:val="22"/>
          <w:lang w:val="pt-PT"/>
        </w:rPr>
      </w:pPr>
    </w:p>
    <w:p w14:paraId="5A6820E4" w14:textId="77777777" w:rsidR="00011577" w:rsidRPr="008C3642" w:rsidRDefault="00011577" w:rsidP="00011577">
      <w:pPr>
        <w:tabs>
          <w:tab w:val="left" w:pos="567"/>
        </w:tabs>
        <w:suppressAutoHyphens/>
        <w:ind w:right="14"/>
        <w:rPr>
          <w:szCs w:val="22"/>
          <w:lang w:val="pt-PT"/>
        </w:rPr>
      </w:pPr>
    </w:p>
    <w:p w14:paraId="67C2B78C"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14.</w:t>
      </w:r>
      <w:r w:rsidRPr="002A54AF">
        <w:rPr>
          <w:b/>
          <w:szCs w:val="22"/>
          <w:lang w:val="pt-PT"/>
        </w:rPr>
        <w:tab/>
        <w:t>CLASSIFICAÇÃO QUANTO À DISPENSA AO PÚBLICO</w:t>
      </w:r>
    </w:p>
    <w:p w14:paraId="34086534" w14:textId="77777777" w:rsidR="00011577" w:rsidRPr="002A54AF" w:rsidRDefault="00011577" w:rsidP="00011577">
      <w:pPr>
        <w:tabs>
          <w:tab w:val="left" w:pos="567"/>
        </w:tabs>
        <w:suppressAutoHyphens/>
        <w:ind w:right="14"/>
        <w:rPr>
          <w:szCs w:val="22"/>
          <w:lang w:val="pt-PT"/>
        </w:rPr>
      </w:pPr>
    </w:p>
    <w:p w14:paraId="411F5295" w14:textId="77777777" w:rsidR="00011577" w:rsidRPr="002A54AF" w:rsidRDefault="00011577" w:rsidP="00011577">
      <w:pPr>
        <w:tabs>
          <w:tab w:val="left" w:pos="567"/>
        </w:tabs>
        <w:suppressAutoHyphens/>
        <w:ind w:right="14"/>
        <w:rPr>
          <w:szCs w:val="22"/>
          <w:lang w:val="pt-PT"/>
        </w:rPr>
      </w:pPr>
    </w:p>
    <w:p w14:paraId="69AFFE09"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15.</w:t>
      </w:r>
      <w:r w:rsidRPr="002A54AF">
        <w:rPr>
          <w:b/>
          <w:szCs w:val="22"/>
          <w:lang w:val="pt-PT"/>
        </w:rPr>
        <w:tab/>
        <w:t>INSTRUÇÕES DE UTILIZAÇÃO</w:t>
      </w:r>
    </w:p>
    <w:p w14:paraId="1FB18C4B" w14:textId="77777777" w:rsidR="00011577" w:rsidRPr="002A54AF" w:rsidRDefault="00011577" w:rsidP="00011577">
      <w:pPr>
        <w:tabs>
          <w:tab w:val="left" w:pos="567"/>
        </w:tabs>
        <w:suppressAutoHyphens/>
        <w:ind w:right="14"/>
        <w:rPr>
          <w:szCs w:val="22"/>
          <w:lang w:val="pt-PT"/>
        </w:rPr>
      </w:pPr>
    </w:p>
    <w:p w14:paraId="795FD7BC" w14:textId="77777777" w:rsidR="00011577" w:rsidRPr="002A54AF" w:rsidRDefault="00011577" w:rsidP="00011577">
      <w:pPr>
        <w:tabs>
          <w:tab w:val="left" w:pos="567"/>
        </w:tabs>
        <w:suppressAutoHyphens/>
        <w:ind w:right="14"/>
        <w:rPr>
          <w:szCs w:val="22"/>
          <w:lang w:val="pt-PT"/>
        </w:rPr>
      </w:pPr>
    </w:p>
    <w:p w14:paraId="6CE433DE"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16.</w:t>
      </w:r>
      <w:r w:rsidRPr="002A54AF">
        <w:rPr>
          <w:b/>
          <w:szCs w:val="22"/>
          <w:lang w:val="pt-PT"/>
        </w:rPr>
        <w:tab/>
        <w:t>INFORMAÇÃO EM BRAILLE</w:t>
      </w:r>
    </w:p>
    <w:p w14:paraId="09A6AD22" w14:textId="77777777" w:rsidR="00011577" w:rsidRPr="002A54AF" w:rsidRDefault="00011577" w:rsidP="00011577">
      <w:pPr>
        <w:tabs>
          <w:tab w:val="left" w:pos="567"/>
        </w:tabs>
        <w:suppressAutoHyphens/>
        <w:ind w:right="14"/>
        <w:rPr>
          <w:szCs w:val="22"/>
          <w:lang w:val="pt-PT"/>
        </w:rPr>
      </w:pPr>
    </w:p>
    <w:p w14:paraId="5A4CB0F7" w14:textId="77777777" w:rsidR="00011577" w:rsidRDefault="00011577" w:rsidP="00011577">
      <w:pPr>
        <w:tabs>
          <w:tab w:val="left" w:pos="567"/>
        </w:tabs>
        <w:suppressAutoHyphens/>
        <w:ind w:right="14"/>
        <w:rPr>
          <w:szCs w:val="22"/>
          <w:lang w:val="pt-PT"/>
        </w:rPr>
      </w:pPr>
      <w:r w:rsidRPr="002A54AF">
        <w:rPr>
          <w:szCs w:val="22"/>
          <w:lang w:val="pt-PT"/>
        </w:rPr>
        <w:t>Voriconazol Accord #200 mg</w:t>
      </w:r>
    </w:p>
    <w:p w14:paraId="4B2DD5BC" w14:textId="77777777" w:rsidR="003C075F" w:rsidRDefault="003C075F" w:rsidP="003C075F">
      <w:pPr>
        <w:rPr>
          <w:shd w:val="clear" w:color="auto" w:fill="CCCCCC"/>
          <w:lang w:val="pt-PT"/>
        </w:rPr>
      </w:pPr>
    </w:p>
    <w:p w14:paraId="386D7D9D" w14:textId="77777777" w:rsidR="003C075F" w:rsidRDefault="003C075F" w:rsidP="003C075F">
      <w:pPr>
        <w:rPr>
          <w:shd w:val="clear" w:color="auto" w:fill="CCCCCC"/>
          <w:lang w:val="pt-PT"/>
        </w:rPr>
      </w:pPr>
    </w:p>
    <w:p w14:paraId="5B78D496" w14:textId="77777777" w:rsidR="003C075F" w:rsidRPr="00FB1F20" w:rsidRDefault="003C075F" w:rsidP="003C075F">
      <w:pPr>
        <w:pBdr>
          <w:top w:val="single" w:sz="4" w:space="1" w:color="auto"/>
          <w:left w:val="single" w:sz="4" w:space="4" w:color="auto"/>
          <w:bottom w:val="single" w:sz="4" w:space="1" w:color="auto"/>
          <w:right w:val="single" w:sz="4" w:space="4" w:color="auto"/>
        </w:pBdr>
        <w:suppressAutoHyphens/>
        <w:ind w:left="567" w:hanging="567"/>
        <w:rPr>
          <w:noProof/>
          <w:szCs w:val="22"/>
          <w:shd w:val="clear" w:color="auto" w:fill="CCCCCC"/>
          <w:lang w:val="pt-PT"/>
        </w:rPr>
      </w:pPr>
      <w:r w:rsidRPr="00FB1F20">
        <w:rPr>
          <w:b/>
          <w:color w:val="000000"/>
          <w:szCs w:val="22"/>
          <w:lang w:val="pt-PT"/>
        </w:rPr>
        <w:t>17.</w:t>
      </w:r>
      <w:r w:rsidRPr="00FB1F20">
        <w:rPr>
          <w:b/>
          <w:color w:val="000000"/>
          <w:szCs w:val="22"/>
          <w:lang w:val="pt-PT"/>
        </w:rPr>
        <w:tab/>
        <w:t>IDENTIFICADOR ÚNICO – CÓDIGO DE BARRAS 2D</w:t>
      </w:r>
    </w:p>
    <w:p w14:paraId="4580758E" w14:textId="77777777" w:rsidR="003C075F" w:rsidRPr="00FB1F20" w:rsidRDefault="003C075F" w:rsidP="003C075F">
      <w:pPr>
        <w:rPr>
          <w:noProof/>
          <w:szCs w:val="22"/>
          <w:shd w:val="clear" w:color="auto" w:fill="CCCCCC"/>
          <w:lang w:val="pt-PT"/>
        </w:rPr>
      </w:pPr>
    </w:p>
    <w:p w14:paraId="6C2A941C" w14:textId="77777777" w:rsidR="003C075F" w:rsidRPr="00FB1F20" w:rsidRDefault="003C075F" w:rsidP="003C075F">
      <w:pPr>
        <w:rPr>
          <w:noProof/>
          <w:szCs w:val="22"/>
          <w:shd w:val="clear" w:color="auto" w:fill="CCCCCC"/>
          <w:lang w:val="pt-PT"/>
        </w:rPr>
      </w:pPr>
      <w:r w:rsidRPr="00165E83">
        <w:rPr>
          <w:noProof/>
          <w:szCs w:val="22"/>
          <w:shd w:val="clear" w:color="auto" w:fill="CCCCCC"/>
          <w:lang w:val="pt-PT"/>
        </w:rPr>
        <w:t>Código de barras 2D com identificador único incluído.</w:t>
      </w:r>
    </w:p>
    <w:p w14:paraId="3880F9F9" w14:textId="77777777" w:rsidR="003C075F" w:rsidRPr="00FB1F20" w:rsidRDefault="003C075F" w:rsidP="003C075F">
      <w:pPr>
        <w:rPr>
          <w:noProof/>
          <w:szCs w:val="22"/>
          <w:shd w:val="clear" w:color="auto" w:fill="CCCCCC"/>
          <w:lang w:val="pt-PT"/>
        </w:rPr>
      </w:pPr>
    </w:p>
    <w:p w14:paraId="47028C6A" w14:textId="77777777" w:rsidR="003C075F" w:rsidRPr="00FB1F20" w:rsidRDefault="003C075F" w:rsidP="003C075F">
      <w:pPr>
        <w:rPr>
          <w:noProof/>
          <w:szCs w:val="22"/>
          <w:shd w:val="clear" w:color="auto" w:fill="CCCCCC"/>
          <w:lang w:val="pt-PT"/>
        </w:rPr>
      </w:pPr>
    </w:p>
    <w:p w14:paraId="47D198DF" w14:textId="77777777" w:rsidR="003C075F" w:rsidRPr="00FB1F20" w:rsidRDefault="003C075F" w:rsidP="003C075F">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FB1F20">
        <w:rPr>
          <w:b/>
          <w:color w:val="000000"/>
          <w:szCs w:val="22"/>
          <w:lang w:val="pt-PT"/>
        </w:rPr>
        <w:t>18.</w:t>
      </w:r>
      <w:r w:rsidRPr="00FB1F20">
        <w:rPr>
          <w:b/>
          <w:color w:val="000000"/>
          <w:szCs w:val="22"/>
          <w:lang w:val="pt-PT"/>
        </w:rPr>
        <w:tab/>
        <w:t>IDENTIFICADOR ÚNICO - DADOS PARA LEITURA HUMANA</w:t>
      </w:r>
    </w:p>
    <w:p w14:paraId="4EE27F19" w14:textId="77777777" w:rsidR="003C075F" w:rsidRDefault="003C075F" w:rsidP="003C075F">
      <w:pPr>
        <w:rPr>
          <w:noProof/>
          <w:szCs w:val="22"/>
          <w:shd w:val="clear" w:color="auto" w:fill="CCCCCC"/>
          <w:lang w:val="pt-PT"/>
        </w:rPr>
      </w:pPr>
    </w:p>
    <w:p w14:paraId="6232C4FC" w14:textId="77777777" w:rsidR="003C075F" w:rsidRPr="00FB1F20" w:rsidRDefault="003C075F" w:rsidP="003C075F">
      <w:pPr>
        <w:rPr>
          <w:noProof/>
          <w:szCs w:val="22"/>
          <w:shd w:val="clear" w:color="auto" w:fill="CCCCCC"/>
          <w:lang w:val="pt-PT"/>
        </w:rPr>
      </w:pPr>
      <w:r w:rsidRPr="00FB1F20">
        <w:rPr>
          <w:noProof/>
          <w:szCs w:val="22"/>
          <w:shd w:val="clear" w:color="auto" w:fill="CCCCCC"/>
          <w:lang w:val="pt-PT"/>
        </w:rPr>
        <w:t>PC:</w:t>
      </w:r>
    </w:p>
    <w:p w14:paraId="50BBEEC2" w14:textId="77777777" w:rsidR="003C075F" w:rsidRPr="00FB1F20" w:rsidRDefault="003C075F" w:rsidP="003C075F">
      <w:pPr>
        <w:rPr>
          <w:noProof/>
          <w:szCs w:val="22"/>
          <w:shd w:val="clear" w:color="auto" w:fill="CCCCCC"/>
          <w:lang w:val="pt-PT"/>
        </w:rPr>
      </w:pPr>
      <w:r w:rsidRPr="00FB1F20">
        <w:rPr>
          <w:noProof/>
          <w:szCs w:val="22"/>
          <w:shd w:val="clear" w:color="auto" w:fill="CCCCCC"/>
          <w:lang w:val="pt-PT"/>
        </w:rPr>
        <w:t>SN:</w:t>
      </w:r>
    </w:p>
    <w:p w14:paraId="54C361F1" w14:textId="77777777" w:rsidR="003C075F" w:rsidRPr="00FB1F20" w:rsidRDefault="003C075F" w:rsidP="003C075F">
      <w:pPr>
        <w:rPr>
          <w:noProof/>
          <w:szCs w:val="22"/>
          <w:shd w:val="clear" w:color="auto" w:fill="CCCCCC"/>
          <w:lang w:val="pt-PT"/>
        </w:rPr>
      </w:pPr>
      <w:r w:rsidRPr="00FB1F20">
        <w:rPr>
          <w:noProof/>
          <w:szCs w:val="22"/>
          <w:shd w:val="clear" w:color="auto" w:fill="CCCCCC"/>
          <w:lang w:val="pt-PT"/>
        </w:rPr>
        <w:t>NN:</w:t>
      </w:r>
    </w:p>
    <w:p w14:paraId="66912FBE" w14:textId="77777777" w:rsidR="003C075F" w:rsidRPr="00314295" w:rsidRDefault="003C075F" w:rsidP="003C075F">
      <w:pPr>
        <w:widowControl w:val="0"/>
        <w:suppressAutoHyphens/>
        <w:ind w:right="14"/>
        <w:rPr>
          <w:color w:val="000000"/>
          <w:szCs w:val="22"/>
          <w:lang w:val="pt-PT"/>
        </w:rPr>
      </w:pPr>
    </w:p>
    <w:p w14:paraId="6AE17A04" w14:textId="77777777" w:rsidR="00011577" w:rsidRPr="002A54AF" w:rsidRDefault="003C075F" w:rsidP="008C3642">
      <w:pPr>
        <w:tabs>
          <w:tab w:val="left" w:pos="567"/>
        </w:tabs>
        <w:suppressAutoHyphens/>
        <w:ind w:right="14"/>
        <w:rPr>
          <w:szCs w:val="22"/>
          <w:lang w:val="pt-PT"/>
        </w:rPr>
      </w:pPr>
      <w:r w:rsidRPr="00176985">
        <w:rPr>
          <w:color w:val="000000"/>
          <w:szCs w:val="22"/>
          <w:lang w:val="pt-PT"/>
        </w:rPr>
        <w:br w:type="page"/>
      </w:r>
    </w:p>
    <w:p w14:paraId="6712DE2B" w14:textId="77777777" w:rsidR="00011577" w:rsidRPr="002A54AF" w:rsidRDefault="00011577" w:rsidP="00011577">
      <w:pPr>
        <w:tabs>
          <w:tab w:val="left" w:pos="567"/>
        </w:tabs>
        <w:suppressAutoHyphens/>
        <w:ind w:right="14"/>
        <w:rPr>
          <w:szCs w:val="22"/>
          <w:lang w:val="pt-PT"/>
        </w:rPr>
      </w:pPr>
    </w:p>
    <w:p w14:paraId="59E1F50E"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rPr>
          <w:b/>
          <w:szCs w:val="22"/>
          <w:lang w:val="pt-PT"/>
        </w:rPr>
      </w:pPr>
      <w:r w:rsidRPr="002A54AF">
        <w:rPr>
          <w:b/>
          <w:szCs w:val="22"/>
          <w:lang w:val="pt-PT"/>
        </w:rPr>
        <w:t>INDICAÇÕES MÍNIMAS A INCLUIR NAS EMBALAGENS “BLISTER” OU FITAS CONTENTORAS</w:t>
      </w:r>
    </w:p>
    <w:p w14:paraId="4C830755"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rPr>
          <w:b/>
          <w:szCs w:val="22"/>
          <w:lang w:val="pt-PT"/>
        </w:rPr>
      </w:pPr>
    </w:p>
    <w:p w14:paraId="59BD1B46" w14:textId="77777777" w:rsidR="00011577" w:rsidRPr="00FE5F8B" w:rsidRDefault="00011577" w:rsidP="00011577">
      <w:pPr>
        <w:pBdr>
          <w:top w:val="single" w:sz="4" w:space="1" w:color="auto"/>
          <w:left w:val="single" w:sz="4" w:space="4" w:color="auto"/>
          <w:bottom w:val="single" w:sz="4" w:space="1" w:color="auto"/>
          <w:right w:val="single" w:sz="4" w:space="4" w:color="auto"/>
        </w:pBdr>
        <w:tabs>
          <w:tab w:val="left" w:pos="567"/>
        </w:tabs>
        <w:suppressAutoHyphens/>
        <w:rPr>
          <w:szCs w:val="22"/>
          <w:lang w:val="pt-PT"/>
        </w:rPr>
      </w:pPr>
      <w:r w:rsidRPr="00FE5F8B">
        <w:rPr>
          <w:b/>
          <w:szCs w:val="22"/>
          <w:lang w:val="pt-PT"/>
        </w:rPr>
        <w:t>Blister (Blister de folha de alumínio dos comprimidos revestidos por película de 200 mg (todas as embalagens blister))</w:t>
      </w:r>
    </w:p>
    <w:p w14:paraId="46CC2CA3" w14:textId="77777777" w:rsidR="00011577" w:rsidRPr="002A54AF" w:rsidRDefault="00011577" w:rsidP="00011577">
      <w:pPr>
        <w:tabs>
          <w:tab w:val="left" w:pos="567"/>
        </w:tabs>
        <w:suppressAutoHyphens/>
        <w:ind w:right="14"/>
        <w:rPr>
          <w:szCs w:val="22"/>
          <w:lang w:val="pt-PT"/>
        </w:rPr>
      </w:pPr>
    </w:p>
    <w:p w14:paraId="21D94BBF" w14:textId="77777777" w:rsidR="00011577" w:rsidRPr="002A54AF" w:rsidRDefault="00011577" w:rsidP="00011577">
      <w:pPr>
        <w:tabs>
          <w:tab w:val="left" w:pos="567"/>
        </w:tabs>
        <w:suppressAutoHyphens/>
        <w:ind w:right="14"/>
        <w:rPr>
          <w:szCs w:val="22"/>
          <w:lang w:val="pt-PT"/>
        </w:rPr>
      </w:pPr>
    </w:p>
    <w:p w14:paraId="283BB2C2"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1.</w:t>
      </w:r>
      <w:r w:rsidRPr="002A54AF">
        <w:rPr>
          <w:b/>
          <w:szCs w:val="22"/>
          <w:lang w:val="pt-PT"/>
        </w:rPr>
        <w:tab/>
        <w:t>NOME DO MEDICAMENTO</w:t>
      </w:r>
    </w:p>
    <w:p w14:paraId="15458430" w14:textId="77777777" w:rsidR="00011577" w:rsidRPr="002A54AF" w:rsidRDefault="00011577" w:rsidP="00011577">
      <w:pPr>
        <w:tabs>
          <w:tab w:val="left" w:pos="567"/>
        </w:tabs>
        <w:suppressAutoHyphens/>
        <w:ind w:right="14"/>
        <w:rPr>
          <w:szCs w:val="22"/>
          <w:lang w:val="pt-PT"/>
        </w:rPr>
      </w:pPr>
    </w:p>
    <w:p w14:paraId="26ECD265" w14:textId="77777777" w:rsidR="00011577" w:rsidRPr="002A54AF" w:rsidRDefault="00011577" w:rsidP="00011577">
      <w:pPr>
        <w:tabs>
          <w:tab w:val="left" w:pos="567"/>
        </w:tabs>
        <w:suppressAutoHyphens/>
        <w:ind w:right="14"/>
        <w:rPr>
          <w:szCs w:val="22"/>
          <w:lang w:val="pt-PT"/>
        </w:rPr>
      </w:pPr>
      <w:r w:rsidRPr="002A54AF">
        <w:rPr>
          <w:szCs w:val="22"/>
          <w:lang w:val="pt-PT"/>
        </w:rPr>
        <w:t>Voriconazol Accord 200 mg comprimidos revestidos por película</w:t>
      </w:r>
    </w:p>
    <w:p w14:paraId="665045EE" w14:textId="77777777" w:rsidR="00011577" w:rsidRPr="002A54AF" w:rsidRDefault="004D7072" w:rsidP="00011577">
      <w:pPr>
        <w:tabs>
          <w:tab w:val="left" w:pos="567"/>
        </w:tabs>
        <w:suppressAutoHyphens/>
        <w:ind w:right="14"/>
        <w:rPr>
          <w:szCs w:val="22"/>
          <w:lang w:val="pt-PT"/>
        </w:rPr>
      </w:pPr>
      <w:r>
        <w:rPr>
          <w:szCs w:val="22"/>
          <w:lang w:val="pt-PT"/>
        </w:rPr>
        <w:t>v</w:t>
      </w:r>
      <w:r w:rsidRPr="002A54AF">
        <w:rPr>
          <w:szCs w:val="22"/>
          <w:lang w:val="pt-PT"/>
        </w:rPr>
        <w:t>oriconazol</w:t>
      </w:r>
    </w:p>
    <w:p w14:paraId="3097A21D" w14:textId="77777777" w:rsidR="00011577" w:rsidRPr="002A54AF" w:rsidRDefault="00011577" w:rsidP="00011577">
      <w:pPr>
        <w:tabs>
          <w:tab w:val="left" w:pos="567"/>
        </w:tabs>
        <w:suppressAutoHyphens/>
        <w:ind w:right="14"/>
        <w:rPr>
          <w:szCs w:val="22"/>
          <w:lang w:val="pt-PT"/>
        </w:rPr>
      </w:pPr>
    </w:p>
    <w:p w14:paraId="44330688" w14:textId="77777777" w:rsidR="00011577" w:rsidRPr="002A54AF" w:rsidRDefault="00011577" w:rsidP="00011577">
      <w:pPr>
        <w:tabs>
          <w:tab w:val="left" w:pos="567"/>
        </w:tabs>
        <w:suppressAutoHyphens/>
        <w:ind w:right="14"/>
        <w:rPr>
          <w:szCs w:val="22"/>
          <w:lang w:val="pt-PT"/>
        </w:rPr>
      </w:pPr>
    </w:p>
    <w:p w14:paraId="748E5AA2"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2.</w:t>
      </w:r>
      <w:r w:rsidRPr="002A54AF">
        <w:rPr>
          <w:b/>
          <w:szCs w:val="22"/>
          <w:lang w:val="pt-PT"/>
        </w:rPr>
        <w:tab/>
        <w:t>NOME DO TITULAR DA AUTORIZAÇÃO DE INTRODUÇÃO NO MERCADO</w:t>
      </w:r>
    </w:p>
    <w:p w14:paraId="1437E0C8" w14:textId="77777777" w:rsidR="00011577" w:rsidRPr="002A54AF" w:rsidRDefault="00011577" w:rsidP="00011577">
      <w:pPr>
        <w:tabs>
          <w:tab w:val="left" w:pos="567"/>
        </w:tabs>
        <w:suppressAutoHyphens/>
        <w:ind w:right="14"/>
        <w:rPr>
          <w:szCs w:val="22"/>
          <w:lang w:val="pt-PT"/>
        </w:rPr>
      </w:pPr>
    </w:p>
    <w:p w14:paraId="3EB709BC" w14:textId="77777777" w:rsidR="00011577" w:rsidRPr="002A54AF" w:rsidRDefault="00011577" w:rsidP="00011577">
      <w:pPr>
        <w:tabs>
          <w:tab w:val="left" w:pos="567"/>
        </w:tabs>
        <w:suppressAutoHyphens/>
        <w:ind w:right="14"/>
        <w:rPr>
          <w:szCs w:val="22"/>
          <w:lang w:val="pt-PT"/>
        </w:rPr>
      </w:pPr>
      <w:r w:rsidRPr="002A54AF">
        <w:rPr>
          <w:szCs w:val="22"/>
          <w:lang w:val="pt-PT"/>
        </w:rPr>
        <w:t>Accord</w:t>
      </w:r>
    </w:p>
    <w:p w14:paraId="0EFD4A2A" w14:textId="77777777" w:rsidR="00011577" w:rsidRPr="002A54AF" w:rsidRDefault="00011577" w:rsidP="00011577">
      <w:pPr>
        <w:tabs>
          <w:tab w:val="left" w:pos="567"/>
        </w:tabs>
        <w:suppressAutoHyphens/>
        <w:ind w:right="14"/>
        <w:rPr>
          <w:szCs w:val="22"/>
          <w:lang w:val="pt-PT"/>
        </w:rPr>
      </w:pPr>
    </w:p>
    <w:p w14:paraId="2612F112" w14:textId="77777777" w:rsidR="00011577" w:rsidRPr="002A54AF" w:rsidRDefault="00011577" w:rsidP="00011577">
      <w:pPr>
        <w:tabs>
          <w:tab w:val="left" w:pos="567"/>
        </w:tabs>
        <w:suppressAutoHyphens/>
        <w:ind w:right="14"/>
        <w:rPr>
          <w:szCs w:val="22"/>
          <w:lang w:val="pt-PT"/>
        </w:rPr>
      </w:pPr>
    </w:p>
    <w:p w14:paraId="3FB701C7"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3.</w:t>
      </w:r>
      <w:r w:rsidRPr="002A54AF">
        <w:rPr>
          <w:b/>
          <w:szCs w:val="22"/>
          <w:lang w:val="pt-PT"/>
        </w:rPr>
        <w:tab/>
        <w:t>PRAZO DE VALIDADE</w:t>
      </w:r>
    </w:p>
    <w:p w14:paraId="6ACBF8A5" w14:textId="77777777" w:rsidR="00011577" w:rsidRPr="002A54AF" w:rsidRDefault="00011577" w:rsidP="00011577">
      <w:pPr>
        <w:tabs>
          <w:tab w:val="left" w:pos="567"/>
        </w:tabs>
        <w:suppressAutoHyphens/>
        <w:ind w:right="14"/>
        <w:rPr>
          <w:szCs w:val="22"/>
          <w:lang w:val="pt-PT"/>
        </w:rPr>
      </w:pPr>
    </w:p>
    <w:p w14:paraId="2E0ECB7A" w14:textId="77777777" w:rsidR="00011577" w:rsidRPr="002A54AF" w:rsidRDefault="00011577" w:rsidP="00011577">
      <w:pPr>
        <w:tabs>
          <w:tab w:val="left" w:pos="567"/>
        </w:tabs>
        <w:suppressAutoHyphens/>
        <w:ind w:right="14"/>
        <w:rPr>
          <w:szCs w:val="22"/>
          <w:lang w:val="pt-PT"/>
        </w:rPr>
      </w:pPr>
      <w:r w:rsidRPr="002A54AF">
        <w:rPr>
          <w:szCs w:val="22"/>
          <w:lang w:val="pt-PT"/>
        </w:rPr>
        <w:t>EXP</w:t>
      </w:r>
    </w:p>
    <w:p w14:paraId="08A0D2C7" w14:textId="77777777" w:rsidR="00011577" w:rsidRPr="002A54AF" w:rsidRDefault="00011577" w:rsidP="00011577">
      <w:pPr>
        <w:tabs>
          <w:tab w:val="left" w:pos="567"/>
        </w:tabs>
        <w:suppressAutoHyphens/>
        <w:ind w:right="14"/>
        <w:rPr>
          <w:szCs w:val="22"/>
          <w:lang w:val="pt-PT"/>
        </w:rPr>
      </w:pPr>
    </w:p>
    <w:p w14:paraId="1CC2CC66" w14:textId="77777777" w:rsidR="00011577" w:rsidRPr="002A54AF" w:rsidRDefault="00011577" w:rsidP="00011577">
      <w:pPr>
        <w:tabs>
          <w:tab w:val="left" w:pos="567"/>
        </w:tabs>
        <w:suppressAutoHyphens/>
        <w:ind w:right="14"/>
        <w:rPr>
          <w:szCs w:val="22"/>
          <w:lang w:val="pt-PT"/>
        </w:rPr>
      </w:pPr>
    </w:p>
    <w:p w14:paraId="7828300E"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4.</w:t>
      </w:r>
      <w:r w:rsidRPr="002A54AF">
        <w:rPr>
          <w:b/>
          <w:szCs w:val="22"/>
          <w:lang w:val="pt-PT"/>
        </w:rPr>
        <w:tab/>
        <w:t>NÚMERO DO LOTE</w:t>
      </w:r>
    </w:p>
    <w:p w14:paraId="38C88278" w14:textId="77777777" w:rsidR="00011577" w:rsidRPr="002A54AF" w:rsidRDefault="00011577" w:rsidP="00011577">
      <w:pPr>
        <w:tabs>
          <w:tab w:val="left" w:pos="567"/>
        </w:tabs>
        <w:suppressAutoHyphens/>
        <w:ind w:right="14"/>
        <w:rPr>
          <w:szCs w:val="22"/>
          <w:lang w:val="pt-PT"/>
        </w:rPr>
      </w:pPr>
    </w:p>
    <w:p w14:paraId="7F421952" w14:textId="77777777" w:rsidR="00011577" w:rsidRPr="002A54AF" w:rsidRDefault="00011577" w:rsidP="00011577">
      <w:pPr>
        <w:tabs>
          <w:tab w:val="left" w:pos="567"/>
        </w:tabs>
        <w:suppressAutoHyphens/>
        <w:ind w:right="14"/>
        <w:rPr>
          <w:szCs w:val="22"/>
          <w:lang w:val="pt-PT"/>
        </w:rPr>
      </w:pPr>
      <w:r w:rsidRPr="002A54AF">
        <w:rPr>
          <w:szCs w:val="22"/>
          <w:lang w:val="pt-PT"/>
        </w:rPr>
        <w:t xml:space="preserve">Lot </w:t>
      </w:r>
    </w:p>
    <w:p w14:paraId="25D255ED" w14:textId="77777777" w:rsidR="00011577" w:rsidRPr="002A54AF" w:rsidRDefault="00011577" w:rsidP="00011577">
      <w:pPr>
        <w:tabs>
          <w:tab w:val="left" w:pos="567"/>
        </w:tabs>
        <w:suppressAutoHyphens/>
        <w:ind w:right="14"/>
        <w:rPr>
          <w:szCs w:val="22"/>
          <w:lang w:val="pt-PT"/>
        </w:rPr>
      </w:pPr>
    </w:p>
    <w:p w14:paraId="113737BF" w14:textId="77777777" w:rsidR="00011577" w:rsidRPr="002A54AF" w:rsidRDefault="00011577" w:rsidP="00011577">
      <w:pPr>
        <w:tabs>
          <w:tab w:val="left" w:pos="567"/>
        </w:tabs>
        <w:suppressAutoHyphens/>
        <w:ind w:right="14"/>
        <w:rPr>
          <w:szCs w:val="22"/>
          <w:lang w:val="pt-PT"/>
        </w:rPr>
      </w:pPr>
    </w:p>
    <w:p w14:paraId="0E625B47" w14:textId="77777777" w:rsidR="00011577" w:rsidRPr="002A54AF" w:rsidRDefault="00011577" w:rsidP="00011577">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lang w:val="pt-PT"/>
        </w:rPr>
      </w:pPr>
      <w:r w:rsidRPr="002A54AF">
        <w:rPr>
          <w:b/>
          <w:szCs w:val="22"/>
          <w:lang w:val="pt-PT"/>
        </w:rPr>
        <w:t>5.</w:t>
      </w:r>
      <w:r w:rsidRPr="002A54AF">
        <w:rPr>
          <w:b/>
          <w:szCs w:val="22"/>
          <w:lang w:val="pt-PT"/>
        </w:rPr>
        <w:tab/>
        <w:t>OUTRAS</w:t>
      </w:r>
    </w:p>
    <w:p w14:paraId="6E5471CE" w14:textId="77777777" w:rsidR="00011577" w:rsidRPr="002A54AF" w:rsidRDefault="00011577" w:rsidP="00011577">
      <w:pPr>
        <w:tabs>
          <w:tab w:val="left" w:pos="567"/>
        </w:tabs>
        <w:suppressAutoHyphens/>
        <w:ind w:right="14"/>
        <w:rPr>
          <w:szCs w:val="22"/>
          <w:lang w:val="pt-PT"/>
        </w:rPr>
      </w:pPr>
    </w:p>
    <w:p w14:paraId="389EE2D3" w14:textId="77777777" w:rsidR="00011577" w:rsidRPr="002A54AF" w:rsidRDefault="00011577" w:rsidP="00011577">
      <w:pPr>
        <w:tabs>
          <w:tab w:val="left" w:pos="567"/>
        </w:tabs>
        <w:suppressAutoHyphens/>
        <w:ind w:right="14"/>
        <w:rPr>
          <w:szCs w:val="22"/>
          <w:lang w:val="pt-PT"/>
        </w:rPr>
      </w:pPr>
    </w:p>
    <w:p w14:paraId="42707D36" w14:textId="77777777" w:rsidR="00011577" w:rsidRPr="002A54AF" w:rsidRDefault="00011577" w:rsidP="00011577">
      <w:pPr>
        <w:tabs>
          <w:tab w:val="left" w:pos="567"/>
        </w:tabs>
        <w:suppressAutoHyphens/>
        <w:ind w:right="14"/>
        <w:rPr>
          <w:szCs w:val="22"/>
          <w:lang w:val="pt-PT"/>
        </w:rPr>
      </w:pPr>
      <w:r w:rsidRPr="002A54AF">
        <w:rPr>
          <w:szCs w:val="22"/>
          <w:lang w:val="pt-PT"/>
        </w:rPr>
        <w:br w:type="page"/>
      </w:r>
    </w:p>
    <w:p w14:paraId="7080622C" w14:textId="77777777" w:rsidR="00011577" w:rsidRPr="002A54AF" w:rsidRDefault="00011577" w:rsidP="00011577">
      <w:pPr>
        <w:tabs>
          <w:tab w:val="left" w:pos="567"/>
        </w:tabs>
        <w:suppressAutoHyphens/>
        <w:rPr>
          <w:szCs w:val="22"/>
          <w:lang w:val="pt-PT"/>
        </w:rPr>
      </w:pPr>
    </w:p>
    <w:p w14:paraId="08431EDC" w14:textId="77777777" w:rsidR="00011577" w:rsidRPr="002A54AF" w:rsidRDefault="00011577" w:rsidP="00011577">
      <w:pPr>
        <w:tabs>
          <w:tab w:val="left" w:pos="567"/>
        </w:tabs>
        <w:suppressAutoHyphens/>
        <w:rPr>
          <w:szCs w:val="22"/>
          <w:lang w:val="pt-PT"/>
        </w:rPr>
      </w:pPr>
    </w:p>
    <w:p w14:paraId="12038E8E" w14:textId="77777777" w:rsidR="00011577" w:rsidRPr="002A54AF" w:rsidRDefault="00011577" w:rsidP="00011577">
      <w:pPr>
        <w:tabs>
          <w:tab w:val="left" w:pos="567"/>
        </w:tabs>
        <w:suppressAutoHyphens/>
        <w:rPr>
          <w:szCs w:val="22"/>
          <w:lang w:val="pt-PT"/>
        </w:rPr>
      </w:pPr>
    </w:p>
    <w:p w14:paraId="2D808CA4" w14:textId="77777777" w:rsidR="00011577" w:rsidRPr="002A54AF" w:rsidRDefault="00011577" w:rsidP="00011577">
      <w:pPr>
        <w:tabs>
          <w:tab w:val="left" w:pos="567"/>
        </w:tabs>
        <w:suppressAutoHyphens/>
        <w:rPr>
          <w:szCs w:val="22"/>
          <w:lang w:val="pt-PT"/>
        </w:rPr>
      </w:pPr>
    </w:p>
    <w:p w14:paraId="37A04C1E" w14:textId="77777777" w:rsidR="00011577" w:rsidRPr="002A54AF" w:rsidRDefault="00011577" w:rsidP="00011577">
      <w:pPr>
        <w:tabs>
          <w:tab w:val="left" w:pos="567"/>
        </w:tabs>
        <w:suppressAutoHyphens/>
        <w:rPr>
          <w:szCs w:val="22"/>
          <w:lang w:val="pt-PT"/>
        </w:rPr>
      </w:pPr>
    </w:p>
    <w:p w14:paraId="1B94DAE4" w14:textId="77777777" w:rsidR="00011577" w:rsidRPr="002A54AF" w:rsidRDefault="00011577" w:rsidP="00011577">
      <w:pPr>
        <w:tabs>
          <w:tab w:val="left" w:pos="567"/>
        </w:tabs>
        <w:suppressAutoHyphens/>
        <w:rPr>
          <w:szCs w:val="22"/>
          <w:lang w:val="pt-PT"/>
        </w:rPr>
      </w:pPr>
    </w:p>
    <w:p w14:paraId="389E14F3" w14:textId="77777777" w:rsidR="00011577" w:rsidRPr="002A54AF" w:rsidRDefault="00011577" w:rsidP="00011577">
      <w:pPr>
        <w:tabs>
          <w:tab w:val="left" w:pos="567"/>
        </w:tabs>
        <w:suppressAutoHyphens/>
        <w:rPr>
          <w:szCs w:val="22"/>
          <w:lang w:val="pt-PT"/>
        </w:rPr>
      </w:pPr>
    </w:p>
    <w:p w14:paraId="239689FE" w14:textId="77777777" w:rsidR="00011577" w:rsidRPr="002A54AF" w:rsidRDefault="00011577" w:rsidP="00011577">
      <w:pPr>
        <w:tabs>
          <w:tab w:val="left" w:pos="567"/>
        </w:tabs>
        <w:suppressAutoHyphens/>
        <w:rPr>
          <w:szCs w:val="22"/>
          <w:lang w:val="pt-PT"/>
        </w:rPr>
      </w:pPr>
    </w:p>
    <w:p w14:paraId="61389556" w14:textId="77777777" w:rsidR="00011577" w:rsidRPr="002A54AF" w:rsidRDefault="00011577" w:rsidP="00011577">
      <w:pPr>
        <w:tabs>
          <w:tab w:val="left" w:pos="567"/>
        </w:tabs>
        <w:suppressAutoHyphens/>
        <w:rPr>
          <w:szCs w:val="22"/>
          <w:lang w:val="pt-PT"/>
        </w:rPr>
      </w:pPr>
    </w:p>
    <w:p w14:paraId="52C5E9B2" w14:textId="77777777" w:rsidR="00CE59DC" w:rsidRPr="002A54AF" w:rsidRDefault="00CE59DC" w:rsidP="00011577">
      <w:pPr>
        <w:tabs>
          <w:tab w:val="left" w:pos="567"/>
        </w:tabs>
        <w:suppressAutoHyphens/>
        <w:rPr>
          <w:szCs w:val="22"/>
          <w:lang w:val="pt-PT"/>
        </w:rPr>
      </w:pPr>
    </w:p>
    <w:p w14:paraId="0DA32942" w14:textId="77777777" w:rsidR="00CE59DC" w:rsidRPr="002A54AF" w:rsidRDefault="00CE59DC" w:rsidP="00011577">
      <w:pPr>
        <w:tabs>
          <w:tab w:val="left" w:pos="567"/>
        </w:tabs>
        <w:suppressAutoHyphens/>
        <w:rPr>
          <w:szCs w:val="22"/>
          <w:lang w:val="pt-PT"/>
        </w:rPr>
      </w:pPr>
    </w:p>
    <w:p w14:paraId="4772896A" w14:textId="77777777" w:rsidR="00CE59DC" w:rsidRPr="002A54AF" w:rsidRDefault="00CE59DC" w:rsidP="00011577">
      <w:pPr>
        <w:tabs>
          <w:tab w:val="left" w:pos="567"/>
        </w:tabs>
        <w:suppressAutoHyphens/>
        <w:rPr>
          <w:szCs w:val="22"/>
          <w:lang w:val="pt-PT"/>
        </w:rPr>
      </w:pPr>
    </w:p>
    <w:p w14:paraId="100E8971" w14:textId="77777777" w:rsidR="00CE59DC" w:rsidRPr="002A54AF" w:rsidRDefault="00CE59DC" w:rsidP="00011577">
      <w:pPr>
        <w:tabs>
          <w:tab w:val="left" w:pos="567"/>
        </w:tabs>
        <w:suppressAutoHyphens/>
        <w:rPr>
          <w:szCs w:val="22"/>
          <w:lang w:val="pt-PT"/>
        </w:rPr>
      </w:pPr>
    </w:p>
    <w:p w14:paraId="18BB770A" w14:textId="77777777" w:rsidR="00011577" w:rsidRPr="002A54AF" w:rsidRDefault="00011577" w:rsidP="00011577">
      <w:pPr>
        <w:tabs>
          <w:tab w:val="left" w:pos="567"/>
        </w:tabs>
        <w:suppressAutoHyphens/>
        <w:rPr>
          <w:szCs w:val="22"/>
          <w:lang w:val="pt-PT"/>
        </w:rPr>
      </w:pPr>
    </w:p>
    <w:p w14:paraId="6AD27CF1" w14:textId="77777777" w:rsidR="00011577" w:rsidRPr="002A54AF" w:rsidRDefault="00011577" w:rsidP="00011577">
      <w:pPr>
        <w:tabs>
          <w:tab w:val="left" w:pos="567"/>
        </w:tabs>
        <w:suppressAutoHyphens/>
        <w:rPr>
          <w:szCs w:val="22"/>
          <w:lang w:val="pt-PT"/>
        </w:rPr>
      </w:pPr>
    </w:p>
    <w:p w14:paraId="2810203D" w14:textId="77777777" w:rsidR="00011577" w:rsidRPr="002A54AF" w:rsidRDefault="00011577" w:rsidP="00011577">
      <w:pPr>
        <w:tabs>
          <w:tab w:val="left" w:pos="567"/>
        </w:tabs>
        <w:suppressAutoHyphens/>
        <w:rPr>
          <w:szCs w:val="22"/>
          <w:lang w:val="pt-PT"/>
        </w:rPr>
      </w:pPr>
    </w:p>
    <w:p w14:paraId="0DB19337" w14:textId="77777777" w:rsidR="00011577" w:rsidRPr="002A54AF" w:rsidRDefault="00011577" w:rsidP="00011577">
      <w:pPr>
        <w:tabs>
          <w:tab w:val="left" w:pos="567"/>
        </w:tabs>
        <w:suppressAutoHyphens/>
        <w:rPr>
          <w:szCs w:val="22"/>
          <w:lang w:val="pt-PT"/>
        </w:rPr>
      </w:pPr>
    </w:p>
    <w:p w14:paraId="70694A4B" w14:textId="77777777" w:rsidR="00011577" w:rsidRPr="002A54AF" w:rsidRDefault="00011577" w:rsidP="00011577">
      <w:pPr>
        <w:tabs>
          <w:tab w:val="left" w:pos="567"/>
        </w:tabs>
        <w:suppressAutoHyphens/>
        <w:rPr>
          <w:szCs w:val="22"/>
          <w:lang w:val="pt-PT"/>
        </w:rPr>
      </w:pPr>
    </w:p>
    <w:p w14:paraId="12540A9F" w14:textId="77777777" w:rsidR="00011577" w:rsidRPr="002A54AF" w:rsidRDefault="00011577" w:rsidP="00011577">
      <w:pPr>
        <w:tabs>
          <w:tab w:val="left" w:pos="567"/>
        </w:tabs>
        <w:suppressAutoHyphens/>
        <w:rPr>
          <w:szCs w:val="22"/>
          <w:lang w:val="pt-PT"/>
        </w:rPr>
      </w:pPr>
    </w:p>
    <w:p w14:paraId="3D28347A" w14:textId="77777777" w:rsidR="00011577" w:rsidRPr="002A54AF" w:rsidRDefault="00011577" w:rsidP="00011577">
      <w:pPr>
        <w:tabs>
          <w:tab w:val="left" w:pos="567"/>
        </w:tabs>
        <w:suppressAutoHyphens/>
        <w:rPr>
          <w:szCs w:val="22"/>
          <w:lang w:val="pt-PT"/>
        </w:rPr>
      </w:pPr>
    </w:p>
    <w:p w14:paraId="4A72076F" w14:textId="77777777" w:rsidR="00011577" w:rsidRPr="002A54AF" w:rsidRDefault="00011577" w:rsidP="00011577">
      <w:pPr>
        <w:tabs>
          <w:tab w:val="left" w:pos="567"/>
        </w:tabs>
        <w:suppressAutoHyphens/>
        <w:rPr>
          <w:szCs w:val="22"/>
          <w:lang w:val="pt-PT"/>
        </w:rPr>
      </w:pPr>
    </w:p>
    <w:p w14:paraId="1394025F" w14:textId="77777777" w:rsidR="00011577" w:rsidRPr="002A54AF" w:rsidRDefault="00011577" w:rsidP="00011577">
      <w:pPr>
        <w:tabs>
          <w:tab w:val="left" w:pos="567"/>
        </w:tabs>
        <w:suppressAutoHyphens/>
        <w:rPr>
          <w:szCs w:val="22"/>
          <w:lang w:val="pt-PT"/>
        </w:rPr>
      </w:pPr>
    </w:p>
    <w:p w14:paraId="302BB035" w14:textId="77777777" w:rsidR="00011577" w:rsidRPr="002A54AF" w:rsidRDefault="00011577" w:rsidP="00C4485D">
      <w:pPr>
        <w:pStyle w:val="17"/>
      </w:pPr>
      <w:r w:rsidRPr="002A54AF">
        <w:t>B. FOLHETO INFORMATIVO</w:t>
      </w:r>
    </w:p>
    <w:p w14:paraId="1713B5DA" w14:textId="77777777" w:rsidR="00011577" w:rsidRPr="002A54AF" w:rsidRDefault="00011577" w:rsidP="009240EB">
      <w:pPr>
        <w:tabs>
          <w:tab w:val="left" w:pos="567"/>
        </w:tabs>
        <w:suppressAutoHyphens/>
        <w:rPr>
          <w:b/>
          <w:szCs w:val="22"/>
          <w:lang w:val="pt-PT"/>
        </w:rPr>
      </w:pPr>
      <w:r w:rsidRPr="002A54AF">
        <w:rPr>
          <w:szCs w:val="22"/>
          <w:lang w:val="pt-PT"/>
        </w:rPr>
        <w:br w:type="page"/>
      </w:r>
    </w:p>
    <w:p w14:paraId="6A342271" w14:textId="77777777" w:rsidR="00011577" w:rsidRPr="002A54AF" w:rsidRDefault="00011577" w:rsidP="00011577">
      <w:pPr>
        <w:tabs>
          <w:tab w:val="left" w:pos="567"/>
        </w:tabs>
        <w:suppressAutoHyphens/>
        <w:jc w:val="center"/>
        <w:rPr>
          <w:b/>
          <w:szCs w:val="22"/>
          <w:lang w:val="pt-PT"/>
        </w:rPr>
      </w:pPr>
      <w:r w:rsidRPr="002A54AF">
        <w:rPr>
          <w:b/>
          <w:szCs w:val="22"/>
          <w:lang w:val="pt-PT"/>
        </w:rPr>
        <w:lastRenderedPageBreak/>
        <w:t>Folheto informativo: Informação para o utilizador</w:t>
      </w:r>
    </w:p>
    <w:p w14:paraId="6D1A365E" w14:textId="77777777" w:rsidR="00011577" w:rsidRPr="002A54AF" w:rsidRDefault="00011577" w:rsidP="00011577">
      <w:pPr>
        <w:tabs>
          <w:tab w:val="left" w:pos="567"/>
        </w:tabs>
        <w:suppressAutoHyphens/>
        <w:jc w:val="center"/>
        <w:rPr>
          <w:b/>
          <w:szCs w:val="22"/>
          <w:lang w:val="pt-PT"/>
        </w:rPr>
      </w:pPr>
    </w:p>
    <w:p w14:paraId="21A4B4E1" w14:textId="77777777" w:rsidR="00011577" w:rsidRPr="002A54AF" w:rsidRDefault="00011577" w:rsidP="00011577">
      <w:pPr>
        <w:tabs>
          <w:tab w:val="left" w:pos="567"/>
        </w:tabs>
        <w:suppressAutoHyphens/>
        <w:jc w:val="center"/>
        <w:rPr>
          <w:b/>
          <w:szCs w:val="22"/>
          <w:lang w:val="pt-PT"/>
        </w:rPr>
      </w:pPr>
      <w:r w:rsidRPr="002A54AF">
        <w:rPr>
          <w:b/>
          <w:szCs w:val="22"/>
          <w:lang w:val="pt-PT"/>
        </w:rPr>
        <w:t>Voriconazol Accord 50 mg comprimidos revestidos por película</w:t>
      </w:r>
    </w:p>
    <w:p w14:paraId="46BBD19D" w14:textId="77777777" w:rsidR="00011577" w:rsidRPr="002A54AF" w:rsidRDefault="00011577" w:rsidP="00011577">
      <w:pPr>
        <w:tabs>
          <w:tab w:val="left" w:pos="567"/>
        </w:tabs>
        <w:suppressAutoHyphens/>
        <w:jc w:val="center"/>
        <w:rPr>
          <w:b/>
          <w:szCs w:val="22"/>
          <w:lang w:val="pt-PT"/>
        </w:rPr>
      </w:pPr>
      <w:r w:rsidRPr="002A54AF">
        <w:rPr>
          <w:b/>
          <w:szCs w:val="22"/>
          <w:lang w:val="pt-PT"/>
        </w:rPr>
        <w:t>Voriconazol Accord 200 mg comprimidos revestidos por película</w:t>
      </w:r>
    </w:p>
    <w:p w14:paraId="2E653E84" w14:textId="77777777" w:rsidR="00011577" w:rsidRPr="002A54AF" w:rsidRDefault="009C444C" w:rsidP="00011577">
      <w:pPr>
        <w:tabs>
          <w:tab w:val="left" w:pos="567"/>
        </w:tabs>
        <w:suppressAutoHyphens/>
        <w:jc w:val="center"/>
        <w:rPr>
          <w:szCs w:val="22"/>
          <w:lang w:val="pt-PT"/>
        </w:rPr>
      </w:pPr>
      <w:r>
        <w:rPr>
          <w:szCs w:val="22"/>
          <w:lang w:val="pt-PT"/>
        </w:rPr>
        <w:t>v</w:t>
      </w:r>
      <w:r w:rsidRPr="002A54AF">
        <w:rPr>
          <w:szCs w:val="22"/>
          <w:lang w:val="pt-PT"/>
        </w:rPr>
        <w:t>oriconazol</w:t>
      </w:r>
    </w:p>
    <w:p w14:paraId="7D1C168E" w14:textId="77777777" w:rsidR="00011577" w:rsidRPr="002A54AF" w:rsidRDefault="00011577" w:rsidP="00011577">
      <w:pPr>
        <w:tabs>
          <w:tab w:val="left" w:pos="567"/>
        </w:tabs>
        <w:suppressAutoHyphens/>
        <w:rPr>
          <w:szCs w:val="22"/>
          <w:lang w:val="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80"/>
      </w:tblGrid>
      <w:tr w:rsidR="00011577" w:rsidRPr="002A54AF" w14:paraId="7C470B53" w14:textId="77777777" w:rsidTr="00011577">
        <w:tc>
          <w:tcPr>
            <w:tcW w:w="9180" w:type="dxa"/>
            <w:tcBorders>
              <w:top w:val="nil"/>
              <w:left w:val="nil"/>
              <w:bottom w:val="nil"/>
              <w:right w:val="nil"/>
            </w:tcBorders>
          </w:tcPr>
          <w:p w14:paraId="399A462A" w14:textId="77777777" w:rsidR="00011577" w:rsidRPr="002A54AF" w:rsidRDefault="00011577" w:rsidP="00011577">
            <w:pPr>
              <w:tabs>
                <w:tab w:val="left" w:pos="567"/>
              </w:tabs>
              <w:rPr>
                <w:szCs w:val="22"/>
                <w:lang w:val="pt-PT"/>
              </w:rPr>
            </w:pPr>
            <w:r w:rsidRPr="002A54AF">
              <w:rPr>
                <w:b/>
                <w:szCs w:val="22"/>
                <w:lang w:val="pt-PT"/>
              </w:rPr>
              <w:t>Leia com atenção todo este folheto antes de começar a tomar este medicamento, pois contém informação importante para si.</w:t>
            </w:r>
          </w:p>
          <w:p w14:paraId="6E828768" w14:textId="77777777" w:rsidR="00011577" w:rsidRPr="002A54AF" w:rsidRDefault="00011577" w:rsidP="00011577">
            <w:pPr>
              <w:numPr>
                <w:ilvl w:val="0"/>
                <w:numId w:val="1"/>
              </w:numPr>
              <w:ind w:left="440" w:hanging="440"/>
              <w:rPr>
                <w:szCs w:val="22"/>
                <w:lang w:val="pt-PT"/>
              </w:rPr>
            </w:pPr>
            <w:r w:rsidRPr="002A54AF">
              <w:rPr>
                <w:szCs w:val="22"/>
                <w:lang w:val="pt-PT"/>
              </w:rPr>
              <w:t>Conserve este folheto. Pode ter necessidade de o ler novamente.</w:t>
            </w:r>
          </w:p>
          <w:p w14:paraId="20918BEE" w14:textId="77777777" w:rsidR="00011577" w:rsidRPr="002A54AF" w:rsidRDefault="00011577" w:rsidP="00011577">
            <w:pPr>
              <w:numPr>
                <w:ilvl w:val="0"/>
                <w:numId w:val="1"/>
              </w:numPr>
              <w:ind w:left="440" w:hanging="440"/>
              <w:rPr>
                <w:szCs w:val="22"/>
                <w:lang w:val="pt-PT"/>
              </w:rPr>
            </w:pPr>
            <w:r w:rsidRPr="002A54AF">
              <w:rPr>
                <w:szCs w:val="22"/>
                <w:lang w:val="pt-PT"/>
              </w:rPr>
              <w:t>Caso ainda tenha dúvidas, fale com o seu médico</w:t>
            </w:r>
            <w:r w:rsidR="008D23D3" w:rsidRPr="002A54AF">
              <w:rPr>
                <w:szCs w:val="22"/>
                <w:lang w:val="pt-PT"/>
              </w:rPr>
              <w:t>,</w:t>
            </w:r>
            <w:r w:rsidRPr="002A54AF">
              <w:rPr>
                <w:szCs w:val="22"/>
                <w:lang w:val="pt-PT"/>
              </w:rPr>
              <w:t xml:space="preserve"> farmacêutico</w:t>
            </w:r>
            <w:r w:rsidR="008D23D3" w:rsidRPr="002A54AF">
              <w:rPr>
                <w:szCs w:val="22"/>
                <w:lang w:val="pt-PT"/>
              </w:rPr>
              <w:t xml:space="preserve"> ou enfermeiro</w:t>
            </w:r>
            <w:r w:rsidRPr="002A54AF">
              <w:rPr>
                <w:szCs w:val="22"/>
                <w:lang w:val="pt-PT"/>
              </w:rPr>
              <w:t>.</w:t>
            </w:r>
          </w:p>
          <w:p w14:paraId="0AB1F9B6" w14:textId="77777777" w:rsidR="00011577" w:rsidRPr="002A54AF" w:rsidRDefault="00011577" w:rsidP="00011577">
            <w:pPr>
              <w:numPr>
                <w:ilvl w:val="0"/>
                <w:numId w:val="1"/>
              </w:numPr>
              <w:ind w:left="440" w:hanging="440"/>
              <w:rPr>
                <w:b/>
                <w:szCs w:val="22"/>
                <w:lang w:val="pt-PT"/>
              </w:rPr>
            </w:pPr>
            <w:r w:rsidRPr="002A54AF">
              <w:rPr>
                <w:szCs w:val="22"/>
                <w:lang w:val="pt-PT"/>
              </w:rPr>
              <w:t>Este medicamento foi receitado apenas para si. Não deve dá-lo a outros. O medicamento pode ser-lhes prejudicial mesmo que apresentem os mesmos sinais de doença.</w:t>
            </w:r>
          </w:p>
          <w:p w14:paraId="68C58332" w14:textId="77777777" w:rsidR="00011577" w:rsidRPr="002A54AF" w:rsidRDefault="00011577" w:rsidP="00753EB6">
            <w:pPr>
              <w:numPr>
                <w:ilvl w:val="0"/>
                <w:numId w:val="1"/>
              </w:numPr>
              <w:ind w:left="440" w:hanging="440"/>
              <w:rPr>
                <w:b/>
                <w:szCs w:val="22"/>
                <w:lang w:val="pt-PT"/>
              </w:rPr>
            </w:pPr>
            <w:r w:rsidRPr="002A54AF">
              <w:rPr>
                <w:szCs w:val="22"/>
                <w:lang w:val="pt-PT"/>
              </w:rPr>
              <w:t>Se tiver quaisquer efeitos secundários, incluindo possíveis efeitos secundários não indicados neste folheto, fale com o seu médico</w:t>
            </w:r>
            <w:r w:rsidR="008D23D3" w:rsidRPr="002A54AF">
              <w:rPr>
                <w:szCs w:val="22"/>
                <w:lang w:val="pt-PT"/>
              </w:rPr>
              <w:t>,</w:t>
            </w:r>
            <w:r w:rsidRPr="002A54AF">
              <w:rPr>
                <w:szCs w:val="22"/>
                <w:lang w:val="pt-PT"/>
              </w:rPr>
              <w:t xml:space="preserve"> farmacêutico</w:t>
            </w:r>
            <w:r w:rsidR="008D23D3" w:rsidRPr="002A54AF">
              <w:rPr>
                <w:szCs w:val="22"/>
                <w:lang w:val="pt-PT"/>
              </w:rPr>
              <w:t xml:space="preserve"> ou enfermeiro</w:t>
            </w:r>
            <w:r w:rsidR="00753EB6" w:rsidRPr="002A54AF">
              <w:rPr>
                <w:szCs w:val="22"/>
                <w:lang w:val="pt-PT"/>
              </w:rPr>
              <w:t>.</w:t>
            </w:r>
            <w:r w:rsidR="008D23D3" w:rsidRPr="002A54AF">
              <w:rPr>
                <w:szCs w:val="22"/>
                <w:lang w:val="pt-PT"/>
              </w:rPr>
              <w:t xml:space="preserve"> </w:t>
            </w:r>
            <w:r w:rsidR="00753EB6" w:rsidRPr="002A54AF">
              <w:rPr>
                <w:szCs w:val="22"/>
                <w:lang w:val="pt-PT"/>
              </w:rPr>
              <w:t>V</w:t>
            </w:r>
            <w:r w:rsidR="008D23D3" w:rsidRPr="002A54AF">
              <w:rPr>
                <w:szCs w:val="22"/>
                <w:lang w:val="pt-PT"/>
              </w:rPr>
              <w:t>er secção 4</w:t>
            </w:r>
            <w:r w:rsidRPr="002A54AF">
              <w:rPr>
                <w:szCs w:val="22"/>
                <w:lang w:val="pt-PT"/>
              </w:rPr>
              <w:t>.</w:t>
            </w:r>
          </w:p>
        </w:tc>
      </w:tr>
    </w:tbl>
    <w:p w14:paraId="4C8A5A26" w14:textId="77777777" w:rsidR="00011577" w:rsidRPr="002A54AF" w:rsidRDefault="00011577" w:rsidP="00011577">
      <w:pPr>
        <w:tabs>
          <w:tab w:val="left" w:pos="567"/>
        </w:tabs>
        <w:rPr>
          <w:szCs w:val="22"/>
          <w:lang w:val="pt-PT"/>
        </w:rPr>
      </w:pPr>
    </w:p>
    <w:p w14:paraId="72B14C54" w14:textId="77777777" w:rsidR="00A572B3" w:rsidRDefault="00011577" w:rsidP="00011577">
      <w:pPr>
        <w:tabs>
          <w:tab w:val="left" w:pos="567"/>
        </w:tabs>
        <w:suppressAutoHyphens/>
        <w:rPr>
          <w:bCs/>
          <w:szCs w:val="22"/>
          <w:lang w:val="pt-PT"/>
        </w:rPr>
      </w:pPr>
      <w:r w:rsidRPr="00CB39F3">
        <w:rPr>
          <w:b/>
          <w:szCs w:val="22"/>
          <w:lang w:val="pt-PT"/>
        </w:rPr>
        <w:t>O que contém este folheto:</w:t>
      </w:r>
      <w:r w:rsidRPr="00A572B3">
        <w:rPr>
          <w:bCs/>
          <w:szCs w:val="22"/>
          <w:lang w:val="pt-PT"/>
        </w:rPr>
        <w:t xml:space="preserve"> </w:t>
      </w:r>
    </w:p>
    <w:p w14:paraId="16CA1B45" w14:textId="77777777" w:rsidR="00011577" w:rsidRPr="00CB39F3" w:rsidRDefault="00011577" w:rsidP="00011577">
      <w:pPr>
        <w:tabs>
          <w:tab w:val="left" w:pos="567"/>
        </w:tabs>
        <w:suppressAutoHyphens/>
        <w:rPr>
          <w:szCs w:val="22"/>
          <w:lang w:val="pt-PT"/>
        </w:rPr>
      </w:pPr>
    </w:p>
    <w:p w14:paraId="6284D725" w14:textId="77777777" w:rsidR="00011577" w:rsidRPr="002A54AF" w:rsidRDefault="00011577" w:rsidP="00011577">
      <w:pPr>
        <w:numPr>
          <w:ilvl w:val="0"/>
          <w:numId w:val="2"/>
        </w:numPr>
        <w:tabs>
          <w:tab w:val="left" w:pos="567"/>
        </w:tabs>
        <w:suppressAutoHyphens/>
        <w:ind w:left="0" w:firstLine="0"/>
        <w:rPr>
          <w:szCs w:val="22"/>
          <w:lang w:val="pt-PT"/>
        </w:rPr>
      </w:pPr>
      <w:r w:rsidRPr="002A54AF">
        <w:rPr>
          <w:szCs w:val="22"/>
          <w:lang w:val="pt-PT"/>
        </w:rPr>
        <w:t>O que é Voriconazol Accord e para que é utilizado</w:t>
      </w:r>
    </w:p>
    <w:p w14:paraId="1D3E7F4F" w14:textId="77777777" w:rsidR="00011577" w:rsidRPr="002A54AF" w:rsidRDefault="00011577" w:rsidP="00011577">
      <w:pPr>
        <w:numPr>
          <w:ilvl w:val="0"/>
          <w:numId w:val="2"/>
        </w:numPr>
        <w:tabs>
          <w:tab w:val="left" w:pos="567"/>
        </w:tabs>
        <w:suppressAutoHyphens/>
        <w:ind w:left="0" w:firstLine="0"/>
        <w:rPr>
          <w:szCs w:val="22"/>
          <w:lang w:val="pt-PT"/>
        </w:rPr>
      </w:pPr>
      <w:r w:rsidRPr="002A54AF">
        <w:rPr>
          <w:szCs w:val="22"/>
          <w:lang w:val="pt-PT"/>
        </w:rPr>
        <w:t>O que precisa de saber antes de tomar Voriconazol Accord</w:t>
      </w:r>
    </w:p>
    <w:p w14:paraId="01A6BD83" w14:textId="77777777" w:rsidR="00011577" w:rsidRPr="002A54AF" w:rsidRDefault="00011577" w:rsidP="00011577">
      <w:pPr>
        <w:numPr>
          <w:ilvl w:val="0"/>
          <w:numId w:val="2"/>
        </w:numPr>
        <w:tabs>
          <w:tab w:val="left" w:pos="567"/>
        </w:tabs>
        <w:suppressAutoHyphens/>
        <w:ind w:left="0" w:firstLine="0"/>
        <w:rPr>
          <w:szCs w:val="22"/>
          <w:lang w:val="pt-PT"/>
        </w:rPr>
      </w:pPr>
      <w:r w:rsidRPr="002A54AF">
        <w:rPr>
          <w:szCs w:val="22"/>
          <w:lang w:val="pt-PT"/>
        </w:rPr>
        <w:t>Como tomar Voriconazol Accord</w:t>
      </w:r>
    </w:p>
    <w:p w14:paraId="74C10CD3" w14:textId="77777777" w:rsidR="00011577" w:rsidRPr="002A54AF" w:rsidRDefault="00011577" w:rsidP="00011577">
      <w:pPr>
        <w:numPr>
          <w:ilvl w:val="0"/>
          <w:numId w:val="2"/>
        </w:numPr>
        <w:tabs>
          <w:tab w:val="left" w:pos="567"/>
        </w:tabs>
        <w:suppressAutoHyphens/>
        <w:ind w:left="0" w:firstLine="0"/>
        <w:rPr>
          <w:szCs w:val="22"/>
          <w:lang w:val="pt-PT"/>
        </w:rPr>
      </w:pPr>
      <w:r w:rsidRPr="002A54AF">
        <w:rPr>
          <w:szCs w:val="22"/>
          <w:lang w:val="pt-PT"/>
        </w:rPr>
        <w:t>Efeitos secundários possíveis</w:t>
      </w:r>
    </w:p>
    <w:p w14:paraId="2D15EA60" w14:textId="77777777" w:rsidR="00011577" w:rsidRPr="002A54AF" w:rsidRDefault="00011577" w:rsidP="00011577">
      <w:pPr>
        <w:numPr>
          <w:ilvl w:val="0"/>
          <w:numId w:val="2"/>
        </w:numPr>
        <w:tabs>
          <w:tab w:val="left" w:pos="567"/>
        </w:tabs>
        <w:suppressAutoHyphens/>
        <w:ind w:left="0" w:firstLine="0"/>
        <w:rPr>
          <w:szCs w:val="22"/>
          <w:lang w:val="pt-PT"/>
        </w:rPr>
      </w:pPr>
      <w:r w:rsidRPr="002A54AF">
        <w:rPr>
          <w:szCs w:val="22"/>
          <w:lang w:val="pt-PT"/>
        </w:rPr>
        <w:t>Como conservar Voriconazol Accord</w:t>
      </w:r>
    </w:p>
    <w:p w14:paraId="3CCD1D4C" w14:textId="77777777" w:rsidR="00011577" w:rsidRPr="002A54AF" w:rsidRDefault="00011577" w:rsidP="00011577">
      <w:pPr>
        <w:tabs>
          <w:tab w:val="left" w:pos="567"/>
        </w:tabs>
        <w:rPr>
          <w:szCs w:val="22"/>
          <w:lang w:val="pt-PT"/>
        </w:rPr>
      </w:pPr>
      <w:r w:rsidRPr="002A54AF">
        <w:rPr>
          <w:szCs w:val="22"/>
          <w:lang w:val="pt-PT"/>
        </w:rPr>
        <w:t>6.</w:t>
      </w:r>
      <w:r w:rsidRPr="002A54AF">
        <w:rPr>
          <w:szCs w:val="22"/>
          <w:lang w:val="pt-PT"/>
        </w:rPr>
        <w:tab/>
        <w:t>Conteúdo da embalagem e outras informações</w:t>
      </w:r>
    </w:p>
    <w:p w14:paraId="23E9BDD5" w14:textId="77777777" w:rsidR="00011577" w:rsidRPr="002A54AF" w:rsidRDefault="00011577" w:rsidP="00011577">
      <w:pPr>
        <w:tabs>
          <w:tab w:val="left" w:pos="567"/>
        </w:tabs>
        <w:suppressAutoHyphens/>
        <w:rPr>
          <w:szCs w:val="22"/>
          <w:lang w:val="pt-PT"/>
        </w:rPr>
      </w:pPr>
    </w:p>
    <w:p w14:paraId="59246A52" w14:textId="77777777" w:rsidR="00011577" w:rsidRPr="002A54AF" w:rsidRDefault="00011577" w:rsidP="00011577">
      <w:pPr>
        <w:tabs>
          <w:tab w:val="left" w:pos="567"/>
        </w:tabs>
        <w:suppressAutoHyphens/>
        <w:rPr>
          <w:szCs w:val="22"/>
          <w:lang w:val="pt-PT"/>
        </w:rPr>
      </w:pPr>
    </w:p>
    <w:p w14:paraId="650FB2BD" w14:textId="77777777" w:rsidR="00011577" w:rsidRPr="002A54AF" w:rsidRDefault="00011577" w:rsidP="00011577">
      <w:pPr>
        <w:tabs>
          <w:tab w:val="left" w:pos="567"/>
        </w:tabs>
        <w:suppressAutoHyphens/>
        <w:rPr>
          <w:szCs w:val="22"/>
          <w:lang w:val="pt-PT"/>
        </w:rPr>
      </w:pPr>
      <w:r w:rsidRPr="002A54AF">
        <w:rPr>
          <w:b/>
          <w:szCs w:val="22"/>
          <w:lang w:val="pt-PT"/>
        </w:rPr>
        <w:t>1.</w:t>
      </w:r>
      <w:r w:rsidRPr="002A54AF">
        <w:rPr>
          <w:b/>
          <w:szCs w:val="22"/>
          <w:lang w:val="pt-PT"/>
        </w:rPr>
        <w:tab/>
        <w:t>O que é Voriconazol Accord e para que é utilizado</w:t>
      </w:r>
    </w:p>
    <w:p w14:paraId="2648EC88" w14:textId="77777777" w:rsidR="00011577" w:rsidRPr="002A54AF" w:rsidRDefault="00011577" w:rsidP="00011577">
      <w:pPr>
        <w:tabs>
          <w:tab w:val="left" w:pos="567"/>
        </w:tabs>
        <w:suppressAutoHyphens/>
        <w:rPr>
          <w:szCs w:val="22"/>
          <w:lang w:val="pt-PT"/>
        </w:rPr>
      </w:pPr>
    </w:p>
    <w:p w14:paraId="56A6D826" w14:textId="77777777" w:rsidR="00011577" w:rsidRPr="002A54AF" w:rsidRDefault="00011577" w:rsidP="00011577">
      <w:pPr>
        <w:tabs>
          <w:tab w:val="left" w:pos="567"/>
        </w:tabs>
        <w:suppressAutoHyphens/>
        <w:rPr>
          <w:szCs w:val="22"/>
          <w:lang w:val="pt-PT"/>
        </w:rPr>
      </w:pPr>
      <w:r w:rsidRPr="002A54AF">
        <w:rPr>
          <w:szCs w:val="22"/>
          <w:lang w:val="pt-PT"/>
        </w:rPr>
        <w:t>Voriconazol Accord contém a substância ativa voriconazol. Voriconazol Accord é um medicamento antifúngico. Atua por destruição ou paragem do crescimento destes fungos que causam infeções.</w:t>
      </w:r>
    </w:p>
    <w:p w14:paraId="59BF133A" w14:textId="77777777" w:rsidR="00011577" w:rsidRPr="002A54AF" w:rsidRDefault="00011577" w:rsidP="00011577">
      <w:pPr>
        <w:tabs>
          <w:tab w:val="left" w:pos="567"/>
        </w:tabs>
        <w:suppressAutoHyphens/>
        <w:rPr>
          <w:szCs w:val="22"/>
          <w:lang w:val="pt-PT"/>
        </w:rPr>
      </w:pPr>
    </w:p>
    <w:p w14:paraId="125187B7" w14:textId="77777777" w:rsidR="00011577" w:rsidRPr="002A54AF" w:rsidRDefault="00011577" w:rsidP="00011577">
      <w:pPr>
        <w:tabs>
          <w:tab w:val="left" w:pos="567"/>
        </w:tabs>
        <w:suppressAutoHyphens/>
        <w:rPr>
          <w:szCs w:val="22"/>
          <w:lang w:val="pt-PT"/>
        </w:rPr>
      </w:pPr>
      <w:r w:rsidRPr="002A54AF">
        <w:rPr>
          <w:szCs w:val="22"/>
          <w:lang w:val="pt-PT"/>
        </w:rPr>
        <w:t>É utilizado para o tratamento de doentes (adultos e crianças com idade superior a 2</w:t>
      </w:r>
      <w:r w:rsidR="0020636B" w:rsidRPr="002A54AF">
        <w:rPr>
          <w:szCs w:val="22"/>
          <w:lang w:val="pt-PT"/>
        </w:rPr>
        <w:t> </w:t>
      </w:r>
      <w:r w:rsidRPr="002A54AF">
        <w:rPr>
          <w:szCs w:val="22"/>
          <w:lang w:val="pt-PT"/>
        </w:rPr>
        <w:t>anos) com:</w:t>
      </w:r>
    </w:p>
    <w:p w14:paraId="5CD043AE" w14:textId="77777777" w:rsidR="00011577" w:rsidRPr="002A54AF" w:rsidRDefault="00011577" w:rsidP="00011577">
      <w:pPr>
        <w:numPr>
          <w:ilvl w:val="0"/>
          <w:numId w:val="11"/>
        </w:numPr>
        <w:tabs>
          <w:tab w:val="left" w:pos="567"/>
        </w:tabs>
        <w:suppressAutoHyphens/>
        <w:rPr>
          <w:szCs w:val="22"/>
          <w:lang w:val="pt-PT"/>
        </w:rPr>
      </w:pPr>
      <w:r w:rsidRPr="002A54AF">
        <w:rPr>
          <w:szCs w:val="22"/>
          <w:lang w:val="pt-PT"/>
        </w:rPr>
        <w:t xml:space="preserve">aspergilose invasiva (um tipo de infeção fúngica devida a </w:t>
      </w:r>
      <w:r w:rsidRPr="002A54AF">
        <w:rPr>
          <w:i/>
          <w:szCs w:val="22"/>
          <w:lang w:val="pt-PT"/>
        </w:rPr>
        <w:t>Aspergillus sp.</w:t>
      </w:r>
      <w:r w:rsidRPr="002A54AF">
        <w:rPr>
          <w:szCs w:val="22"/>
          <w:lang w:val="pt-PT"/>
        </w:rPr>
        <w:t>),</w:t>
      </w:r>
    </w:p>
    <w:p w14:paraId="3CC16000" w14:textId="77777777" w:rsidR="00011577" w:rsidRPr="002A54AF" w:rsidRDefault="00011577" w:rsidP="00011577">
      <w:pPr>
        <w:numPr>
          <w:ilvl w:val="0"/>
          <w:numId w:val="11"/>
        </w:numPr>
        <w:tabs>
          <w:tab w:val="left" w:pos="567"/>
        </w:tabs>
        <w:suppressAutoHyphens/>
        <w:rPr>
          <w:szCs w:val="22"/>
          <w:lang w:val="pt-PT"/>
        </w:rPr>
      </w:pPr>
      <w:r w:rsidRPr="002A54AF">
        <w:rPr>
          <w:szCs w:val="22"/>
          <w:lang w:val="pt-PT"/>
        </w:rPr>
        <w:t xml:space="preserve">candidemia (outro tipo de infeção fúngica devida a </w:t>
      </w:r>
      <w:r w:rsidRPr="002A54AF">
        <w:rPr>
          <w:i/>
          <w:szCs w:val="22"/>
          <w:lang w:val="pt-PT"/>
        </w:rPr>
        <w:t>Candida sp.</w:t>
      </w:r>
      <w:r w:rsidRPr="002A54AF">
        <w:rPr>
          <w:szCs w:val="22"/>
          <w:lang w:val="pt-PT"/>
        </w:rPr>
        <w:t>), em doentes não-neutropénicos (doentes sem contagem de glóbulos brancos anormalmente baixa),</w:t>
      </w:r>
    </w:p>
    <w:p w14:paraId="618CA827" w14:textId="77777777" w:rsidR="00011577" w:rsidRPr="002A54AF" w:rsidRDefault="00011577" w:rsidP="00011577">
      <w:pPr>
        <w:numPr>
          <w:ilvl w:val="0"/>
          <w:numId w:val="11"/>
        </w:numPr>
        <w:tabs>
          <w:tab w:val="left" w:pos="567"/>
        </w:tabs>
        <w:suppressAutoHyphens/>
        <w:rPr>
          <w:szCs w:val="22"/>
          <w:lang w:val="pt-PT"/>
        </w:rPr>
      </w:pPr>
      <w:r w:rsidRPr="002A54AF">
        <w:rPr>
          <w:szCs w:val="22"/>
          <w:lang w:val="pt-PT"/>
        </w:rPr>
        <w:t xml:space="preserve">infeções invasivas graves por </w:t>
      </w:r>
      <w:r w:rsidRPr="002A54AF">
        <w:rPr>
          <w:i/>
          <w:szCs w:val="22"/>
          <w:lang w:val="pt-PT"/>
        </w:rPr>
        <w:t>Candida sp.</w:t>
      </w:r>
      <w:r w:rsidRPr="002A54AF">
        <w:rPr>
          <w:szCs w:val="22"/>
          <w:lang w:val="pt-PT"/>
        </w:rPr>
        <w:t>, quando o fungo é resistente ao fluconazol (outro medicamento antifúngico),</w:t>
      </w:r>
    </w:p>
    <w:p w14:paraId="6C1BDD4C" w14:textId="77777777" w:rsidR="00011577" w:rsidRPr="002A54AF" w:rsidRDefault="00011577" w:rsidP="00011577">
      <w:pPr>
        <w:numPr>
          <w:ilvl w:val="0"/>
          <w:numId w:val="11"/>
        </w:numPr>
        <w:tabs>
          <w:tab w:val="left" w:pos="567"/>
        </w:tabs>
        <w:suppressAutoHyphens/>
        <w:rPr>
          <w:szCs w:val="22"/>
          <w:lang w:val="pt-PT"/>
        </w:rPr>
      </w:pPr>
      <w:r w:rsidRPr="002A54AF">
        <w:rPr>
          <w:szCs w:val="22"/>
          <w:lang w:val="pt-PT"/>
        </w:rPr>
        <w:t xml:space="preserve">infeções fúngicas graves causadas por </w:t>
      </w:r>
      <w:r w:rsidRPr="002A54AF">
        <w:rPr>
          <w:i/>
          <w:szCs w:val="22"/>
          <w:lang w:val="pt-PT"/>
        </w:rPr>
        <w:t>Scedosporium sp.</w:t>
      </w:r>
      <w:r w:rsidRPr="002A54AF">
        <w:rPr>
          <w:szCs w:val="22"/>
          <w:lang w:val="pt-PT"/>
        </w:rPr>
        <w:t xml:space="preserve"> ou </w:t>
      </w:r>
      <w:r w:rsidRPr="002A54AF">
        <w:rPr>
          <w:i/>
          <w:szCs w:val="22"/>
          <w:lang w:val="pt-PT"/>
        </w:rPr>
        <w:t>Fusarium sp.</w:t>
      </w:r>
      <w:r w:rsidRPr="002A54AF">
        <w:rPr>
          <w:szCs w:val="22"/>
          <w:lang w:val="pt-PT"/>
        </w:rPr>
        <w:t xml:space="preserve"> (duas espécies diferentes de fungos).</w:t>
      </w:r>
    </w:p>
    <w:p w14:paraId="0405937D" w14:textId="77777777" w:rsidR="00011577" w:rsidRPr="002A54AF" w:rsidRDefault="00011577" w:rsidP="00011577">
      <w:pPr>
        <w:tabs>
          <w:tab w:val="left" w:pos="567"/>
        </w:tabs>
        <w:suppressAutoHyphens/>
        <w:rPr>
          <w:szCs w:val="22"/>
          <w:lang w:val="pt-PT"/>
        </w:rPr>
      </w:pPr>
    </w:p>
    <w:p w14:paraId="64F7E505" w14:textId="77777777" w:rsidR="00011577" w:rsidRPr="002A54AF" w:rsidRDefault="00011577" w:rsidP="00011577">
      <w:pPr>
        <w:tabs>
          <w:tab w:val="left" w:pos="567"/>
        </w:tabs>
        <w:suppressAutoHyphens/>
        <w:rPr>
          <w:szCs w:val="22"/>
          <w:lang w:val="pt-PT"/>
        </w:rPr>
      </w:pPr>
      <w:r w:rsidRPr="002A54AF">
        <w:rPr>
          <w:szCs w:val="22"/>
          <w:lang w:val="pt-PT"/>
        </w:rPr>
        <w:t>Voriconazol Accord destina-se a doentes com infeções fúngicas graves, possivelmente com risco de vida.</w:t>
      </w:r>
    </w:p>
    <w:p w14:paraId="1519DD04" w14:textId="77777777" w:rsidR="00011577" w:rsidRPr="002A54AF" w:rsidRDefault="00011577" w:rsidP="00011577">
      <w:pPr>
        <w:tabs>
          <w:tab w:val="left" w:pos="567"/>
        </w:tabs>
        <w:suppressAutoHyphens/>
        <w:rPr>
          <w:b/>
          <w:szCs w:val="22"/>
          <w:lang w:val="pt-PT"/>
        </w:rPr>
      </w:pPr>
    </w:p>
    <w:p w14:paraId="1C40A105" w14:textId="77777777" w:rsidR="008D23D3" w:rsidRPr="002A54AF" w:rsidRDefault="008D23D3" w:rsidP="00011577">
      <w:pPr>
        <w:tabs>
          <w:tab w:val="left" w:pos="567"/>
        </w:tabs>
        <w:suppressAutoHyphens/>
        <w:rPr>
          <w:szCs w:val="22"/>
          <w:lang w:val="pt-PT"/>
        </w:rPr>
      </w:pPr>
      <w:r w:rsidRPr="002A54AF">
        <w:rPr>
          <w:szCs w:val="22"/>
          <w:lang w:val="pt-PT"/>
        </w:rPr>
        <w:t>Prevenção de infeções fúngicas em recetores de transplante de medula óssea de elevado de risco.</w:t>
      </w:r>
    </w:p>
    <w:p w14:paraId="766E09FD" w14:textId="77777777" w:rsidR="008D23D3" w:rsidRPr="002A54AF" w:rsidRDefault="008D23D3" w:rsidP="00011577">
      <w:pPr>
        <w:tabs>
          <w:tab w:val="left" w:pos="567"/>
        </w:tabs>
        <w:suppressAutoHyphens/>
        <w:rPr>
          <w:b/>
          <w:szCs w:val="22"/>
          <w:lang w:val="pt-PT"/>
        </w:rPr>
      </w:pPr>
    </w:p>
    <w:p w14:paraId="7682328E" w14:textId="77777777" w:rsidR="00011577" w:rsidRPr="002A54AF" w:rsidRDefault="00011577" w:rsidP="00011577">
      <w:pPr>
        <w:tabs>
          <w:tab w:val="left" w:pos="567"/>
        </w:tabs>
        <w:suppressAutoHyphens/>
        <w:rPr>
          <w:szCs w:val="22"/>
          <w:lang w:val="pt-PT"/>
        </w:rPr>
      </w:pPr>
      <w:r w:rsidRPr="002A54AF">
        <w:rPr>
          <w:szCs w:val="22"/>
          <w:lang w:val="pt-PT"/>
        </w:rPr>
        <w:t xml:space="preserve">Este medicamento deve apenas ser utilizado sob supervisão de um médico. </w:t>
      </w:r>
    </w:p>
    <w:p w14:paraId="7BDA7754" w14:textId="77777777" w:rsidR="00011577" w:rsidRPr="002A54AF" w:rsidRDefault="00011577" w:rsidP="00011577">
      <w:pPr>
        <w:tabs>
          <w:tab w:val="left" w:pos="567"/>
        </w:tabs>
        <w:suppressAutoHyphens/>
        <w:rPr>
          <w:szCs w:val="22"/>
          <w:lang w:val="pt-PT"/>
        </w:rPr>
      </w:pPr>
    </w:p>
    <w:p w14:paraId="0720DA90" w14:textId="77777777" w:rsidR="00011577" w:rsidRPr="002A54AF" w:rsidRDefault="00011577" w:rsidP="00011577">
      <w:pPr>
        <w:tabs>
          <w:tab w:val="left" w:pos="567"/>
        </w:tabs>
        <w:suppressAutoHyphens/>
        <w:rPr>
          <w:szCs w:val="22"/>
          <w:lang w:val="pt-PT"/>
        </w:rPr>
      </w:pPr>
    </w:p>
    <w:p w14:paraId="126D8255" w14:textId="77777777" w:rsidR="00011577" w:rsidRPr="002A54AF" w:rsidRDefault="00011577" w:rsidP="00011577">
      <w:pPr>
        <w:tabs>
          <w:tab w:val="left" w:pos="567"/>
        </w:tabs>
        <w:suppressAutoHyphens/>
        <w:rPr>
          <w:b/>
          <w:szCs w:val="22"/>
          <w:lang w:val="pt-PT"/>
        </w:rPr>
      </w:pPr>
      <w:r w:rsidRPr="002A54AF">
        <w:rPr>
          <w:b/>
          <w:szCs w:val="22"/>
          <w:lang w:val="pt-PT"/>
        </w:rPr>
        <w:t>2.</w:t>
      </w:r>
      <w:r w:rsidRPr="002A54AF">
        <w:rPr>
          <w:b/>
          <w:szCs w:val="22"/>
          <w:lang w:val="pt-PT"/>
        </w:rPr>
        <w:tab/>
        <w:t>O que precisa de saber antes de tomar Voriconazol Accord</w:t>
      </w:r>
    </w:p>
    <w:p w14:paraId="0E2DBD51" w14:textId="77777777" w:rsidR="00011577" w:rsidRPr="002A54AF" w:rsidRDefault="00011577" w:rsidP="00011577">
      <w:pPr>
        <w:tabs>
          <w:tab w:val="left" w:pos="567"/>
        </w:tabs>
        <w:suppressAutoHyphens/>
        <w:rPr>
          <w:szCs w:val="22"/>
          <w:lang w:val="pt-PT"/>
        </w:rPr>
      </w:pPr>
    </w:p>
    <w:p w14:paraId="0BC47604" w14:textId="77777777" w:rsidR="00011577" w:rsidRPr="002A54AF" w:rsidRDefault="00011577" w:rsidP="00011577">
      <w:pPr>
        <w:tabs>
          <w:tab w:val="left" w:pos="567"/>
        </w:tabs>
        <w:suppressAutoHyphens/>
        <w:rPr>
          <w:szCs w:val="22"/>
          <w:lang w:val="pt-PT"/>
        </w:rPr>
      </w:pPr>
      <w:r w:rsidRPr="002A54AF">
        <w:rPr>
          <w:b/>
          <w:szCs w:val="22"/>
          <w:lang w:val="pt-PT"/>
        </w:rPr>
        <w:t>Não tome Voriconazol Accord</w:t>
      </w:r>
    </w:p>
    <w:p w14:paraId="0AF023AA" w14:textId="77777777" w:rsidR="00011577" w:rsidRPr="002A54AF" w:rsidRDefault="00011577" w:rsidP="00E72BDD">
      <w:pPr>
        <w:numPr>
          <w:ilvl w:val="0"/>
          <w:numId w:val="10"/>
        </w:numPr>
        <w:tabs>
          <w:tab w:val="left" w:pos="567"/>
        </w:tabs>
        <w:ind w:left="0" w:firstLine="0"/>
        <w:rPr>
          <w:szCs w:val="22"/>
          <w:lang w:val="pt-PT"/>
        </w:rPr>
      </w:pPr>
      <w:r w:rsidRPr="002A54AF">
        <w:rPr>
          <w:szCs w:val="22"/>
          <w:lang w:val="pt-PT"/>
        </w:rPr>
        <w:t>se tem alergia ao voriconazol ou a qualquer outro componente de</w:t>
      </w:r>
      <w:r w:rsidR="00753EB6" w:rsidRPr="002A54AF">
        <w:rPr>
          <w:szCs w:val="22"/>
          <w:lang w:val="pt-PT"/>
        </w:rPr>
        <w:t>ste medicamento</w:t>
      </w:r>
      <w:r w:rsidRPr="002A54AF">
        <w:rPr>
          <w:szCs w:val="22"/>
          <w:lang w:val="pt-PT"/>
        </w:rPr>
        <w:t xml:space="preserve"> (indicados na secção</w:t>
      </w:r>
      <w:r w:rsidR="0017325D" w:rsidRPr="002A54AF">
        <w:rPr>
          <w:szCs w:val="22"/>
          <w:lang w:val="pt-PT"/>
        </w:rPr>
        <w:t> </w:t>
      </w:r>
      <w:r w:rsidRPr="002A54AF">
        <w:rPr>
          <w:szCs w:val="22"/>
          <w:lang w:val="pt-PT"/>
        </w:rPr>
        <w:t>6).</w:t>
      </w:r>
    </w:p>
    <w:p w14:paraId="3994EAAE" w14:textId="77777777" w:rsidR="00011577" w:rsidRPr="002A54AF" w:rsidRDefault="00011577" w:rsidP="00011577">
      <w:pPr>
        <w:tabs>
          <w:tab w:val="left" w:pos="567"/>
        </w:tabs>
        <w:suppressAutoHyphens/>
        <w:rPr>
          <w:szCs w:val="22"/>
          <w:lang w:val="pt-PT"/>
        </w:rPr>
      </w:pPr>
    </w:p>
    <w:p w14:paraId="20FBD859" w14:textId="77777777" w:rsidR="00011577" w:rsidRPr="002A54AF" w:rsidRDefault="00011577" w:rsidP="00011577">
      <w:pPr>
        <w:tabs>
          <w:tab w:val="left" w:pos="567"/>
        </w:tabs>
        <w:suppressAutoHyphens/>
        <w:rPr>
          <w:szCs w:val="22"/>
          <w:lang w:val="pt-PT"/>
        </w:rPr>
      </w:pPr>
      <w:r w:rsidRPr="002A54AF">
        <w:rPr>
          <w:szCs w:val="22"/>
          <w:lang w:val="pt-PT"/>
        </w:rPr>
        <w:t xml:space="preserve">É muito importante que informe o seu médico ou farmacêutico se está a tomar ou tomou quaisquer outros medicamentos, mesmo aqueles que são obtidos sem receita médica, ou medicamentos à base de plantas. </w:t>
      </w:r>
    </w:p>
    <w:p w14:paraId="78A79E94" w14:textId="77777777" w:rsidR="00011577" w:rsidRPr="002A54AF" w:rsidRDefault="00011577" w:rsidP="00011577">
      <w:pPr>
        <w:tabs>
          <w:tab w:val="left" w:pos="567"/>
        </w:tabs>
        <w:suppressAutoHyphens/>
        <w:rPr>
          <w:szCs w:val="22"/>
          <w:lang w:val="pt-PT"/>
        </w:rPr>
      </w:pPr>
    </w:p>
    <w:p w14:paraId="517B8236" w14:textId="77777777" w:rsidR="00011577" w:rsidRPr="002A54AF" w:rsidRDefault="00011577" w:rsidP="00011577">
      <w:pPr>
        <w:tabs>
          <w:tab w:val="left" w:pos="567"/>
        </w:tabs>
        <w:suppressAutoHyphens/>
        <w:rPr>
          <w:szCs w:val="22"/>
          <w:lang w:val="pt-PT"/>
        </w:rPr>
      </w:pPr>
      <w:r w:rsidRPr="002A54AF">
        <w:rPr>
          <w:szCs w:val="22"/>
          <w:lang w:val="pt-PT"/>
        </w:rPr>
        <w:lastRenderedPageBreak/>
        <w:t>Os medicamentos descritos na lista seguinte não podem ser tomados durante o tratamento com Voriconazol Accord:</w:t>
      </w:r>
    </w:p>
    <w:p w14:paraId="0A3F2192" w14:textId="77777777" w:rsidR="00011577" w:rsidRPr="002A54AF" w:rsidRDefault="00011577" w:rsidP="00011577">
      <w:pPr>
        <w:tabs>
          <w:tab w:val="left" w:pos="567"/>
        </w:tabs>
        <w:suppressAutoHyphens/>
        <w:rPr>
          <w:szCs w:val="22"/>
          <w:lang w:val="pt-PT"/>
        </w:rPr>
      </w:pPr>
    </w:p>
    <w:p w14:paraId="32F78A3F" w14:textId="77777777" w:rsidR="00011577" w:rsidRPr="002A54AF" w:rsidRDefault="00011577" w:rsidP="00E72BDD">
      <w:pPr>
        <w:numPr>
          <w:ilvl w:val="0"/>
          <w:numId w:val="6"/>
        </w:numPr>
        <w:tabs>
          <w:tab w:val="clear" w:pos="360"/>
          <w:tab w:val="left" w:pos="567"/>
        </w:tabs>
        <w:suppressAutoHyphens/>
        <w:ind w:left="0" w:firstLine="0"/>
        <w:rPr>
          <w:szCs w:val="22"/>
          <w:lang w:val="pt-PT"/>
        </w:rPr>
      </w:pPr>
      <w:r w:rsidRPr="002A54AF">
        <w:rPr>
          <w:szCs w:val="22"/>
          <w:lang w:val="pt-PT"/>
        </w:rPr>
        <w:t>Terfenadina (utilizado para as alergias)</w:t>
      </w:r>
    </w:p>
    <w:p w14:paraId="5D7F732B" w14:textId="77777777" w:rsidR="00011577" w:rsidRPr="002A54AF" w:rsidRDefault="00011577" w:rsidP="00E72BDD">
      <w:pPr>
        <w:numPr>
          <w:ilvl w:val="0"/>
          <w:numId w:val="6"/>
        </w:numPr>
        <w:tabs>
          <w:tab w:val="clear" w:pos="360"/>
          <w:tab w:val="left" w:pos="567"/>
        </w:tabs>
        <w:suppressAutoHyphens/>
        <w:ind w:left="0" w:firstLine="0"/>
        <w:rPr>
          <w:szCs w:val="22"/>
          <w:lang w:val="pt-PT"/>
        </w:rPr>
      </w:pPr>
      <w:r w:rsidRPr="002A54AF">
        <w:rPr>
          <w:szCs w:val="22"/>
          <w:lang w:val="pt-PT"/>
        </w:rPr>
        <w:t>Astemizol (utilizado para as alergias)</w:t>
      </w:r>
    </w:p>
    <w:p w14:paraId="7D72221E" w14:textId="77777777" w:rsidR="00011577" w:rsidRPr="002A54AF" w:rsidRDefault="00011577" w:rsidP="00E72BDD">
      <w:pPr>
        <w:numPr>
          <w:ilvl w:val="0"/>
          <w:numId w:val="6"/>
        </w:numPr>
        <w:tabs>
          <w:tab w:val="clear" w:pos="360"/>
          <w:tab w:val="left" w:pos="567"/>
        </w:tabs>
        <w:suppressAutoHyphens/>
        <w:ind w:left="0" w:firstLine="0"/>
        <w:rPr>
          <w:szCs w:val="22"/>
          <w:lang w:val="pt-PT"/>
        </w:rPr>
      </w:pPr>
      <w:r w:rsidRPr="002A54AF">
        <w:rPr>
          <w:szCs w:val="22"/>
          <w:lang w:val="pt-PT"/>
        </w:rPr>
        <w:t>Cisaprida (utilizado para os problemas de estômago)</w:t>
      </w:r>
    </w:p>
    <w:p w14:paraId="1E93CF83" w14:textId="77777777" w:rsidR="00011577" w:rsidRPr="002A54AF" w:rsidRDefault="00011577" w:rsidP="00E72BDD">
      <w:pPr>
        <w:numPr>
          <w:ilvl w:val="0"/>
          <w:numId w:val="6"/>
        </w:numPr>
        <w:tabs>
          <w:tab w:val="clear" w:pos="360"/>
          <w:tab w:val="left" w:pos="567"/>
        </w:tabs>
        <w:suppressAutoHyphens/>
        <w:ind w:left="0" w:firstLine="0"/>
        <w:rPr>
          <w:szCs w:val="22"/>
          <w:lang w:val="pt-PT"/>
        </w:rPr>
      </w:pPr>
      <w:r w:rsidRPr="002A54AF">
        <w:rPr>
          <w:szCs w:val="22"/>
          <w:lang w:val="pt-PT"/>
        </w:rPr>
        <w:t>Pimozida (utilizado para o tratamento de doenças mentais)</w:t>
      </w:r>
    </w:p>
    <w:p w14:paraId="278C9CBF" w14:textId="77777777" w:rsidR="00011577" w:rsidRDefault="00011577" w:rsidP="00E72BDD">
      <w:pPr>
        <w:numPr>
          <w:ilvl w:val="0"/>
          <w:numId w:val="6"/>
        </w:numPr>
        <w:tabs>
          <w:tab w:val="clear" w:pos="360"/>
          <w:tab w:val="left" w:pos="567"/>
        </w:tabs>
        <w:suppressAutoHyphens/>
        <w:ind w:left="0" w:firstLine="0"/>
        <w:rPr>
          <w:szCs w:val="22"/>
          <w:lang w:val="pt-PT"/>
        </w:rPr>
      </w:pPr>
      <w:r w:rsidRPr="002A54AF">
        <w:rPr>
          <w:szCs w:val="22"/>
          <w:lang w:val="pt-PT"/>
        </w:rPr>
        <w:t>Quinidina (utilizado para o batimento irregular do coração)</w:t>
      </w:r>
    </w:p>
    <w:p w14:paraId="58662227" w14:textId="77777777" w:rsidR="004D3428" w:rsidRPr="002A54AF" w:rsidRDefault="004D3428" w:rsidP="00E72BDD">
      <w:pPr>
        <w:numPr>
          <w:ilvl w:val="0"/>
          <w:numId w:val="6"/>
        </w:numPr>
        <w:tabs>
          <w:tab w:val="clear" w:pos="360"/>
          <w:tab w:val="left" w:pos="567"/>
        </w:tabs>
        <w:suppressAutoHyphens/>
        <w:ind w:left="0" w:firstLine="0"/>
        <w:rPr>
          <w:szCs w:val="22"/>
          <w:lang w:val="pt-PT"/>
        </w:rPr>
      </w:pPr>
      <w:r>
        <w:rPr>
          <w:szCs w:val="22"/>
          <w:lang w:val="pt-PT"/>
        </w:rPr>
        <w:t>Ivabradina (</w:t>
      </w:r>
      <w:r w:rsidRPr="004D3428">
        <w:rPr>
          <w:szCs w:val="22"/>
          <w:lang w:val="pt-PT"/>
        </w:rPr>
        <w:t>utilizado para sintomas de insuficiência cardíaca crónica)</w:t>
      </w:r>
    </w:p>
    <w:p w14:paraId="6139190B"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Rifampicina (utilizado para o tratamento da tuberculose)</w:t>
      </w:r>
    </w:p>
    <w:p w14:paraId="6682A3E5"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Efavirenz (utilizado no tratamento da infeção por VIH) em doses de 400</w:t>
      </w:r>
      <w:r w:rsidR="00F66FD2" w:rsidRPr="002A54AF">
        <w:rPr>
          <w:szCs w:val="22"/>
          <w:lang w:val="pt-PT"/>
        </w:rPr>
        <w:t> </w:t>
      </w:r>
      <w:r w:rsidRPr="002A54AF">
        <w:rPr>
          <w:szCs w:val="22"/>
          <w:lang w:val="pt-PT"/>
        </w:rPr>
        <w:t>mg ou superiores, uma vez por dia</w:t>
      </w:r>
    </w:p>
    <w:p w14:paraId="3CD66D6C"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Carbamazepina (utilizado no tratamento das convulsões)</w:t>
      </w:r>
    </w:p>
    <w:p w14:paraId="09308AED"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Fenobarbital (utilizado para situações graves de insónia e convulsões)</w:t>
      </w:r>
    </w:p>
    <w:p w14:paraId="264E4C8A"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Alcalóides da cravagem do centeio (por exemplo, ergotamina, di-hidroergotamina; utilizados para a enxaqueca)</w:t>
      </w:r>
    </w:p>
    <w:p w14:paraId="24DB0494"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Sirolímus (utilizado em doentes transplantados)</w:t>
      </w:r>
    </w:p>
    <w:p w14:paraId="014B6F52"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Ritonavir (utilizado no tratamento da infeção por VIH) em doses de 400</w:t>
      </w:r>
      <w:r w:rsidR="00F66FD2" w:rsidRPr="002A54AF">
        <w:rPr>
          <w:szCs w:val="22"/>
          <w:lang w:val="pt-PT"/>
        </w:rPr>
        <w:t> </w:t>
      </w:r>
      <w:r w:rsidRPr="002A54AF">
        <w:rPr>
          <w:szCs w:val="22"/>
          <w:lang w:val="pt-PT"/>
        </w:rPr>
        <w:t>mg ou superiores, duas vezes por dia.</w:t>
      </w:r>
    </w:p>
    <w:p w14:paraId="45FA5031" w14:textId="77777777" w:rsidR="00D40865" w:rsidRDefault="00011577" w:rsidP="00D40865">
      <w:pPr>
        <w:numPr>
          <w:ilvl w:val="0"/>
          <w:numId w:val="6"/>
        </w:numPr>
        <w:tabs>
          <w:tab w:val="clear" w:pos="360"/>
        </w:tabs>
        <w:suppressAutoHyphens/>
        <w:ind w:left="550" w:hanging="550"/>
        <w:rPr>
          <w:szCs w:val="22"/>
          <w:lang w:val="pt-PT"/>
        </w:rPr>
      </w:pPr>
      <w:r w:rsidRPr="002A54AF">
        <w:rPr>
          <w:szCs w:val="22"/>
          <w:lang w:val="pt-PT"/>
        </w:rPr>
        <w:t>Hipericão (suplemento à base de plantas)</w:t>
      </w:r>
    </w:p>
    <w:p w14:paraId="2EE33282" w14:textId="77777777" w:rsidR="00D40865" w:rsidRDefault="00D40865" w:rsidP="00D40865">
      <w:pPr>
        <w:numPr>
          <w:ilvl w:val="0"/>
          <w:numId w:val="6"/>
        </w:numPr>
        <w:tabs>
          <w:tab w:val="clear" w:pos="360"/>
        </w:tabs>
        <w:suppressAutoHyphens/>
        <w:ind w:left="550" w:hanging="550"/>
        <w:rPr>
          <w:szCs w:val="22"/>
          <w:lang w:val="pt-PT"/>
        </w:rPr>
      </w:pPr>
      <w:r w:rsidRPr="00D40865">
        <w:rPr>
          <w:szCs w:val="22"/>
          <w:lang w:val="pt-PT"/>
        </w:rPr>
        <w:t>Naloxegol [utilizado para tratar a prisão de ventre causada especificamente por medicamentos</w:t>
      </w:r>
      <w:r>
        <w:rPr>
          <w:szCs w:val="22"/>
          <w:lang w:val="pt-PT"/>
        </w:rPr>
        <w:t xml:space="preserve"> </w:t>
      </w:r>
      <w:r w:rsidRPr="00D40865">
        <w:rPr>
          <w:szCs w:val="22"/>
          <w:lang w:val="pt-PT"/>
        </w:rPr>
        <w:t>analgésicos, chamados opioides (por exemplo, morfina, oxicodona, fentanilo, tramadol</w:t>
      </w:r>
      <w:r>
        <w:rPr>
          <w:szCs w:val="22"/>
          <w:lang w:val="pt-PT"/>
        </w:rPr>
        <w:t xml:space="preserve">, </w:t>
      </w:r>
      <w:r w:rsidRPr="00D40865">
        <w:rPr>
          <w:szCs w:val="22"/>
          <w:lang w:val="pt-PT"/>
        </w:rPr>
        <w:t>codeína)]</w:t>
      </w:r>
    </w:p>
    <w:p w14:paraId="5D1567D6" w14:textId="77777777" w:rsidR="00D40865" w:rsidRDefault="00D40865" w:rsidP="00D40865">
      <w:pPr>
        <w:numPr>
          <w:ilvl w:val="0"/>
          <w:numId w:val="6"/>
        </w:numPr>
        <w:tabs>
          <w:tab w:val="clear" w:pos="360"/>
        </w:tabs>
        <w:suppressAutoHyphens/>
        <w:ind w:left="550" w:hanging="550"/>
        <w:rPr>
          <w:szCs w:val="22"/>
          <w:lang w:val="pt-PT"/>
        </w:rPr>
      </w:pPr>
      <w:r w:rsidRPr="00D40865">
        <w:rPr>
          <w:szCs w:val="22"/>
          <w:lang w:val="pt-PT"/>
        </w:rPr>
        <w:t>Tolvaptano [utilizado para tratar a hiponatremia (níveis baixos de sódio no sangue) ou para</w:t>
      </w:r>
      <w:r>
        <w:rPr>
          <w:szCs w:val="22"/>
          <w:lang w:val="pt-PT"/>
        </w:rPr>
        <w:t xml:space="preserve"> </w:t>
      </w:r>
      <w:r w:rsidRPr="00D40865">
        <w:rPr>
          <w:szCs w:val="22"/>
          <w:lang w:val="pt-PT"/>
        </w:rPr>
        <w:t>abrandar o declínio da função renal em doentes com doença renal poliquística]</w:t>
      </w:r>
    </w:p>
    <w:p w14:paraId="193D68F1" w14:textId="77777777" w:rsidR="00D40865" w:rsidRPr="00F279C9" w:rsidRDefault="00D40865" w:rsidP="00EF6A1B">
      <w:pPr>
        <w:numPr>
          <w:ilvl w:val="0"/>
          <w:numId w:val="6"/>
        </w:numPr>
        <w:tabs>
          <w:tab w:val="clear" w:pos="360"/>
        </w:tabs>
        <w:suppressAutoHyphens/>
        <w:ind w:left="550" w:hanging="550"/>
        <w:rPr>
          <w:szCs w:val="22"/>
          <w:lang w:val="pt-PT"/>
        </w:rPr>
      </w:pPr>
      <w:r w:rsidRPr="00D40865">
        <w:rPr>
          <w:szCs w:val="22"/>
          <w:lang w:val="pt-PT"/>
        </w:rPr>
        <w:t>Lurasidona (utilizado para tratar a depressão)</w:t>
      </w:r>
    </w:p>
    <w:p w14:paraId="63EFA41D" w14:textId="77777777" w:rsidR="004D3428" w:rsidRPr="002A54AF" w:rsidRDefault="004D3428" w:rsidP="00E72BDD">
      <w:pPr>
        <w:numPr>
          <w:ilvl w:val="0"/>
          <w:numId w:val="6"/>
        </w:numPr>
        <w:tabs>
          <w:tab w:val="clear" w:pos="360"/>
        </w:tabs>
        <w:suppressAutoHyphens/>
        <w:ind w:left="550" w:hanging="550"/>
        <w:rPr>
          <w:szCs w:val="22"/>
          <w:lang w:val="pt-PT"/>
        </w:rPr>
      </w:pPr>
      <w:r w:rsidRPr="004D3428">
        <w:rPr>
          <w:szCs w:val="22"/>
          <w:lang w:val="pt-PT"/>
        </w:rPr>
        <w:t>Venetoclax (utilizado para tratar doentes com leucemia linfocítica crónica – LLC)</w:t>
      </w:r>
    </w:p>
    <w:p w14:paraId="7B77E012" w14:textId="77777777" w:rsidR="00011577" w:rsidRPr="002A54AF" w:rsidRDefault="00011577" w:rsidP="00011577">
      <w:pPr>
        <w:tabs>
          <w:tab w:val="left" w:pos="567"/>
        </w:tabs>
        <w:suppressAutoHyphens/>
        <w:rPr>
          <w:szCs w:val="22"/>
          <w:lang w:val="pt-PT"/>
        </w:rPr>
      </w:pPr>
    </w:p>
    <w:p w14:paraId="40DC1630" w14:textId="77777777" w:rsidR="00011577" w:rsidRPr="002A54AF" w:rsidRDefault="00011577" w:rsidP="00011577">
      <w:pPr>
        <w:tabs>
          <w:tab w:val="left" w:pos="567"/>
        </w:tabs>
        <w:suppressAutoHyphens/>
        <w:rPr>
          <w:b/>
          <w:szCs w:val="22"/>
          <w:lang w:val="pt-PT"/>
        </w:rPr>
      </w:pPr>
      <w:r w:rsidRPr="002A54AF">
        <w:rPr>
          <w:b/>
          <w:szCs w:val="22"/>
          <w:lang w:val="pt-PT"/>
        </w:rPr>
        <w:t>Advertências e precauções</w:t>
      </w:r>
    </w:p>
    <w:p w14:paraId="564C0ED2" w14:textId="77777777" w:rsidR="00011577" w:rsidRPr="002A54AF" w:rsidRDefault="00011577" w:rsidP="00011577">
      <w:pPr>
        <w:tabs>
          <w:tab w:val="left" w:pos="567"/>
        </w:tabs>
        <w:suppressAutoHyphens/>
        <w:rPr>
          <w:szCs w:val="22"/>
          <w:lang w:val="pt-PT"/>
        </w:rPr>
      </w:pPr>
      <w:r w:rsidRPr="002A54AF">
        <w:rPr>
          <w:szCs w:val="22"/>
          <w:lang w:val="pt-PT"/>
        </w:rPr>
        <w:t>Fale com o seu médico</w:t>
      </w:r>
      <w:r w:rsidR="008D23D3" w:rsidRPr="002A54AF">
        <w:rPr>
          <w:szCs w:val="22"/>
          <w:lang w:val="pt-PT"/>
        </w:rPr>
        <w:t>, farmacêutico ou enfermeiro</w:t>
      </w:r>
      <w:r w:rsidRPr="002A54AF">
        <w:rPr>
          <w:szCs w:val="22"/>
          <w:lang w:val="pt-PT"/>
        </w:rPr>
        <w:t xml:space="preserve"> antes de tomar Voriconazol Accord se:</w:t>
      </w:r>
    </w:p>
    <w:p w14:paraId="3EE170E5" w14:textId="77777777" w:rsidR="00011577" w:rsidRPr="002A54AF" w:rsidRDefault="00011577" w:rsidP="00011577">
      <w:pPr>
        <w:tabs>
          <w:tab w:val="left" w:pos="567"/>
        </w:tabs>
        <w:suppressAutoHyphens/>
        <w:rPr>
          <w:szCs w:val="22"/>
          <w:lang w:val="pt-PT"/>
        </w:rPr>
      </w:pPr>
    </w:p>
    <w:p w14:paraId="69B4DC87"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teve uma reação alérgica a outros azóis.</w:t>
      </w:r>
    </w:p>
    <w:p w14:paraId="5A7D10FE"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sofre, ou sofreu, de uma doença do fígado. Se tem uma doença do fígado, o seu médico poderá prescrever-lhe uma dose mais baixa de Voriconazol Accord. O seu médico deve igualmente monitorizar a função do seu fígado durante o período em que está a ser tratado com Voriconazol Accord, efetuando análises ao sangue.</w:t>
      </w:r>
    </w:p>
    <w:p w14:paraId="0B01B3F9"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sabe que tem cardiomiopatia, batimentos cardíacos irregulares, ritmo cardíaco lento ou uma alteração no eletrocardiograma (ECG) chamada “síndrome do QT</w:t>
      </w:r>
      <w:r w:rsidR="008D23D3" w:rsidRPr="002A54AF">
        <w:rPr>
          <w:szCs w:val="22"/>
          <w:lang w:val="pt-PT"/>
        </w:rPr>
        <w:t>c</w:t>
      </w:r>
      <w:r w:rsidRPr="002A54AF">
        <w:rPr>
          <w:szCs w:val="22"/>
          <w:lang w:val="pt-PT"/>
        </w:rPr>
        <w:t xml:space="preserve"> longo”.</w:t>
      </w:r>
    </w:p>
    <w:p w14:paraId="5B6206CF" w14:textId="77777777" w:rsidR="00011577" w:rsidRPr="002A54AF" w:rsidRDefault="00011577" w:rsidP="00011577">
      <w:pPr>
        <w:suppressAutoHyphens/>
        <w:rPr>
          <w:szCs w:val="22"/>
          <w:lang w:val="pt-PT"/>
        </w:rPr>
      </w:pPr>
    </w:p>
    <w:p w14:paraId="5AAC2B9C" w14:textId="24C80170" w:rsidR="00D426CD" w:rsidRPr="002A54AF" w:rsidRDefault="00011577" w:rsidP="00D426CD">
      <w:pPr>
        <w:suppressAutoHyphens/>
        <w:rPr>
          <w:szCs w:val="22"/>
          <w:lang w:val="pt-PT"/>
        </w:rPr>
      </w:pPr>
      <w:r w:rsidRPr="002A54AF">
        <w:rPr>
          <w:szCs w:val="22"/>
          <w:lang w:val="pt-PT"/>
        </w:rPr>
        <w:t xml:space="preserve">Deve evitar </w:t>
      </w:r>
      <w:r w:rsidR="008D23D3" w:rsidRPr="002A54AF">
        <w:rPr>
          <w:szCs w:val="22"/>
          <w:lang w:val="pt-PT"/>
        </w:rPr>
        <w:t xml:space="preserve">por completo </w:t>
      </w:r>
      <w:r w:rsidRPr="002A54AF">
        <w:rPr>
          <w:szCs w:val="22"/>
          <w:lang w:val="pt-PT"/>
        </w:rPr>
        <w:t xml:space="preserve">a luz solar e a exposição solar durante o tratamento. É importante cobrir as áreas da pele expostas ao sol e usar protetor solar, </w:t>
      </w:r>
      <w:r w:rsidR="00D426CD" w:rsidRPr="002A54AF">
        <w:rPr>
          <w:szCs w:val="22"/>
          <w:lang w:val="pt-PT"/>
        </w:rPr>
        <w:t xml:space="preserve">com elevado fator de proteção (FPS), </w:t>
      </w:r>
      <w:r w:rsidRPr="002A54AF">
        <w:rPr>
          <w:szCs w:val="22"/>
          <w:lang w:val="pt-PT"/>
        </w:rPr>
        <w:t>uma vez que pode ocorrer um aumento da sensibilidade da pele aos raios solares UV.</w:t>
      </w:r>
      <w:r w:rsidR="00D426CD" w:rsidRPr="002A54AF">
        <w:rPr>
          <w:szCs w:val="22"/>
          <w:lang w:val="pt-PT"/>
        </w:rPr>
        <w:t xml:space="preserve"> </w:t>
      </w:r>
      <w:r w:rsidR="00D43EFF" w:rsidRPr="00D43EFF">
        <w:rPr>
          <w:szCs w:val="22"/>
          <w:lang w:val="pt-PT"/>
        </w:rPr>
        <w:t>Isto pode ser ainda</w:t>
      </w:r>
      <w:r w:rsidR="00D43EFF">
        <w:rPr>
          <w:szCs w:val="22"/>
          <w:lang w:val="pt-PT"/>
        </w:rPr>
        <w:t xml:space="preserve"> </w:t>
      </w:r>
      <w:r w:rsidR="00D43EFF" w:rsidRPr="00D43EFF">
        <w:rPr>
          <w:szCs w:val="22"/>
          <w:lang w:val="pt-PT"/>
        </w:rPr>
        <w:t>aumentado por outros medicamentos que tornam a pele mais sensível à luz solar, como o metotrexato</w:t>
      </w:r>
      <w:r w:rsidR="00D43EFF">
        <w:rPr>
          <w:szCs w:val="22"/>
          <w:lang w:val="pt-PT"/>
        </w:rPr>
        <w:t xml:space="preserve">. </w:t>
      </w:r>
      <w:r w:rsidR="00D426CD" w:rsidRPr="002A54AF">
        <w:rPr>
          <w:szCs w:val="22"/>
          <w:lang w:val="pt-PT"/>
        </w:rPr>
        <w:t>Estas precauções aplicam-se também às crianças.</w:t>
      </w:r>
    </w:p>
    <w:p w14:paraId="1A11D58B" w14:textId="77777777" w:rsidR="00011577" w:rsidRPr="002A54AF" w:rsidRDefault="00011577" w:rsidP="00011577">
      <w:pPr>
        <w:tabs>
          <w:tab w:val="left" w:pos="567"/>
        </w:tabs>
        <w:suppressAutoHyphens/>
        <w:rPr>
          <w:szCs w:val="22"/>
          <w:lang w:val="pt-PT"/>
        </w:rPr>
      </w:pPr>
    </w:p>
    <w:p w14:paraId="3939EF1E" w14:textId="77777777" w:rsidR="00011577" w:rsidRPr="002A54AF" w:rsidRDefault="00011577" w:rsidP="00011577">
      <w:pPr>
        <w:tabs>
          <w:tab w:val="left" w:pos="567"/>
        </w:tabs>
        <w:suppressAutoHyphens/>
        <w:rPr>
          <w:szCs w:val="22"/>
          <w:lang w:val="pt-PT"/>
        </w:rPr>
      </w:pPr>
      <w:r w:rsidRPr="002A54AF">
        <w:rPr>
          <w:szCs w:val="22"/>
          <w:lang w:val="pt-PT"/>
        </w:rPr>
        <w:t>Enquanto está a ser tratado com Voriconazol Accord:</w:t>
      </w:r>
    </w:p>
    <w:p w14:paraId="7E971F85" w14:textId="77777777" w:rsidR="00D426CD"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 xml:space="preserve">informe o seu médico imediatamente </w:t>
      </w:r>
    </w:p>
    <w:p w14:paraId="06A1386A" w14:textId="77777777" w:rsidR="00D426CD" w:rsidRPr="002A54AF" w:rsidRDefault="00D426CD" w:rsidP="00D426CD">
      <w:pPr>
        <w:numPr>
          <w:ilvl w:val="0"/>
          <w:numId w:val="6"/>
        </w:numPr>
        <w:tabs>
          <w:tab w:val="clear" w:pos="360"/>
        </w:tabs>
        <w:suppressAutoHyphens/>
        <w:ind w:left="1134" w:hanging="550"/>
        <w:rPr>
          <w:szCs w:val="22"/>
          <w:lang w:val="pt-PT"/>
        </w:rPr>
      </w:pPr>
      <w:r w:rsidRPr="002A54AF">
        <w:rPr>
          <w:szCs w:val="22"/>
          <w:lang w:val="pt-PT"/>
        </w:rPr>
        <w:t xml:space="preserve">caso sofra uma queimadura solar </w:t>
      </w:r>
    </w:p>
    <w:p w14:paraId="71FE012A" w14:textId="77777777" w:rsidR="00D426CD" w:rsidRPr="002A54AF" w:rsidRDefault="00011577" w:rsidP="00D426CD">
      <w:pPr>
        <w:numPr>
          <w:ilvl w:val="0"/>
          <w:numId w:val="6"/>
        </w:numPr>
        <w:tabs>
          <w:tab w:val="clear" w:pos="360"/>
        </w:tabs>
        <w:suppressAutoHyphens/>
        <w:ind w:left="1134" w:hanging="550"/>
        <w:rPr>
          <w:szCs w:val="22"/>
          <w:lang w:val="pt-PT"/>
        </w:rPr>
      </w:pPr>
      <w:r w:rsidRPr="002A54AF">
        <w:rPr>
          <w:szCs w:val="22"/>
          <w:lang w:val="pt-PT"/>
        </w:rPr>
        <w:t xml:space="preserve">caso desenvolva uma erupção na pele grave ou vesículas (bolhas) na pele </w:t>
      </w:r>
    </w:p>
    <w:p w14:paraId="387F8D1D" w14:textId="77777777" w:rsidR="00011577" w:rsidRPr="002A54AF" w:rsidRDefault="00D426CD" w:rsidP="00D426CD">
      <w:pPr>
        <w:numPr>
          <w:ilvl w:val="0"/>
          <w:numId w:val="6"/>
        </w:numPr>
        <w:tabs>
          <w:tab w:val="clear" w:pos="360"/>
        </w:tabs>
        <w:suppressAutoHyphens/>
        <w:ind w:left="1134" w:hanging="550"/>
        <w:rPr>
          <w:szCs w:val="22"/>
          <w:lang w:val="pt-PT"/>
        </w:rPr>
      </w:pPr>
      <w:r w:rsidRPr="002A54AF">
        <w:rPr>
          <w:szCs w:val="22"/>
          <w:lang w:val="pt-PT"/>
        </w:rPr>
        <w:t xml:space="preserve">caso surja </w:t>
      </w:r>
      <w:r w:rsidR="00011577" w:rsidRPr="002A54AF">
        <w:rPr>
          <w:szCs w:val="22"/>
          <w:lang w:val="pt-PT"/>
        </w:rPr>
        <w:t>dor nos ossos.</w:t>
      </w:r>
    </w:p>
    <w:p w14:paraId="105557E5" w14:textId="77777777" w:rsidR="00D426CD" w:rsidRPr="002A54AF" w:rsidRDefault="00D426CD" w:rsidP="00D426CD">
      <w:pPr>
        <w:suppressAutoHyphens/>
        <w:adjustRightInd w:val="0"/>
        <w:rPr>
          <w:szCs w:val="22"/>
          <w:lang w:val="pt-PT"/>
        </w:rPr>
      </w:pPr>
    </w:p>
    <w:p w14:paraId="3519B52C" w14:textId="77777777" w:rsidR="00D426CD" w:rsidRDefault="00D426CD" w:rsidP="00D426CD">
      <w:pPr>
        <w:suppressAutoHyphens/>
        <w:adjustRightInd w:val="0"/>
        <w:rPr>
          <w:szCs w:val="22"/>
          <w:lang w:val="pt-PT"/>
        </w:rPr>
      </w:pPr>
      <w:r w:rsidRPr="002A54AF">
        <w:rPr>
          <w:szCs w:val="22"/>
          <w:lang w:val="pt-PT"/>
        </w:rPr>
        <w:t xml:space="preserve">Se desenvolver alterações na pele como acima descritas, o seu médico poderá encaminhá-lo para um dermatologista, o qual, após consulta, poderá decidir que é importante que seja observado regularmente. Existe uma pequena probabilidade de desenvolvimento de cancro da pele associada à utilização a longo prazo de Voriconazol Accord. </w:t>
      </w:r>
    </w:p>
    <w:p w14:paraId="36482FAD" w14:textId="77777777" w:rsidR="004D3428" w:rsidRDefault="004D3428" w:rsidP="00D426CD">
      <w:pPr>
        <w:suppressAutoHyphens/>
        <w:adjustRightInd w:val="0"/>
        <w:rPr>
          <w:szCs w:val="22"/>
          <w:lang w:val="pt-PT"/>
        </w:rPr>
      </w:pPr>
    </w:p>
    <w:p w14:paraId="0A59DFC2" w14:textId="77777777" w:rsidR="004D3428" w:rsidRDefault="004D3428" w:rsidP="004D3428">
      <w:pPr>
        <w:suppressAutoHyphens/>
        <w:adjustRightInd w:val="0"/>
        <w:rPr>
          <w:szCs w:val="22"/>
          <w:lang w:val="pt-PT"/>
        </w:rPr>
      </w:pPr>
      <w:r w:rsidRPr="004D3428">
        <w:rPr>
          <w:szCs w:val="22"/>
          <w:lang w:val="pt-PT"/>
        </w:rPr>
        <w:lastRenderedPageBreak/>
        <w:t>Se desenvolver sinais de “insuficiência suprarrenal”, situação na qual as glândulas suprarrenais não</w:t>
      </w:r>
      <w:r>
        <w:rPr>
          <w:szCs w:val="22"/>
          <w:lang w:val="pt-PT"/>
        </w:rPr>
        <w:t xml:space="preserve"> </w:t>
      </w:r>
      <w:r w:rsidRPr="004D3428">
        <w:rPr>
          <w:szCs w:val="22"/>
          <w:lang w:val="pt-PT"/>
        </w:rPr>
        <w:t>produzem quantidades adequadas de determinadas hormonas esteroides, tais como o cortisol, o que</w:t>
      </w:r>
      <w:r>
        <w:rPr>
          <w:szCs w:val="22"/>
          <w:lang w:val="pt-PT"/>
        </w:rPr>
        <w:t xml:space="preserve"> </w:t>
      </w:r>
      <w:r w:rsidRPr="004D3428">
        <w:rPr>
          <w:szCs w:val="22"/>
          <w:lang w:val="pt-PT"/>
        </w:rPr>
        <w:t>pode levar a sintomas como fadiga crónica ou de longa duração, fraqueza muscular, perda de apetite,</w:t>
      </w:r>
      <w:r>
        <w:rPr>
          <w:szCs w:val="22"/>
          <w:lang w:val="pt-PT"/>
        </w:rPr>
        <w:t xml:space="preserve"> </w:t>
      </w:r>
      <w:r w:rsidRPr="004D3428">
        <w:rPr>
          <w:szCs w:val="22"/>
          <w:lang w:val="pt-PT"/>
        </w:rPr>
        <w:t>perda de peso, dor abdominal, fale com o seu médico.</w:t>
      </w:r>
    </w:p>
    <w:p w14:paraId="34E9DC23" w14:textId="77777777" w:rsidR="00F279C9" w:rsidRDefault="00F279C9" w:rsidP="004D3428">
      <w:pPr>
        <w:suppressAutoHyphens/>
        <w:adjustRightInd w:val="0"/>
        <w:rPr>
          <w:szCs w:val="22"/>
          <w:lang w:val="pt-PT"/>
        </w:rPr>
      </w:pPr>
    </w:p>
    <w:p w14:paraId="0AAEE935" w14:textId="77777777" w:rsidR="00F279C9" w:rsidRPr="00F279C9" w:rsidRDefault="00F279C9" w:rsidP="00F279C9">
      <w:pPr>
        <w:suppressAutoHyphens/>
        <w:adjustRightInd w:val="0"/>
        <w:rPr>
          <w:szCs w:val="22"/>
          <w:lang w:val="pt-PT"/>
        </w:rPr>
      </w:pPr>
      <w:r w:rsidRPr="00F279C9">
        <w:rPr>
          <w:szCs w:val="22"/>
          <w:lang w:val="pt-PT"/>
        </w:rPr>
        <w:t>Se desenvolver sinais de “síndrome de Cushing”, uma doença na qual o organismo produz demasiad</w:t>
      </w:r>
      <w:r>
        <w:rPr>
          <w:szCs w:val="22"/>
          <w:lang w:val="pt-PT"/>
        </w:rPr>
        <w:t xml:space="preserve"> </w:t>
      </w:r>
      <w:r w:rsidRPr="00F279C9">
        <w:rPr>
          <w:szCs w:val="22"/>
          <w:lang w:val="pt-PT"/>
        </w:rPr>
        <w:t>quantidade da hormona cortisol, o que pode levar a sintomas tais como: aumento de peso, papos d</w:t>
      </w:r>
      <w:r>
        <w:rPr>
          <w:szCs w:val="22"/>
          <w:lang w:val="pt-PT"/>
        </w:rPr>
        <w:t xml:space="preserve"> </w:t>
      </w:r>
      <w:r w:rsidRPr="00F279C9">
        <w:rPr>
          <w:szCs w:val="22"/>
          <w:lang w:val="pt-PT"/>
        </w:rPr>
        <w:t>gordura nas costas entre os ombros, um rosto arredondado (face em lua cheia), escurecimento da pel</w:t>
      </w:r>
      <w:r>
        <w:rPr>
          <w:szCs w:val="22"/>
          <w:lang w:val="pt-PT"/>
        </w:rPr>
        <w:t xml:space="preserve"> </w:t>
      </w:r>
      <w:r w:rsidRPr="00F279C9">
        <w:rPr>
          <w:szCs w:val="22"/>
          <w:lang w:val="pt-PT"/>
        </w:rPr>
        <w:t>da barriga, coxas, seios e braços, pele fina, facilidade em fazer nódoas negras, nível elevado de açúca</w:t>
      </w:r>
      <w:r>
        <w:rPr>
          <w:szCs w:val="22"/>
          <w:lang w:val="pt-PT"/>
        </w:rPr>
        <w:t xml:space="preserve"> </w:t>
      </w:r>
      <w:r w:rsidRPr="00F279C9">
        <w:rPr>
          <w:szCs w:val="22"/>
          <w:lang w:val="pt-PT"/>
        </w:rPr>
        <w:t>no sangue, crescimento excessivo de pelos no corpo, transpiração excessiva, informe o seu médico</w:t>
      </w:r>
      <w:r>
        <w:rPr>
          <w:szCs w:val="22"/>
          <w:lang w:val="pt-PT"/>
        </w:rPr>
        <w:t>.</w:t>
      </w:r>
    </w:p>
    <w:p w14:paraId="73355C75" w14:textId="77777777" w:rsidR="00D426CD" w:rsidRPr="002A54AF" w:rsidRDefault="00D426CD" w:rsidP="00D426CD">
      <w:pPr>
        <w:suppressAutoHyphens/>
        <w:rPr>
          <w:szCs w:val="22"/>
          <w:lang w:val="pt-PT"/>
        </w:rPr>
      </w:pPr>
    </w:p>
    <w:p w14:paraId="6128FC46" w14:textId="77777777" w:rsidR="00D426CD" w:rsidRPr="002A54AF" w:rsidRDefault="00D426CD" w:rsidP="00D426CD">
      <w:pPr>
        <w:suppressAutoHyphens/>
        <w:rPr>
          <w:szCs w:val="22"/>
          <w:lang w:val="pt-PT"/>
        </w:rPr>
      </w:pPr>
      <w:r w:rsidRPr="002A54AF">
        <w:rPr>
          <w:szCs w:val="22"/>
          <w:lang w:val="pt-PT"/>
        </w:rPr>
        <w:t>O seu médico deve monitorizar a função do seu fígado e rim através da realização de análises ao sangue.</w:t>
      </w:r>
    </w:p>
    <w:p w14:paraId="7C62E85C" w14:textId="77777777" w:rsidR="00011577" w:rsidRPr="002A54AF" w:rsidRDefault="00011577" w:rsidP="00011577">
      <w:pPr>
        <w:tabs>
          <w:tab w:val="left" w:pos="567"/>
        </w:tabs>
        <w:suppressAutoHyphens/>
        <w:rPr>
          <w:szCs w:val="22"/>
          <w:lang w:val="pt-PT"/>
        </w:rPr>
      </w:pPr>
    </w:p>
    <w:p w14:paraId="797916F1" w14:textId="77777777" w:rsidR="00011577" w:rsidRPr="002A54AF" w:rsidRDefault="00011577" w:rsidP="00011577">
      <w:pPr>
        <w:tabs>
          <w:tab w:val="left" w:pos="567"/>
        </w:tabs>
        <w:suppressAutoHyphens/>
        <w:rPr>
          <w:szCs w:val="22"/>
          <w:lang w:val="pt-PT"/>
        </w:rPr>
      </w:pPr>
      <w:r w:rsidRPr="002A54AF">
        <w:rPr>
          <w:b/>
          <w:szCs w:val="22"/>
          <w:lang w:val="pt-PT"/>
        </w:rPr>
        <w:t>Crianças e adolescentes</w:t>
      </w:r>
    </w:p>
    <w:p w14:paraId="35720FC4" w14:textId="77777777" w:rsidR="00011577" w:rsidRPr="002A54AF" w:rsidRDefault="00011577" w:rsidP="00011577">
      <w:pPr>
        <w:tabs>
          <w:tab w:val="left" w:pos="567"/>
        </w:tabs>
        <w:suppressAutoHyphens/>
        <w:rPr>
          <w:szCs w:val="22"/>
          <w:lang w:val="pt-PT"/>
        </w:rPr>
      </w:pPr>
      <w:r w:rsidRPr="002A54AF">
        <w:rPr>
          <w:szCs w:val="22"/>
          <w:lang w:val="pt-PT"/>
        </w:rPr>
        <w:t>Voriconazole Accord não deve ser administrado a crianças com idade inferior a 2</w:t>
      </w:r>
      <w:r w:rsidR="0020636B" w:rsidRPr="002A54AF">
        <w:rPr>
          <w:szCs w:val="22"/>
          <w:lang w:val="pt-PT"/>
        </w:rPr>
        <w:t> </w:t>
      </w:r>
      <w:r w:rsidRPr="002A54AF">
        <w:rPr>
          <w:szCs w:val="22"/>
          <w:lang w:val="pt-PT"/>
        </w:rPr>
        <w:t>anos.</w:t>
      </w:r>
    </w:p>
    <w:p w14:paraId="73D3A18D" w14:textId="77777777" w:rsidR="00011577" w:rsidRPr="002A54AF" w:rsidRDefault="00011577" w:rsidP="00011577">
      <w:pPr>
        <w:tabs>
          <w:tab w:val="left" w:pos="567"/>
        </w:tabs>
        <w:suppressAutoHyphens/>
        <w:rPr>
          <w:szCs w:val="22"/>
          <w:lang w:val="pt-PT"/>
        </w:rPr>
      </w:pPr>
    </w:p>
    <w:p w14:paraId="18E985C7" w14:textId="77777777" w:rsidR="00011577" w:rsidRPr="002A54AF" w:rsidRDefault="00011577" w:rsidP="00011577">
      <w:pPr>
        <w:tabs>
          <w:tab w:val="left" w:pos="567"/>
        </w:tabs>
        <w:suppressAutoHyphens/>
        <w:rPr>
          <w:b/>
          <w:szCs w:val="22"/>
          <w:lang w:val="pt-PT"/>
        </w:rPr>
      </w:pPr>
      <w:r w:rsidRPr="002A54AF">
        <w:rPr>
          <w:b/>
          <w:szCs w:val="22"/>
          <w:lang w:val="pt-PT"/>
        </w:rPr>
        <w:t>Outros medicamentos e Voriconazol Accord</w:t>
      </w:r>
    </w:p>
    <w:p w14:paraId="51BDD7F8" w14:textId="77777777" w:rsidR="00011577" w:rsidRPr="002A54AF" w:rsidRDefault="00011577" w:rsidP="00011577">
      <w:pPr>
        <w:tabs>
          <w:tab w:val="left" w:pos="567"/>
        </w:tabs>
        <w:suppressAutoHyphens/>
        <w:rPr>
          <w:szCs w:val="22"/>
          <w:lang w:val="pt-PT"/>
        </w:rPr>
      </w:pPr>
      <w:r w:rsidRPr="002A54AF">
        <w:rPr>
          <w:szCs w:val="22"/>
          <w:lang w:val="pt-PT"/>
        </w:rPr>
        <w:t>Informe o seu médico ou farmacêutico se estiver a tomar</w:t>
      </w:r>
      <w:r w:rsidR="008D23D3" w:rsidRPr="002A54AF">
        <w:rPr>
          <w:szCs w:val="22"/>
          <w:lang w:val="pt-PT"/>
        </w:rPr>
        <w:t>,</w:t>
      </w:r>
      <w:r w:rsidRPr="002A54AF">
        <w:rPr>
          <w:szCs w:val="22"/>
          <w:lang w:val="pt-PT"/>
        </w:rPr>
        <w:t xml:space="preserve"> tiver tomado recentemente </w:t>
      </w:r>
      <w:r w:rsidR="008D23D3" w:rsidRPr="002A54AF">
        <w:rPr>
          <w:szCs w:val="22"/>
          <w:lang w:val="pt-PT"/>
        </w:rPr>
        <w:t xml:space="preserve">ou se vier a tomar </w:t>
      </w:r>
      <w:r w:rsidRPr="002A54AF">
        <w:rPr>
          <w:szCs w:val="22"/>
          <w:lang w:val="pt-PT"/>
        </w:rPr>
        <w:t>outros medicamentos, incluindo medicamentos obtidos sem receita médica.</w:t>
      </w:r>
    </w:p>
    <w:p w14:paraId="7B13132A" w14:textId="77777777" w:rsidR="00011577" w:rsidRPr="002A54AF" w:rsidRDefault="00011577" w:rsidP="00011577">
      <w:pPr>
        <w:tabs>
          <w:tab w:val="left" w:pos="567"/>
        </w:tabs>
        <w:suppressAutoHyphens/>
        <w:rPr>
          <w:szCs w:val="22"/>
          <w:lang w:val="pt-PT"/>
        </w:rPr>
      </w:pPr>
    </w:p>
    <w:p w14:paraId="25D33CCD" w14:textId="77777777" w:rsidR="00011577" w:rsidRPr="002A54AF" w:rsidRDefault="00011577" w:rsidP="00011577">
      <w:pPr>
        <w:tabs>
          <w:tab w:val="left" w:pos="567"/>
        </w:tabs>
        <w:suppressAutoHyphens/>
        <w:rPr>
          <w:szCs w:val="22"/>
          <w:lang w:val="pt-PT"/>
        </w:rPr>
      </w:pPr>
      <w:r w:rsidRPr="002A54AF">
        <w:rPr>
          <w:szCs w:val="22"/>
          <w:lang w:val="pt-PT"/>
        </w:rPr>
        <w:t xml:space="preserve">Alguns medicamentos, quando tomados ao mesmo tempo que Voriconazol Accord, podem afetar o modo de funcionamento de Voriconazol Accord ou Voriconazol Accord pode afetar o modo de funcionamento desses medicamentos. </w:t>
      </w:r>
    </w:p>
    <w:p w14:paraId="33D058C5" w14:textId="77777777" w:rsidR="00011577" w:rsidRPr="002A54AF" w:rsidRDefault="00011577" w:rsidP="00011577">
      <w:pPr>
        <w:tabs>
          <w:tab w:val="left" w:pos="567"/>
        </w:tabs>
        <w:suppressAutoHyphens/>
        <w:rPr>
          <w:szCs w:val="22"/>
          <w:lang w:val="pt-PT"/>
        </w:rPr>
      </w:pPr>
    </w:p>
    <w:p w14:paraId="5AEA3E4E" w14:textId="77777777" w:rsidR="00011577" w:rsidRDefault="00011577" w:rsidP="00011577">
      <w:pPr>
        <w:tabs>
          <w:tab w:val="left" w:pos="567"/>
        </w:tabs>
        <w:suppressAutoHyphens/>
        <w:rPr>
          <w:szCs w:val="22"/>
          <w:lang w:val="pt-PT"/>
        </w:rPr>
      </w:pPr>
      <w:r w:rsidRPr="002A54AF">
        <w:rPr>
          <w:szCs w:val="22"/>
          <w:lang w:val="pt-PT"/>
        </w:rPr>
        <w:t>Informe o seu médico caso esteja a tomar o seguinte medicamento, uma vez que deve ser evitado, se possível, o tratamento em simultâneo com Voriconazol Accord:</w:t>
      </w:r>
    </w:p>
    <w:p w14:paraId="67650DC6" w14:textId="77777777" w:rsidR="00A572B3" w:rsidRPr="002A54AF" w:rsidRDefault="00A572B3" w:rsidP="00011577">
      <w:pPr>
        <w:tabs>
          <w:tab w:val="left" w:pos="567"/>
        </w:tabs>
        <w:suppressAutoHyphens/>
        <w:rPr>
          <w:szCs w:val="22"/>
          <w:lang w:val="pt-PT"/>
        </w:rPr>
      </w:pPr>
    </w:p>
    <w:p w14:paraId="2ACE6429" w14:textId="77777777" w:rsidR="006D175E" w:rsidRDefault="00011577" w:rsidP="006D175E">
      <w:pPr>
        <w:numPr>
          <w:ilvl w:val="0"/>
          <w:numId w:val="6"/>
        </w:numPr>
        <w:tabs>
          <w:tab w:val="clear" w:pos="360"/>
        </w:tabs>
        <w:suppressAutoHyphens/>
        <w:ind w:left="550" w:hanging="550"/>
        <w:rPr>
          <w:szCs w:val="22"/>
          <w:lang w:val="pt-PT"/>
        </w:rPr>
      </w:pPr>
      <w:r w:rsidRPr="002A54AF">
        <w:rPr>
          <w:szCs w:val="22"/>
          <w:lang w:val="pt-PT"/>
        </w:rPr>
        <w:t>Ritonavir (utilizado no tratamento da infeção por VIH) em doses de 100</w:t>
      </w:r>
      <w:r w:rsidR="00F66FD2" w:rsidRPr="002A54AF">
        <w:rPr>
          <w:szCs w:val="22"/>
          <w:lang w:val="pt-PT"/>
        </w:rPr>
        <w:t> </w:t>
      </w:r>
      <w:r w:rsidRPr="002A54AF">
        <w:rPr>
          <w:szCs w:val="22"/>
          <w:lang w:val="pt-PT"/>
        </w:rPr>
        <w:t>mg, duas vezes por dia.</w:t>
      </w:r>
    </w:p>
    <w:p w14:paraId="4AE53CB4" w14:textId="77777777" w:rsidR="006D175E" w:rsidRPr="006D175E" w:rsidRDefault="006D175E" w:rsidP="00EF6A1B">
      <w:pPr>
        <w:numPr>
          <w:ilvl w:val="0"/>
          <w:numId w:val="6"/>
        </w:numPr>
        <w:tabs>
          <w:tab w:val="clear" w:pos="360"/>
        </w:tabs>
        <w:suppressAutoHyphens/>
        <w:ind w:left="550" w:hanging="550"/>
        <w:rPr>
          <w:szCs w:val="22"/>
          <w:lang w:val="pt-PT"/>
        </w:rPr>
      </w:pPr>
      <w:r w:rsidRPr="006D175E">
        <w:rPr>
          <w:szCs w:val="22"/>
          <w:lang w:val="pt-PT"/>
        </w:rPr>
        <w:t>Glasdegib (utilizado no tratamento do cancro) – se precisar de utilizar os dois medicamentos, o</w:t>
      </w:r>
      <w:r>
        <w:rPr>
          <w:szCs w:val="22"/>
          <w:lang w:val="pt-PT"/>
        </w:rPr>
        <w:t xml:space="preserve"> </w:t>
      </w:r>
      <w:r w:rsidRPr="006D175E">
        <w:rPr>
          <w:szCs w:val="22"/>
          <w:lang w:val="pt-PT"/>
        </w:rPr>
        <w:t>médico irá monitorizar o seu ritmo cardíaco com frequência</w:t>
      </w:r>
      <w:r>
        <w:rPr>
          <w:szCs w:val="22"/>
          <w:lang w:val="pt-PT"/>
        </w:rPr>
        <w:t>.</w:t>
      </w:r>
    </w:p>
    <w:p w14:paraId="5756ADFD" w14:textId="77777777" w:rsidR="00011577" w:rsidRPr="002A54AF" w:rsidRDefault="00011577" w:rsidP="00011577">
      <w:pPr>
        <w:tabs>
          <w:tab w:val="left" w:pos="567"/>
        </w:tabs>
        <w:suppressAutoHyphens/>
        <w:rPr>
          <w:szCs w:val="22"/>
          <w:lang w:val="pt-PT"/>
        </w:rPr>
      </w:pPr>
    </w:p>
    <w:p w14:paraId="335DB2A1" w14:textId="77777777" w:rsidR="00011577" w:rsidRDefault="00011577" w:rsidP="00011577">
      <w:pPr>
        <w:tabs>
          <w:tab w:val="left" w:pos="567"/>
        </w:tabs>
        <w:suppressAutoHyphens/>
        <w:rPr>
          <w:szCs w:val="22"/>
          <w:lang w:val="pt-PT"/>
        </w:rPr>
      </w:pPr>
      <w:r w:rsidRPr="002A54AF">
        <w:rPr>
          <w:szCs w:val="22"/>
          <w:lang w:val="pt-PT"/>
        </w:rPr>
        <w:t>Informe o seu médico se estiver a tomar um dos medicamentos seguintes uma vez que o tratamento</w:t>
      </w:r>
      <w:r w:rsidR="00814BD4" w:rsidRPr="002A54AF">
        <w:rPr>
          <w:szCs w:val="22"/>
          <w:lang w:val="pt-PT"/>
        </w:rPr>
        <w:t xml:space="preserve"> </w:t>
      </w:r>
      <w:r w:rsidRPr="002A54AF">
        <w:rPr>
          <w:szCs w:val="22"/>
          <w:lang w:val="pt-PT"/>
        </w:rPr>
        <w:t>concomitante com Voriconazol Accord deverá ser evitado, e poderá ser necessário um ajuste da dose de voriconazol:</w:t>
      </w:r>
    </w:p>
    <w:p w14:paraId="2C9A9DA9" w14:textId="77777777" w:rsidR="00A572B3" w:rsidRPr="002A54AF" w:rsidRDefault="00A572B3" w:rsidP="00011577">
      <w:pPr>
        <w:tabs>
          <w:tab w:val="left" w:pos="567"/>
        </w:tabs>
        <w:suppressAutoHyphens/>
        <w:rPr>
          <w:szCs w:val="22"/>
          <w:lang w:val="pt-PT"/>
        </w:rPr>
      </w:pPr>
    </w:p>
    <w:p w14:paraId="429F27B3" w14:textId="77777777" w:rsidR="00011577" w:rsidRPr="002A54AF" w:rsidRDefault="00011577" w:rsidP="00E72BDD">
      <w:pPr>
        <w:numPr>
          <w:ilvl w:val="0"/>
          <w:numId w:val="6"/>
        </w:numPr>
        <w:tabs>
          <w:tab w:val="clear" w:pos="360"/>
          <w:tab w:val="left" w:pos="567"/>
        </w:tabs>
        <w:suppressAutoHyphens/>
        <w:ind w:left="567" w:hanging="567"/>
        <w:rPr>
          <w:szCs w:val="22"/>
          <w:lang w:val="pt-PT"/>
        </w:rPr>
      </w:pPr>
      <w:r w:rsidRPr="002A54AF">
        <w:rPr>
          <w:szCs w:val="22"/>
          <w:lang w:val="pt-PT"/>
        </w:rPr>
        <w:t>Rifabutina (utilizado para tratamento da tuberculose). Se já está a ser tratado com rifabutina as</w:t>
      </w:r>
      <w:r w:rsidRPr="002A54AF">
        <w:rPr>
          <w:bCs/>
          <w:szCs w:val="22"/>
          <w:lang w:val="pt-PT"/>
        </w:rPr>
        <w:t xml:space="preserve"> suas análises ao sangue e os efeitos adversos à rifabutina, terão de ser monitorizados.</w:t>
      </w:r>
    </w:p>
    <w:p w14:paraId="6EC2C68E"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Fenitoína (utilizado para tratamento da epilepsia). Se já está a ser tratado com fenitoína a sua concentração sanguínea de fenitoína terá de ser monitorizada durante o tratamento com Voriconazol Accord e a dose poderá ser ajustada.</w:t>
      </w:r>
    </w:p>
    <w:p w14:paraId="41482F32" w14:textId="77777777" w:rsidR="00011577" w:rsidRPr="002A54AF" w:rsidRDefault="00011577" w:rsidP="00011577">
      <w:pPr>
        <w:tabs>
          <w:tab w:val="left" w:pos="567"/>
        </w:tabs>
        <w:suppressAutoHyphens/>
        <w:rPr>
          <w:szCs w:val="22"/>
          <w:lang w:val="pt-PT"/>
        </w:rPr>
      </w:pPr>
    </w:p>
    <w:p w14:paraId="09476384" w14:textId="77777777" w:rsidR="00011577" w:rsidRDefault="00011577" w:rsidP="00011577">
      <w:pPr>
        <w:tabs>
          <w:tab w:val="left" w:pos="567"/>
        </w:tabs>
        <w:suppressAutoHyphens/>
        <w:rPr>
          <w:szCs w:val="22"/>
          <w:lang w:val="pt-PT"/>
        </w:rPr>
      </w:pPr>
      <w:r w:rsidRPr="002A54AF">
        <w:rPr>
          <w:szCs w:val="22"/>
          <w:lang w:val="pt-PT"/>
        </w:rPr>
        <w:t>Informe o seu médico se estiver a tomar algum dos seguintes medicamentos, pois podem necessitar de um ajuste de dose ou de serem monitorizados para verificar se os medicamentos e/ou Voriconazol Accord continuam a ter o efeito desejado:</w:t>
      </w:r>
    </w:p>
    <w:p w14:paraId="12C163F9" w14:textId="77777777" w:rsidR="00A572B3" w:rsidRPr="002A54AF" w:rsidRDefault="00A572B3" w:rsidP="00011577">
      <w:pPr>
        <w:tabs>
          <w:tab w:val="left" w:pos="567"/>
        </w:tabs>
        <w:suppressAutoHyphens/>
        <w:rPr>
          <w:szCs w:val="22"/>
          <w:lang w:val="pt-PT"/>
        </w:rPr>
      </w:pPr>
    </w:p>
    <w:p w14:paraId="2024F098" w14:textId="77777777" w:rsidR="00011577" w:rsidRPr="002A54AF" w:rsidRDefault="00011577" w:rsidP="00E72BDD">
      <w:pPr>
        <w:numPr>
          <w:ilvl w:val="0"/>
          <w:numId w:val="6"/>
        </w:numPr>
        <w:tabs>
          <w:tab w:val="clear" w:pos="360"/>
          <w:tab w:val="left" w:pos="567"/>
        </w:tabs>
        <w:suppressAutoHyphens/>
        <w:ind w:left="550" w:hanging="550"/>
        <w:rPr>
          <w:szCs w:val="22"/>
          <w:lang w:val="pt-PT"/>
        </w:rPr>
      </w:pPr>
      <w:r w:rsidRPr="002A54AF">
        <w:rPr>
          <w:szCs w:val="22"/>
          <w:lang w:val="pt-PT"/>
        </w:rPr>
        <w:t>Varfarina e outros anticoagulantes (por exemplo, femprocumon, acenocumarol) (utilizados para diminuir a coagulação do sangue)</w:t>
      </w:r>
    </w:p>
    <w:p w14:paraId="442EC658"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Ciclosporina (utilizado em doentes transplantados)</w:t>
      </w:r>
    </w:p>
    <w:p w14:paraId="517BF09D"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Tacrolímus (utilizado em doentes transplantados)</w:t>
      </w:r>
    </w:p>
    <w:p w14:paraId="1ACA9E4A"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Sulfonilureias (ex.</w:t>
      </w:r>
      <w:r w:rsidR="00C44B02" w:rsidRPr="002A54AF">
        <w:rPr>
          <w:szCs w:val="22"/>
          <w:lang w:val="pt-PT"/>
        </w:rPr>
        <w:t>,</w:t>
      </w:r>
      <w:r w:rsidRPr="002A54AF">
        <w:rPr>
          <w:szCs w:val="22"/>
          <w:lang w:val="pt-PT"/>
        </w:rPr>
        <w:t xml:space="preserve"> tolbutamida, glipizida e gliburida) (utilizadas para a diabetes)</w:t>
      </w:r>
    </w:p>
    <w:p w14:paraId="6A273BE5"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Estatinas (ex.</w:t>
      </w:r>
      <w:r w:rsidR="00C44B02" w:rsidRPr="002A54AF">
        <w:rPr>
          <w:szCs w:val="22"/>
          <w:lang w:val="pt-PT"/>
        </w:rPr>
        <w:t>,</w:t>
      </w:r>
      <w:r w:rsidRPr="002A54AF">
        <w:rPr>
          <w:szCs w:val="22"/>
          <w:lang w:val="pt-PT"/>
        </w:rPr>
        <w:t xml:space="preserve"> atorvastatina, sinvastatina) (utilizadas para diminuir o colesterol)</w:t>
      </w:r>
    </w:p>
    <w:p w14:paraId="7E31B72D"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Benzodiazepinas (ex.</w:t>
      </w:r>
      <w:r w:rsidR="00C44B02" w:rsidRPr="002A54AF">
        <w:rPr>
          <w:szCs w:val="22"/>
          <w:lang w:val="pt-PT"/>
        </w:rPr>
        <w:t>,</w:t>
      </w:r>
      <w:r w:rsidRPr="002A54AF">
        <w:rPr>
          <w:szCs w:val="22"/>
          <w:lang w:val="pt-PT"/>
        </w:rPr>
        <w:t xml:space="preserve"> midazolam, triazolam) (utilizadas para a insónia grave e stress)</w:t>
      </w:r>
    </w:p>
    <w:p w14:paraId="544D2445"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Omeprazol (utilizado para o tratamento de úlceras)</w:t>
      </w:r>
    </w:p>
    <w:p w14:paraId="2E754CB3"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Contracetivos orais (se tomar Voriconazol Accord enquanto utilizar contracetivos orais, poderá ter efeitos secundários, como náuseas e perturbações menstruais)</w:t>
      </w:r>
    </w:p>
    <w:p w14:paraId="650C3C80"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lastRenderedPageBreak/>
        <w:t>Alcalóides da Vinca (ex.</w:t>
      </w:r>
      <w:r w:rsidR="00C44B02" w:rsidRPr="002A54AF">
        <w:rPr>
          <w:szCs w:val="22"/>
          <w:lang w:val="pt-PT"/>
        </w:rPr>
        <w:t>,</w:t>
      </w:r>
      <w:r w:rsidRPr="002A54AF">
        <w:rPr>
          <w:szCs w:val="22"/>
          <w:lang w:val="pt-PT"/>
        </w:rPr>
        <w:t xml:space="preserve"> vincristina e vinblastina) (utilizados para tratamento do cancro)</w:t>
      </w:r>
    </w:p>
    <w:p w14:paraId="2179F3A9" w14:textId="77777777" w:rsidR="006D175E" w:rsidRDefault="00011577" w:rsidP="006D175E">
      <w:pPr>
        <w:numPr>
          <w:ilvl w:val="0"/>
          <w:numId w:val="6"/>
        </w:numPr>
        <w:tabs>
          <w:tab w:val="clear" w:pos="360"/>
        </w:tabs>
        <w:suppressAutoHyphens/>
        <w:ind w:left="550" w:hanging="550"/>
        <w:rPr>
          <w:szCs w:val="22"/>
          <w:lang w:val="pt-PT"/>
        </w:rPr>
      </w:pPr>
      <w:r w:rsidRPr="002A54AF">
        <w:rPr>
          <w:szCs w:val="22"/>
          <w:lang w:val="pt-PT"/>
        </w:rPr>
        <w:t>Indinavir e outros inibidores da protease do VIH (utilizados para tratamento de infeções pelo VIH)</w:t>
      </w:r>
    </w:p>
    <w:p w14:paraId="5E856938" w14:textId="77777777" w:rsidR="006D175E" w:rsidRPr="004E006F" w:rsidRDefault="006D175E" w:rsidP="00EF6A1B">
      <w:pPr>
        <w:numPr>
          <w:ilvl w:val="0"/>
          <w:numId w:val="6"/>
        </w:numPr>
        <w:tabs>
          <w:tab w:val="clear" w:pos="360"/>
        </w:tabs>
        <w:suppressAutoHyphens/>
        <w:ind w:left="550" w:hanging="550"/>
        <w:rPr>
          <w:szCs w:val="22"/>
          <w:lang w:val="pt-PT"/>
        </w:rPr>
      </w:pPr>
      <w:r w:rsidRPr="006D175E">
        <w:rPr>
          <w:szCs w:val="22"/>
          <w:lang w:val="pt-PT"/>
        </w:rPr>
        <w:t>Inibidores da tirosinacinase (por exemplo, axitinib, bosutinib, cabozantinib, ceritinib, cobimetinib, dabrafenib, dasatinib, nilotinib, sunitinib, ibrutinib, ribociclib) (utilizados no tratamento do cancro)</w:t>
      </w:r>
    </w:p>
    <w:p w14:paraId="3F22667B"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Inibidores da transcriptase reversa não-nucleósidos (ex.</w:t>
      </w:r>
      <w:r w:rsidR="00C44B02" w:rsidRPr="002A54AF">
        <w:rPr>
          <w:szCs w:val="22"/>
          <w:lang w:val="pt-PT"/>
        </w:rPr>
        <w:t>,</w:t>
      </w:r>
      <w:r w:rsidRPr="002A54AF">
        <w:rPr>
          <w:szCs w:val="22"/>
          <w:lang w:val="pt-PT"/>
        </w:rPr>
        <w:t xml:space="preserve"> efavirenz, delavirdina, nevirapina) (utilizados para tratamento da infeção pelo VIH) (algumas doses de efavirenz NÃO podem ser tomadas ao mesmo tempo que Voriconazol Accord)</w:t>
      </w:r>
    </w:p>
    <w:p w14:paraId="25C24E0F"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Metadona (utilizada para tratamento da dependência de heroína)</w:t>
      </w:r>
    </w:p>
    <w:p w14:paraId="2A3952F8"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Alfentanilo e fentanilo e outros opiáceos de curta ação como o sufentanilo (medicamentos para a dor utilizados em procedimentos cirúrgicos)</w:t>
      </w:r>
    </w:p>
    <w:p w14:paraId="7430AC70"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Oxicodona e outros opiáceos de ação prolongada tais como a hidrocodona (utilizada para a dor severa a moderada)</w:t>
      </w:r>
    </w:p>
    <w:p w14:paraId="0A54354F"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Medicamentos anti-inflamatórios não esteroides (ex.</w:t>
      </w:r>
      <w:r w:rsidR="00C44B02" w:rsidRPr="002A54AF">
        <w:rPr>
          <w:szCs w:val="22"/>
          <w:lang w:val="pt-PT"/>
        </w:rPr>
        <w:t>,</w:t>
      </w:r>
      <w:r w:rsidRPr="002A54AF">
        <w:rPr>
          <w:szCs w:val="22"/>
          <w:lang w:val="pt-PT"/>
        </w:rPr>
        <w:t xml:space="preserve"> ibuprofeno, diclofenac) (utilizados para tratar a dor e a inflamação)</w:t>
      </w:r>
    </w:p>
    <w:p w14:paraId="5B8DCB79" w14:textId="77777777" w:rsidR="00011577" w:rsidRPr="002A54AF" w:rsidRDefault="00011577" w:rsidP="00E72BDD">
      <w:pPr>
        <w:numPr>
          <w:ilvl w:val="0"/>
          <w:numId w:val="6"/>
        </w:numPr>
        <w:tabs>
          <w:tab w:val="clear" w:pos="360"/>
        </w:tabs>
        <w:suppressAutoHyphens/>
        <w:ind w:left="550" w:hanging="550"/>
        <w:rPr>
          <w:szCs w:val="22"/>
          <w:lang w:val="pt-PT"/>
        </w:rPr>
      </w:pPr>
      <w:r w:rsidRPr="002A54AF">
        <w:rPr>
          <w:szCs w:val="22"/>
          <w:lang w:val="pt-PT"/>
        </w:rPr>
        <w:t>Fluconazol (utilizado para infeções fúngicas)</w:t>
      </w:r>
    </w:p>
    <w:p w14:paraId="69C3CE80" w14:textId="77777777" w:rsidR="00011577" w:rsidRDefault="00011577" w:rsidP="00E72BDD">
      <w:pPr>
        <w:numPr>
          <w:ilvl w:val="0"/>
          <w:numId w:val="6"/>
        </w:numPr>
        <w:tabs>
          <w:tab w:val="clear" w:pos="360"/>
        </w:tabs>
        <w:suppressAutoHyphens/>
        <w:ind w:left="550" w:hanging="550"/>
        <w:rPr>
          <w:szCs w:val="22"/>
          <w:lang w:val="pt-PT"/>
        </w:rPr>
      </w:pPr>
      <w:r w:rsidRPr="002A54AF">
        <w:rPr>
          <w:szCs w:val="22"/>
          <w:lang w:val="pt-PT"/>
        </w:rPr>
        <w:t>Everolímus (utilizado no tratamento de doentes com cancro do rim avançado e doentes transplantados)</w:t>
      </w:r>
    </w:p>
    <w:p w14:paraId="17D5F3C5" w14:textId="77777777" w:rsidR="004D3428" w:rsidRPr="004D3428" w:rsidRDefault="004D3428" w:rsidP="004D3428">
      <w:pPr>
        <w:numPr>
          <w:ilvl w:val="0"/>
          <w:numId w:val="6"/>
        </w:numPr>
        <w:tabs>
          <w:tab w:val="clear" w:pos="360"/>
        </w:tabs>
        <w:suppressAutoHyphens/>
        <w:rPr>
          <w:szCs w:val="22"/>
          <w:lang w:val="pt-PT"/>
        </w:rPr>
      </w:pPr>
      <w:r w:rsidRPr="004D3428">
        <w:rPr>
          <w:szCs w:val="22"/>
          <w:lang w:val="pt-PT"/>
        </w:rPr>
        <w:t>Letermovir [utilizado para a prevenção da doença por citomegalovírus (CMV) após um</w:t>
      </w:r>
      <w:r>
        <w:rPr>
          <w:szCs w:val="22"/>
          <w:lang w:val="pt-PT"/>
        </w:rPr>
        <w:t xml:space="preserve"> </w:t>
      </w:r>
      <w:r w:rsidRPr="004D3428">
        <w:rPr>
          <w:szCs w:val="22"/>
          <w:lang w:val="pt-PT"/>
        </w:rPr>
        <w:t>transplante de medula óssea]</w:t>
      </w:r>
    </w:p>
    <w:p w14:paraId="05F59C4B" w14:textId="4FEFCCC7" w:rsidR="00011577" w:rsidRDefault="004D3428" w:rsidP="00EF6A1B">
      <w:pPr>
        <w:numPr>
          <w:ilvl w:val="0"/>
          <w:numId w:val="30"/>
        </w:numPr>
        <w:tabs>
          <w:tab w:val="left" w:pos="567"/>
        </w:tabs>
        <w:suppressAutoHyphens/>
        <w:rPr>
          <w:szCs w:val="22"/>
          <w:lang w:val="pt-PT"/>
        </w:rPr>
      </w:pPr>
      <w:r w:rsidRPr="004D3428">
        <w:rPr>
          <w:szCs w:val="22"/>
          <w:lang w:val="pt-PT"/>
        </w:rPr>
        <w:t xml:space="preserve">Ivacaftor: utilizado para tratar a fibrose cística </w:t>
      </w:r>
    </w:p>
    <w:p w14:paraId="3D8FD76B" w14:textId="09E25CF5" w:rsidR="00C83AE3" w:rsidRPr="002A54AF" w:rsidRDefault="00C83AE3" w:rsidP="00EF6A1B">
      <w:pPr>
        <w:numPr>
          <w:ilvl w:val="0"/>
          <w:numId w:val="30"/>
        </w:numPr>
        <w:tabs>
          <w:tab w:val="left" w:pos="567"/>
        </w:tabs>
        <w:suppressAutoHyphens/>
        <w:rPr>
          <w:szCs w:val="22"/>
          <w:lang w:val="pt-PT"/>
        </w:rPr>
      </w:pPr>
      <w:r w:rsidRPr="00F96CAC">
        <w:rPr>
          <w:lang w:val="pt-PT"/>
        </w:rPr>
        <w:t>Flucloxacilina (antibiótico utilizado contra infeções bacterianas)</w:t>
      </w:r>
    </w:p>
    <w:p w14:paraId="3A79A6EA" w14:textId="77777777" w:rsidR="006D175E" w:rsidRDefault="006D175E" w:rsidP="00011577">
      <w:pPr>
        <w:tabs>
          <w:tab w:val="left" w:pos="567"/>
        </w:tabs>
        <w:suppressAutoHyphens/>
        <w:rPr>
          <w:b/>
          <w:szCs w:val="22"/>
          <w:lang w:val="pt-PT"/>
        </w:rPr>
      </w:pPr>
    </w:p>
    <w:p w14:paraId="6805254A" w14:textId="77777777" w:rsidR="00011577" w:rsidRPr="002A54AF" w:rsidRDefault="00011577" w:rsidP="00011577">
      <w:pPr>
        <w:tabs>
          <w:tab w:val="left" w:pos="567"/>
        </w:tabs>
        <w:suppressAutoHyphens/>
        <w:rPr>
          <w:szCs w:val="22"/>
          <w:lang w:val="pt-PT"/>
        </w:rPr>
      </w:pPr>
      <w:r w:rsidRPr="002A54AF">
        <w:rPr>
          <w:b/>
          <w:szCs w:val="22"/>
          <w:lang w:val="pt-PT"/>
        </w:rPr>
        <w:t>Gravidez e amamentação</w:t>
      </w:r>
    </w:p>
    <w:p w14:paraId="28747042" w14:textId="77777777" w:rsidR="00011577" w:rsidRPr="002A54AF" w:rsidRDefault="00011577" w:rsidP="00011577">
      <w:pPr>
        <w:tabs>
          <w:tab w:val="left" w:pos="567"/>
        </w:tabs>
        <w:suppressAutoHyphens/>
        <w:rPr>
          <w:szCs w:val="22"/>
          <w:lang w:val="pt-PT"/>
        </w:rPr>
      </w:pPr>
      <w:r w:rsidRPr="002A54AF">
        <w:rPr>
          <w:szCs w:val="22"/>
          <w:lang w:val="pt-PT"/>
        </w:rPr>
        <w:t>Voriconazol Accord não pode ser tomado durante a gravidez, exceto por indicação do seu médico. As mulheres em idade fértil deverão utilizar um método contracetivo eficaz. Contacte o seu médico imediatamente se ficar grávida enquanto está a tomar Voriconazol Accord.</w:t>
      </w:r>
    </w:p>
    <w:p w14:paraId="16036ECB" w14:textId="77777777" w:rsidR="00011577" w:rsidRPr="002A54AF" w:rsidRDefault="00011577" w:rsidP="00011577">
      <w:pPr>
        <w:tabs>
          <w:tab w:val="left" w:pos="567"/>
        </w:tabs>
        <w:suppressAutoHyphens/>
        <w:rPr>
          <w:szCs w:val="22"/>
          <w:lang w:val="pt-PT"/>
        </w:rPr>
      </w:pPr>
    </w:p>
    <w:p w14:paraId="1CBE1AEB" w14:textId="77777777" w:rsidR="00011577" w:rsidRPr="002A54AF" w:rsidRDefault="008D23D3" w:rsidP="00011577">
      <w:pPr>
        <w:tabs>
          <w:tab w:val="left" w:pos="567"/>
        </w:tabs>
        <w:suppressAutoHyphens/>
        <w:rPr>
          <w:szCs w:val="22"/>
          <w:lang w:val="pt-PT"/>
        </w:rPr>
      </w:pPr>
      <w:r w:rsidRPr="002A54AF">
        <w:rPr>
          <w:noProof/>
          <w:szCs w:val="22"/>
          <w:lang w:val="pt-PT"/>
        </w:rPr>
        <w:t>Se está grávida ou a amamentar, se pensa estar grávida ou planeia engravidar, consulte o seu médico ou farmacêutico antes de tomar este medicamento.</w:t>
      </w:r>
    </w:p>
    <w:p w14:paraId="441B738D" w14:textId="77777777" w:rsidR="00011577" w:rsidRPr="002A54AF" w:rsidRDefault="00011577" w:rsidP="00011577">
      <w:pPr>
        <w:tabs>
          <w:tab w:val="left" w:pos="567"/>
        </w:tabs>
        <w:suppressAutoHyphens/>
        <w:rPr>
          <w:szCs w:val="22"/>
          <w:lang w:val="pt-PT"/>
        </w:rPr>
      </w:pPr>
    </w:p>
    <w:p w14:paraId="6C2CBB51" w14:textId="77777777" w:rsidR="00011577" w:rsidRPr="002A54AF" w:rsidRDefault="00011577" w:rsidP="00011577">
      <w:pPr>
        <w:tabs>
          <w:tab w:val="left" w:pos="567"/>
        </w:tabs>
        <w:suppressAutoHyphens/>
        <w:rPr>
          <w:szCs w:val="22"/>
          <w:lang w:val="pt-PT"/>
        </w:rPr>
      </w:pPr>
      <w:r w:rsidRPr="002A54AF">
        <w:rPr>
          <w:b/>
          <w:szCs w:val="22"/>
          <w:lang w:val="pt-PT"/>
        </w:rPr>
        <w:t>Condução de veículos e utilização de máquinas</w:t>
      </w:r>
    </w:p>
    <w:p w14:paraId="0B1AFD21" w14:textId="77777777" w:rsidR="00011577" w:rsidRPr="002A54AF" w:rsidRDefault="00011577" w:rsidP="00011577">
      <w:pPr>
        <w:tabs>
          <w:tab w:val="left" w:pos="567"/>
        </w:tabs>
        <w:suppressAutoHyphens/>
        <w:rPr>
          <w:szCs w:val="22"/>
          <w:lang w:val="pt-PT"/>
        </w:rPr>
      </w:pPr>
      <w:r w:rsidRPr="002A54AF">
        <w:rPr>
          <w:szCs w:val="22"/>
          <w:lang w:val="pt-PT"/>
        </w:rPr>
        <w:t>Voriconazol Accord pode provocar visão turva ou sensação de desconforto à luz. Quando afetado, não conduza nem utilize ferramentas ou máquinas. Contacte o seu médico se tiver tido estas reações.</w:t>
      </w:r>
    </w:p>
    <w:p w14:paraId="256D8147" w14:textId="77777777" w:rsidR="00011577" w:rsidRPr="002A54AF" w:rsidRDefault="00011577" w:rsidP="00011577">
      <w:pPr>
        <w:tabs>
          <w:tab w:val="left" w:pos="3469"/>
        </w:tabs>
        <w:suppressAutoHyphens/>
        <w:rPr>
          <w:szCs w:val="22"/>
          <w:lang w:val="pt-PT"/>
        </w:rPr>
      </w:pPr>
      <w:r w:rsidRPr="002A54AF">
        <w:rPr>
          <w:szCs w:val="22"/>
          <w:lang w:val="pt-PT"/>
        </w:rPr>
        <w:tab/>
      </w:r>
    </w:p>
    <w:p w14:paraId="750553A9" w14:textId="77777777" w:rsidR="00011577" w:rsidRPr="002A54AF" w:rsidRDefault="00011577" w:rsidP="00011577">
      <w:pPr>
        <w:tabs>
          <w:tab w:val="left" w:pos="567"/>
        </w:tabs>
        <w:suppressAutoHyphens/>
        <w:rPr>
          <w:b/>
          <w:szCs w:val="22"/>
          <w:lang w:val="pt-PT"/>
        </w:rPr>
      </w:pPr>
      <w:r w:rsidRPr="002A54AF">
        <w:rPr>
          <w:b/>
          <w:szCs w:val="22"/>
          <w:lang w:val="pt-PT"/>
        </w:rPr>
        <w:t>Voriconazol Accord contém lactose</w:t>
      </w:r>
    </w:p>
    <w:p w14:paraId="6867768C" w14:textId="77777777" w:rsidR="00011577" w:rsidRDefault="00011577" w:rsidP="00011577">
      <w:pPr>
        <w:tabs>
          <w:tab w:val="left" w:pos="567"/>
        </w:tabs>
        <w:suppressAutoHyphens/>
        <w:rPr>
          <w:szCs w:val="22"/>
          <w:lang w:val="pt-PT"/>
        </w:rPr>
      </w:pPr>
      <w:r w:rsidRPr="002A54AF">
        <w:rPr>
          <w:szCs w:val="22"/>
          <w:lang w:val="pt-PT"/>
        </w:rPr>
        <w:t>Se o seu médico o informou que tem uma intolerância a alguns açúcares, contacte-o antes de tomar Voriconazol Accord.</w:t>
      </w:r>
    </w:p>
    <w:p w14:paraId="643BD84F" w14:textId="77777777" w:rsidR="004D3428" w:rsidRDefault="004D3428" w:rsidP="00011577">
      <w:pPr>
        <w:tabs>
          <w:tab w:val="left" w:pos="567"/>
        </w:tabs>
        <w:suppressAutoHyphens/>
        <w:rPr>
          <w:szCs w:val="22"/>
          <w:lang w:val="pt-PT"/>
        </w:rPr>
      </w:pPr>
    </w:p>
    <w:p w14:paraId="66E64DC7" w14:textId="77777777" w:rsidR="004D3428" w:rsidRPr="00646C77" w:rsidRDefault="004D3428" w:rsidP="004D3428">
      <w:pPr>
        <w:tabs>
          <w:tab w:val="left" w:pos="567"/>
        </w:tabs>
        <w:suppressAutoHyphens/>
        <w:rPr>
          <w:b/>
          <w:bCs/>
          <w:szCs w:val="22"/>
          <w:lang w:val="pt-PT"/>
        </w:rPr>
      </w:pPr>
      <w:r w:rsidRPr="00646C77">
        <w:rPr>
          <w:b/>
          <w:bCs/>
          <w:szCs w:val="22"/>
          <w:lang w:val="pt-PT"/>
        </w:rPr>
        <w:t>Voriconazol Accord contém sódio</w:t>
      </w:r>
    </w:p>
    <w:p w14:paraId="2C42A788" w14:textId="77777777" w:rsidR="004D3428" w:rsidRDefault="004D3428" w:rsidP="004D3428">
      <w:pPr>
        <w:tabs>
          <w:tab w:val="left" w:pos="567"/>
        </w:tabs>
        <w:suppressAutoHyphens/>
        <w:rPr>
          <w:szCs w:val="22"/>
          <w:lang w:val="pt-PT"/>
        </w:rPr>
      </w:pPr>
      <w:r w:rsidRPr="004D3428">
        <w:rPr>
          <w:szCs w:val="22"/>
          <w:lang w:val="pt-PT"/>
        </w:rPr>
        <w:t>Este medicamento contém menos do que 1 mmol (23 mg) de sódio por comprimido de 50 mg, ou seja,</w:t>
      </w:r>
      <w:r>
        <w:rPr>
          <w:szCs w:val="22"/>
          <w:lang w:val="pt-PT"/>
        </w:rPr>
        <w:t xml:space="preserve"> </w:t>
      </w:r>
      <w:r w:rsidRPr="004D3428">
        <w:rPr>
          <w:szCs w:val="22"/>
          <w:lang w:val="pt-PT"/>
        </w:rPr>
        <w:t>é praticamente “isento de sódio”.</w:t>
      </w:r>
    </w:p>
    <w:p w14:paraId="1421D6E3" w14:textId="77777777" w:rsidR="004D3428" w:rsidRPr="004D3428" w:rsidRDefault="004D3428" w:rsidP="004D3428">
      <w:pPr>
        <w:tabs>
          <w:tab w:val="left" w:pos="567"/>
        </w:tabs>
        <w:suppressAutoHyphens/>
        <w:rPr>
          <w:szCs w:val="22"/>
          <w:lang w:val="pt-PT"/>
        </w:rPr>
      </w:pPr>
    </w:p>
    <w:p w14:paraId="713D8B11" w14:textId="77777777" w:rsidR="00011577" w:rsidRPr="002A54AF" w:rsidRDefault="004D3428" w:rsidP="00011577">
      <w:pPr>
        <w:tabs>
          <w:tab w:val="left" w:pos="567"/>
        </w:tabs>
        <w:suppressAutoHyphens/>
        <w:rPr>
          <w:szCs w:val="22"/>
          <w:lang w:val="pt-PT"/>
        </w:rPr>
      </w:pPr>
      <w:r w:rsidRPr="004D3428">
        <w:rPr>
          <w:szCs w:val="22"/>
          <w:lang w:val="pt-PT"/>
        </w:rPr>
        <w:t>Este medicamento contém menos do que 1 mmol (23 mg) de sódio por comprimido de 200 mg, ou</w:t>
      </w:r>
      <w:r>
        <w:rPr>
          <w:szCs w:val="22"/>
          <w:lang w:val="pt-PT"/>
        </w:rPr>
        <w:t xml:space="preserve"> </w:t>
      </w:r>
      <w:r w:rsidRPr="004D3428">
        <w:rPr>
          <w:szCs w:val="22"/>
          <w:lang w:val="pt-PT"/>
        </w:rPr>
        <w:t>seja, é praticamente “isento de sódio”.</w:t>
      </w:r>
    </w:p>
    <w:p w14:paraId="610D0BC0" w14:textId="77777777" w:rsidR="00011577" w:rsidRPr="002A54AF" w:rsidRDefault="00011577" w:rsidP="00011577">
      <w:pPr>
        <w:tabs>
          <w:tab w:val="left" w:pos="567"/>
        </w:tabs>
        <w:suppressAutoHyphens/>
        <w:rPr>
          <w:szCs w:val="22"/>
          <w:lang w:val="pt-PT"/>
        </w:rPr>
      </w:pPr>
    </w:p>
    <w:p w14:paraId="4C88B943" w14:textId="77777777" w:rsidR="00011577" w:rsidRPr="002A54AF" w:rsidRDefault="00011577" w:rsidP="00011577">
      <w:pPr>
        <w:keepNext/>
        <w:tabs>
          <w:tab w:val="left" w:pos="567"/>
        </w:tabs>
        <w:suppressAutoHyphens/>
        <w:rPr>
          <w:szCs w:val="22"/>
          <w:lang w:val="pt-PT"/>
        </w:rPr>
      </w:pPr>
      <w:r w:rsidRPr="002A54AF">
        <w:rPr>
          <w:b/>
          <w:szCs w:val="22"/>
          <w:lang w:val="pt-PT"/>
        </w:rPr>
        <w:t>3.</w:t>
      </w:r>
      <w:r w:rsidRPr="002A54AF">
        <w:rPr>
          <w:b/>
          <w:szCs w:val="22"/>
          <w:lang w:val="pt-PT"/>
        </w:rPr>
        <w:tab/>
        <w:t>Como tomar Voriconazol Accord</w:t>
      </w:r>
    </w:p>
    <w:p w14:paraId="34382A7D" w14:textId="77777777" w:rsidR="00011577" w:rsidRPr="002A54AF" w:rsidRDefault="00011577" w:rsidP="00011577">
      <w:pPr>
        <w:keepNext/>
        <w:tabs>
          <w:tab w:val="left" w:pos="567"/>
        </w:tabs>
        <w:suppressAutoHyphens/>
        <w:rPr>
          <w:szCs w:val="22"/>
          <w:lang w:val="pt-PT"/>
        </w:rPr>
      </w:pPr>
    </w:p>
    <w:p w14:paraId="69C2CD82" w14:textId="77777777" w:rsidR="00011577" w:rsidRPr="002A54AF" w:rsidRDefault="00011577" w:rsidP="00011577">
      <w:pPr>
        <w:keepNext/>
        <w:tabs>
          <w:tab w:val="left" w:pos="567"/>
        </w:tabs>
        <w:rPr>
          <w:szCs w:val="22"/>
          <w:lang w:val="pt-PT"/>
        </w:rPr>
      </w:pPr>
      <w:r w:rsidRPr="002A54AF">
        <w:rPr>
          <w:szCs w:val="22"/>
          <w:lang w:val="pt-PT"/>
        </w:rPr>
        <w:t>Tome este medicamento exatamente como indicado pelo seu médico. Fale com o seu médico ou farmacêutico se tiver dúvidas.</w:t>
      </w:r>
    </w:p>
    <w:p w14:paraId="7152D4BB" w14:textId="77777777" w:rsidR="00011577" w:rsidRPr="002A54AF" w:rsidRDefault="00011577" w:rsidP="00011577">
      <w:pPr>
        <w:keepNext/>
        <w:tabs>
          <w:tab w:val="left" w:pos="567"/>
        </w:tabs>
        <w:rPr>
          <w:szCs w:val="22"/>
          <w:lang w:val="pt-PT"/>
        </w:rPr>
      </w:pPr>
    </w:p>
    <w:p w14:paraId="11B80857" w14:textId="77777777" w:rsidR="00011577" w:rsidRPr="002A54AF" w:rsidRDefault="00011577" w:rsidP="00011577">
      <w:pPr>
        <w:keepNext/>
        <w:tabs>
          <w:tab w:val="left" w:pos="567"/>
        </w:tabs>
        <w:rPr>
          <w:szCs w:val="22"/>
          <w:lang w:val="pt-PT"/>
        </w:rPr>
      </w:pPr>
      <w:r w:rsidRPr="002A54AF">
        <w:rPr>
          <w:szCs w:val="22"/>
          <w:lang w:val="pt-PT"/>
        </w:rPr>
        <w:t>O seu médico irá determinar a sua dose dependendo do seu peso e tipo de infeção que apresenta.</w:t>
      </w:r>
    </w:p>
    <w:p w14:paraId="5C24B590" w14:textId="77777777" w:rsidR="00011577" w:rsidRPr="002A54AF" w:rsidRDefault="00011577" w:rsidP="00011577">
      <w:pPr>
        <w:pStyle w:val="BodyText2"/>
        <w:keepNext/>
        <w:tabs>
          <w:tab w:val="left" w:pos="567"/>
        </w:tabs>
        <w:rPr>
          <w:szCs w:val="22"/>
        </w:rPr>
      </w:pPr>
    </w:p>
    <w:p w14:paraId="07564BDA" w14:textId="77777777" w:rsidR="00011577" w:rsidRPr="002A54AF" w:rsidRDefault="00011577" w:rsidP="00011577">
      <w:pPr>
        <w:tabs>
          <w:tab w:val="left" w:pos="567"/>
        </w:tabs>
        <w:suppressAutoHyphens/>
        <w:rPr>
          <w:szCs w:val="22"/>
          <w:lang w:val="pt-PT"/>
        </w:rPr>
      </w:pPr>
      <w:r w:rsidRPr="002A54AF">
        <w:rPr>
          <w:szCs w:val="22"/>
          <w:lang w:val="pt-PT"/>
        </w:rPr>
        <w:t>A dose recomendada para adultos (incluindo os doentes idosos) é a seguinte:</w:t>
      </w:r>
    </w:p>
    <w:p w14:paraId="14A8AB50" w14:textId="77777777" w:rsidR="00011577" w:rsidRPr="002A54AF" w:rsidRDefault="00011577" w:rsidP="00011577">
      <w:pPr>
        <w:pStyle w:val="EndnoteText"/>
        <w:widowControl/>
        <w:suppressAutoHyphens/>
        <w:rPr>
          <w:szCs w:val="22"/>
        </w:rPr>
      </w:pPr>
    </w:p>
    <w:tbl>
      <w:tblPr>
        <w:tblW w:w="912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3078"/>
        <w:gridCol w:w="2734"/>
      </w:tblGrid>
      <w:tr w:rsidR="00011577" w:rsidRPr="002A54AF" w14:paraId="55ABB4DD" w14:textId="77777777" w:rsidTr="00011577">
        <w:trPr>
          <w:cantSplit/>
        </w:trPr>
        <w:tc>
          <w:tcPr>
            <w:tcW w:w="3312" w:type="dxa"/>
            <w:vMerge w:val="restart"/>
          </w:tcPr>
          <w:p w14:paraId="25C0C99F" w14:textId="77777777" w:rsidR="00011577" w:rsidRPr="002A54AF" w:rsidRDefault="00011577" w:rsidP="00011577">
            <w:pPr>
              <w:pStyle w:val="EndnoteText"/>
              <w:widowControl/>
              <w:suppressAutoHyphens/>
              <w:rPr>
                <w:szCs w:val="22"/>
              </w:rPr>
            </w:pPr>
          </w:p>
        </w:tc>
        <w:tc>
          <w:tcPr>
            <w:tcW w:w="5812" w:type="dxa"/>
            <w:gridSpan w:val="2"/>
          </w:tcPr>
          <w:p w14:paraId="70039D05" w14:textId="77777777" w:rsidR="00011577" w:rsidRPr="002A54AF" w:rsidRDefault="00011577" w:rsidP="00011577">
            <w:pPr>
              <w:pStyle w:val="Heading9"/>
              <w:keepNext w:val="0"/>
              <w:tabs>
                <w:tab w:val="left" w:pos="567"/>
              </w:tabs>
              <w:ind w:right="0"/>
              <w:jc w:val="center"/>
              <w:rPr>
                <w:sz w:val="22"/>
                <w:szCs w:val="22"/>
              </w:rPr>
            </w:pPr>
            <w:r w:rsidRPr="002A54AF">
              <w:rPr>
                <w:sz w:val="22"/>
                <w:szCs w:val="22"/>
              </w:rPr>
              <w:t>Comprimidos</w:t>
            </w:r>
          </w:p>
        </w:tc>
      </w:tr>
      <w:tr w:rsidR="00011577" w:rsidRPr="00376167" w14:paraId="5A2AC0ED" w14:textId="77777777" w:rsidTr="00011577">
        <w:trPr>
          <w:cantSplit/>
        </w:trPr>
        <w:tc>
          <w:tcPr>
            <w:tcW w:w="3312" w:type="dxa"/>
            <w:vMerge/>
          </w:tcPr>
          <w:p w14:paraId="3746596D" w14:textId="77777777" w:rsidR="00011577" w:rsidRPr="002A54AF" w:rsidRDefault="00011577" w:rsidP="00011577">
            <w:pPr>
              <w:tabs>
                <w:tab w:val="left" w:pos="567"/>
              </w:tabs>
              <w:suppressAutoHyphens/>
              <w:rPr>
                <w:szCs w:val="22"/>
                <w:lang w:val="pt-PT"/>
              </w:rPr>
            </w:pPr>
          </w:p>
        </w:tc>
        <w:tc>
          <w:tcPr>
            <w:tcW w:w="3078" w:type="dxa"/>
          </w:tcPr>
          <w:p w14:paraId="20E18DF4" w14:textId="77777777" w:rsidR="00011577" w:rsidRPr="002A54AF" w:rsidRDefault="00011577" w:rsidP="00011577">
            <w:pPr>
              <w:tabs>
                <w:tab w:val="left" w:pos="567"/>
              </w:tabs>
              <w:suppressAutoHyphens/>
              <w:jc w:val="center"/>
              <w:rPr>
                <w:szCs w:val="22"/>
                <w:u w:val="single"/>
                <w:lang w:val="pt-PT"/>
              </w:rPr>
            </w:pPr>
            <w:r w:rsidRPr="002A54AF">
              <w:rPr>
                <w:szCs w:val="22"/>
                <w:u w:val="single"/>
                <w:lang w:val="pt-PT"/>
              </w:rPr>
              <w:t>Doentes com peso igual ou superior a 40 kg</w:t>
            </w:r>
          </w:p>
        </w:tc>
        <w:tc>
          <w:tcPr>
            <w:tcW w:w="2734" w:type="dxa"/>
          </w:tcPr>
          <w:p w14:paraId="080F9DF0" w14:textId="77777777" w:rsidR="00011577" w:rsidRPr="002A54AF" w:rsidRDefault="00011577" w:rsidP="00011577">
            <w:pPr>
              <w:tabs>
                <w:tab w:val="left" w:pos="567"/>
              </w:tabs>
              <w:suppressAutoHyphens/>
              <w:jc w:val="center"/>
              <w:rPr>
                <w:szCs w:val="22"/>
                <w:u w:val="single"/>
                <w:lang w:val="pt-PT"/>
              </w:rPr>
            </w:pPr>
            <w:r w:rsidRPr="002A54AF">
              <w:rPr>
                <w:szCs w:val="22"/>
                <w:u w:val="single"/>
                <w:lang w:val="pt-PT"/>
              </w:rPr>
              <w:t>Doentes com peso inferior a 40 kg</w:t>
            </w:r>
          </w:p>
        </w:tc>
      </w:tr>
      <w:tr w:rsidR="00011577" w:rsidRPr="00C36368" w14:paraId="091563D5" w14:textId="77777777" w:rsidTr="00011577">
        <w:trPr>
          <w:trHeight w:val="557"/>
        </w:trPr>
        <w:tc>
          <w:tcPr>
            <w:tcW w:w="3312" w:type="dxa"/>
          </w:tcPr>
          <w:p w14:paraId="35381B8A" w14:textId="77777777" w:rsidR="00011577" w:rsidRPr="002A54AF" w:rsidRDefault="00011577" w:rsidP="00011577">
            <w:pPr>
              <w:tabs>
                <w:tab w:val="left" w:pos="567"/>
              </w:tabs>
              <w:suppressAutoHyphens/>
              <w:rPr>
                <w:b/>
                <w:szCs w:val="22"/>
                <w:lang w:val="pt-PT"/>
              </w:rPr>
            </w:pPr>
            <w:r w:rsidRPr="002A54AF">
              <w:rPr>
                <w:b/>
                <w:szCs w:val="22"/>
                <w:lang w:val="pt-PT"/>
              </w:rPr>
              <w:t>Dose para as primeiras 24 horas</w:t>
            </w:r>
          </w:p>
          <w:p w14:paraId="448555FF" w14:textId="77777777" w:rsidR="00011577" w:rsidRPr="002A54AF" w:rsidRDefault="00011577" w:rsidP="00011577">
            <w:pPr>
              <w:pStyle w:val="EndnoteText"/>
              <w:widowControl/>
              <w:suppressAutoHyphens/>
              <w:rPr>
                <w:szCs w:val="22"/>
              </w:rPr>
            </w:pPr>
            <w:r w:rsidRPr="002A54AF">
              <w:rPr>
                <w:szCs w:val="22"/>
              </w:rPr>
              <w:t>(Dose de carga)</w:t>
            </w:r>
          </w:p>
        </w:tc>
        <w:tc>
          <w:tcPr>
            <w:tcW w:w="3078" w:type="dxa"/>
          </w:tcPr>
          <w:p w14:paraId="4A4101CF" w14:textId="77777777" w:rsidR="00011577" w:rsidRPr="002A54AF" w:rsidRDefault="00011577" w:rsidP="00011577">
            <w:pPr>
              <w:pStyle w:val="EndnoteText"/>
              <w:widowControl/>
              <w:suppressAutoHyphens/>
              <w:jc w:val="center"/>
              <w:rPr>
                <w:szCs w:val="22"/>
              </w:rPr>
            </w:pPr>
            <w:r w:rsidRPr="002A54AF">
              <w:rPr>
                <w:szCs w:val="22"/>
              </w:rPr>
              <w:t>400 mg de 12 em 12 horas nas primeiras 24 horas</w:t>
            </w:r>
          </w:p>
        </w:tc>
        <w:tc>
          <w:tcPr>
            <w:tcW w:w="2734" w:type="dxa"/>
          </w:tcPr>
          <w:p w14:paraId="3AEF4ACD" w14:textId="77777777" w:rsidR="00011577" w:rsidRPr="002A54AF" w:rsidRDefault="00011577" w:rsidP="00011577">
            <w:pPr>
              <w:pStyle w:val="EndnoteText"/>
              <w:widowControl/>
              <w:suppressAutoHyphens/>
              <w:jc w:val="center"/>
              <w:rPr>
                <w:szCs w:val="22"/>
              </w:rPr>
            </w:pPr>
            <w:r w:rsidRPr="002A54AF">
              <w:rPr>
                <w:szCs w:val="22"/>
              </w:rPr>
              <w:t>200 mg de 12 em 12 horas nas primeiras 24</w:t>
            </w:r>
            <w:r w:rsidR="0020636B" w:rsidRPr="002A54AF">
              <w:rPr>
                <w:szCs w:val="22"/>
              </w:rPr>
              <w:t> </w:t>
            </w:r>
            <w:r w:rsidRPr="002A54AF">
              <w:rPr>
                <w:szCs w:val="22"/>
              </w:rPr>
              <w:t>horas</w:t>
            </w:r>
          </w:p>
        </w:tc>
      </w:tr>
      <w:tr w:rsidR="00011577" w:rsidRPr="00C36368" w14:paraId="2E21E3A7" w14:textId="77777777" w:rsidTr="00011577">
        <w:trPr>
          <w:trHeight w:val="565"/>
        </w:trPr>
        <w:tc>
          <w:tcPr>
            <w:tcW w:w="3312" w:type="dxa"/>
          </w:tcPr>
          <w:p w14:paraId="14A38F30" w14:textId="77777777" w:rsidR="00011577" w:rsidRPr="002A54AF" w:rsidRDefault="00011577" w:rsidP="00011577">
            <w:pPr>
              <w:tabs>
                <w:tab w:val="left" w:pos="567"/>
              </w:tabs>
              <w:suppressAutoHyphens/>
              <w:rPr>
                <w:b/>
                <w:szCs w:val="22"/>
                <w:lang w:val="pt-PT"/>
              </w:rPr>
            </w:pPr>
            <w:r w:rsidRPr="002A54AF">
              <w:rPr>
                <w:b/>
                <w:szCs w:val="22"/>
                <w:lang w:val="pt-PT"/>
              </w:rPr>
              <w:t>Dose após as primeiras 24 horas</w:t>
            </w:r>
          </w:p>
          <w:p w14:paraId="61B8EFBD" w14:textId="77777777" w:rsidR="00011577" w:rsidRPr="002A54AF" w:rsidRDefault="00011577" w:rsidP="00011577">
            <w:pPr>
              <w:pStyle w:val="Heading5"/>
              <w:keepNext w:val="0"/>
              <w:tabs>
                <w:tab w:val="left" w:pos="567"/>
              </w:tabs>
              <w:rPr>
                <w:b w:val="0"/>
                <w:bCs/>
                <w:i/>
                <w:szCs w:val="22"/>
              </w:rPr>
            </w:pPr>
            <w:r w:rsidRPr="002A54AF">
              <w:rPr>
                <w:b w:val="0"/>
                <w:bCs/>
                <w:szCs w:val="22"/>
              </w:rPr>
              <w:t>(Dose de manutenção)</w:t>
            </w:r>
          </w:p>
        </w:tc>
        <w:tc>
          <w:tcPr>
            <w:tcW w:w="3078" w:type="dxa"/>
          </w:tcPr>
          <w:p w14:paraId="0ED2148F" w14:textId="77777777" w:rsidR="00011577" w:rsidRPr="002A54AF" w:rsidRDefault="00011577" w:rsidP="00011577">
            <w:pPr>
              <w:tabs>
                <w:tab w:val="left" w:pos="567"/>
              </w:tabs>
              <w:suppressAutoHyphens/>
              <w:jc w:val="center"/>
              <w:rPr>
                <w:szCs w:val="22"/>
                <w:lang w:val="pt-PT"/>
              </w:rPr>
            </w:pPr>
            <w:r w:rsidRPr="002A54AF">
              <w:rPr>
                <w:szCs w:val="22"/>
                <w:lang w:val="pt-PT"/>
              </w:rPr>
              <w:t>200 mg duas vezes por dia</w:t>
            </w:r>
          </w:p>
        </w:tc>
        <w:tc>
          <w:tcPr>
            <w:tcW w:w="2734" w:type="dxa"/>
          </w:tcPr>
          <w:p w14:paraId="2C6B5ED5" w14:textId="77777777" w:rsidR="00011577" w:rsidRPr="002A54AF" w:rsidRDefault="00011577" w:rsidP="00011577">
            <w:pPr>
              <w:tabs>
                <w:tab w:val="left" w:pos="567"/>
              </w:tabs>
              <w:suppressAutoHyphens/>
              <w:jc w:val="center"/>
              <w:rPr>
                <w:szCs w:val="22"/>
                <w:lang w:val="pt-PT"/>
              </w:rPr>
            </w:pPr>
            <w:r w:rsidRPr="002A54AF">
              <w:rPr>
                <w:szCs w:val="22"/>
                <w:lang w:val="pt-PT"/>
              </w:rPr>
              <w:t>100 mg duas vezes por dia</w:t>
            </w:r>
          </w:p>
        </w:tc>
      </w:tr>
    </w:tbl>
    <w:p w14:paraId="65274213" w14:textId="77777777" w:rsidR="00011577" w:rsidRPr="002A54AF" w:rsidRDefault="00011577" w:rsidP="00011577">
      <w:pPr>
        <w:tabs>
          <w:tab w:val="left" w:pos="567"/>
        </w:tabs>
        <w:suppressAutoHyphens/>
        <w:rPr>
          <w:szCs w:val="22"/>
          <w:lang w:val="pt-PT"/>
        </w:rPr>
      </w:pPr>
    </w:p>
    <w:p w14:paraId="2E1ECCE3" w14:textId="77777777" w:rsidR="00011577" w:rsidRPr="002A54AF" w:rsidRDefault="00011577" w:rsidP="00011577">
      <w:pPr>
        <w:tabs>
          <w:tab w:val="left" w:pos="567"/>
        </w:tabs>
        <w:suppressAutoHyphens/>
        <w:rPr>
          <w:szCs w:val="22"/>
          <w:lang w:val="pt-PT"/>
        </w:rPr>
      </w:pPr>
      <w:r w:rsidRPr="002A54AF">
        <w:rPr>
          <w:szCs w:val="22"/>
          <w:lang w:val="pt-PT"/>
        </w:rPr>
        <w:t xml:space="preserve">Dependendo da sua resposta ao tratamento, o seu médico pode aumentar a dose diária para 300 mg duas vezes por dia. </w:t>
      </w:r>
    </w:p>
    <w:p w14:paraId="6EA6EF36" w14:textId="77777777" w:rsidR="00011577" w:rsidRPr="002A54AF" w:rsidRDefault="00011577" w:rsidP="00011577">
      <w:pPr>
        <w:tabs>
          <w:tab w:val="left" w:pos="567"/>
        </w:tabs>
        <w:suppressAutoHyphens/>
        <w:rPr>
          <w:szCs w:val="22"/>
          <w:lang w:val="pt-PT"/>
        </w:rPr>
      </w:pPr>
    </w:p>
    <w:p w14:paraId="1533E727" w14:textId="77777777" w:rsidR="00011577" w:rsidRPr="002A54AF" w:rsidRDefault="00011577" w:rsidP="00011577">
      <w:pPr>
        <w:tabs>
          <w:tab w:val="left" w:pos="567"/>
        </w:tabs>
        <w:suppressAutoHyphens/>
        <w:rPr>
          <w:szCs w:val="22"/>
          <w:lang w:val="pt-PT"/>
        </w:rPr>
      </w:pPr>
      <w:r w:rsidRPr="002A54AF">
        <w:rPr>
          <w:szCs w:val="22"/>
          <w:lang w:val="pt-PT"/>
        </w:rPr>
        <w:t>O médico pode decidir diminuir a dose se tiver cirrose ligeira a moderada.</w:t>
      </w:r>
    </w:p>
    <w:p w14:paraId="03377274" w14:textId="77777777" w:rsidR="00011577" w:rsidRPr="002A54AF" w:rsidRDefault="00011577" w:rsidP="00011577">
      <w:pPr>
        <w:tabs>
          <w:tab w:val="left" w:pos="567"/>
        </w:tabs>
        <w:suppressAutoHyphens/>
        <w:rPr>
          <w:szCs w:val="22"/>
          <w:lang w:val="pt-PT"/>
        </w:rPr>
      </w:pPr>
    </w:p>
    <w:p w14:paraId="012E70DC" w14:textId="77777777" w:rsidR="00011577" w:rsidRDefault="00011577" w:rsidP="00011577">
      <w:pPr>
        <w:tabs>
          <w:tab w:val="left" w:pos="567"/>
        </w:tabs>
        <w:suppressAutoHyphens/>
        <w:rPr>
          <w:b/>
          <w:szCs w:val="22"/>
          <w:lang w:val="pt-PT"/>
        </w:rPr>
      </w:pPr>
      <w:r w:rsidRPr="002A54AF">
        <w:rPr>
          <w:b/>
          <w:szCs w:val="22"/>
          <w:lang w:val="pt-PT"/>
        </w:rPr>
        <w:t>Utilização em crianças e adolescentes</w:t>
      </w:r>
    </w:p>
    <w:p w14:paraId="6DAC5B8C" w14:textId="77777777" w:rsidR="00A572B3" w:rsidRPr="002A54AF" w:rsidRDefault="00A572B3" w:rsidP="00011577">
      <w:pPr>
        <w:tabs>
          <w:tab w:val="left" w:pos="567"/>
        </w:tabs>
        <w:suppressAutoHyphens/>
        <w:rPr>
          <w:b/>
          <w:szCs w:val="22"/>
          <w:lang w:val="pt-PT"/>
        </w:rPr>
      </w:pPr>
    </w:p>
    <w:p w14:paraId="08410078" w14:textId="77777777" w:rsidR="00011577" w:rsidRPr="002A54AF" w:rsidRDefault="00011577" w:rsidP="00011577">
      <w:pPr>
        <w:pStyle w:val="CM61"/>
        <w:spacing w:after="0"/>
        <w:jc w:val="both"/>
        <w:rPr>
          <w:sz w:val="22"/>
          <w:szCs w:val="22"/>
          <w:lang w:val="pt-PT"/>
        </w:rPr>
      </w:pPr>
      <w:r w:rsidRPr="002A54AF">
        <w:rPr>
          <w:sz w:val="22"/>
          <w:szCs w:val="22"/>
          <w:lang w:val="pt-PT"/>
        </w:rPr>
        <w:t xml:space="preserve">A dose recomendada para crianças e adolescents é a seguinte: </w:t>
      </w:r>
    </w:p>
    <w:tbl>
      <w:tblPr>
        <w:tblW w:w="9000" w:type="dxa"/>
        <w:tblInd w:w="198" w:type="dxa"/>
        <w:tblLook w:val="0000" w:firstRow="0" w:lastRow="0" w:firstColumn="0" w:lastColumn="0" w:noHBand="0" w:noVBand="0"/>
      </w:tblPr>
      <w:tblGrid>
        <w:gridCol w:w="2437"/>
        <w:gridCol w:w="3323"/>
        <w:gridCol w:w="3240"/>
      </w:tblGrid>
      <w:tr w:rsidR="00011577" w:rsidRPr="002A54AF" w14:paraId="4F5F91D2" w14:textId="77777777" w:rsidTr="00FE5F8B">
        <w:trPr>
          <w:cantSplit/>
          <w:trHeight w:val="238"/>
        </w:trPr>
        <w:tc>
          <w:tcPr>
            <w:tcW w:w="2437" w:type="dxa"/>
            <w:vMerge w:val="restart"/>
            <w:tcBorders>
              <w:top w:val="single" w:sz="10" w:space="0" w:color="000000"/>
              <w:left w:val="single" w:sz="12" w:space="0" w:color="000000"/>
              <w:bottom w:val="single" w:sz="6" w:space="0" w:color="000000"/>
              <w:right w:val="single" w:sz="8" w:space="0" w:color="000000"/>
            </w:tcBorders>
          </w:tcPr>
          <w:p w14:paraId="40BBB091" w14:textId="77777777" w:rsidR="00011577" w:rsidRPr="002A54AF" w:rsidRDefault="00011577" w:rsidP="00011577">
            <w:pPr>
              <w:pStyle w:val="Default"/>
              <w:rPr>
                <w:rFonts w:ascii="Times New Roman" w:hAnsi="Times New Roman" w:cs="Times New Roman"/>
                <w:color w:val="auto"/>
                <w:sz w:val="22"/>
                <w:szCs w:val="22"/>
                <w:lang w:val="pt-PT"/>
              </w:rPr>
            </w:pPr>
          </w:p>
        </w:tc>
        <w:tc>
          <w:tcPr>
            <w:tcW w:w="6563" w:type="dxa"/>
            <w:gridSpan w:val="2"/>
            <w:tcBorders>
              <w:top w:val="single" w:sz="10" w:space="0" w:color="000000"/>
              <w:left w:val="single" w:sz="8" w:space="0" w:color="000000"/>
              <w:bottom w:val="single" w:sz="12" w:space="0" w:color="000000"/>
              <w:right w:val="single" w:sz="12" w:space="0" w:color="000000"/>
            </w:tcBorders>
            <w:vAlign w:val="center"/>
          </w:tcPr>
          <w:p w14:paraId="7B71949F" w14:textId="77777777" w:rsidR="00011577" w:rsidRPr="002A54AF" w:rsidRDefault="00011577" w:rsidP="00011577">
            <w:pPr>
              <w:pStyle w:val="Default"/>
              <w:jc w:val="center"/>
              <w:rPr>
                <w:rFonts w:ascii="Times New Roman" w:hAnsi="Times New Roman" w:cs="Times New Roman"/>
                <w:color w:val="auto"/>
                <w:sz w:val="22"/>
                <w:szCs w:val="22"/>
              </w:rPr>
            </w:pPr>
            <w:r w:rsidRPr="002A54AF">
              <w:rPr>
                <w:rFonts w:ascii="Times New Roman" w:hAnsi="Times New Roman" w:cs="Times New Roman"/>
                <w:b/>
                <w:bCs/>
                <w:color w:val="auto"/>
                <w:sz w:val="22"/>
                <w:szCs w:val="22"/>
              </w:rPr>
              <w:t>Comprimidos</w:t>
            </w:r>
          </w:p>
        </w:tc>
      </w:tr>
      <w:tr w:rsidR="00011577" w:rsidRPr="00376167" w14:paraId="3AB5459C" w14:textId="77777777" w:rsidTr="00FE5F8B">
        <w:trPr>
          <w:cantSplit/>
          <w:trHeight w:val="253"/>
        </w:trPr>
        <w:tc>
          <w:tcPr>
            <w:tcW w:w="2437" w:type="dxa"/>
            <w:vMerge/>
            <w:tcBorders>
              <w:top w:val="single" w:sz="10" w:space="0" w:color="000000"/>
              <w:left w:val="single" w:sz="12" w:space="0" w:color="000000"/>
              <w:bottom w:val="single" w:sz="6" w:space="0" w:color="000000"/>
              <w:right w:val="single" w:sz="8" w:space="0" w:color="000000"/>
            </w:tcBorders>
          </w:tcPr>
          <w:p w14:paraId="2069FB16" w14:textId="77777777" w:rsidR="00011577" w:rsidRPr="002A54AF" w:rsidRDefault="00011577" w:rsidP="00011577">
            <w:pPr>
              <w:pStyle w:val="Default"/>
              <w:rPr>
                <w:rFonts w:ascii="Times New Roman" w:hAnsi="Times New Roman" w:cs="Times New Roman"/>
                <w:color w:val="auto"/>
                <w:sz w:val="22"/>
                <w:szCs w:val="22"/>
              </w:rPr>
            </w:pPr>
          </w:p>
        </w:tc>
        <w:tc>
          <w:tcPr>
            <w:tcW w:w="3323" w:type="dxa"/>
            <w:tcBorders>
              <w:top w:val="single" w:sz="12" w:space="0" w:color="000000"/>
              <w:left w:val="single" w:sz="8" w:space="0" w:color="000000"/>
              <w:bottom w:val="single" w:sz="4" w:space="0" w:color="auto"/>
              <w:right w:val="single" w:sz="8" w:space="0" w:color="000000"/>
            </w:tcBorders>
            <w:vAlign w:val="center"/>
          </w:tcPr>
          <w:p w14:paraId="1CD22DA5" w14:textId="77777777" w:rsidR="00011577" w:rsidRPr="002A54AF" w:rsidRDefault="00011577" w:rsidP="00011577">
            <w:pPr>
              <w:pStyle w:val="Default"/>
              <w:rPr>
                <w:rFonts w:ascii="Times New Roman" w:hAnsi="Times New Roman" w:cs="Times New Roman"/>
                <w:color w:val="auto"/>
                <w:sz w:val="22"/>
                <w:szCs w:val="22"/>
                <w:lang w:val="pt-PT"/>
              </w:rPr>
            </w:pPr>
            <w:r w:rsidRPr="002A54AF">
              <w:rPr>
                <w:rFonts w:ascii="Times New Roman" w:hAnsi="Times New Roman" w:cs="Times New Roman"/>
                <w:color w:val="auto"/>
                <w:sz w:val="22"/>
                <w:szCs w:val="22"/>
                <w:lang w:val="pt-PT"/>
              </w:rPr>
              <w:t>Crianças entre os 2 anos e menos de 12 e adolescentes entre os 12 e 14 anos que pesem menos de 50 kg</w:t>
            </w:r>
          </w:p>
          <w:p w14:paraId="462DE4B0" w14:textId="77777777" w:rsidR="00011577" w:rsidRPr="002A54AF" w:rsidRDefault="00011577" w:rsidP="00011577">
            <w:pPr>
              <w:pStyle w:val="Default"/>
              <w:rPr>
                <w:rFonts w:ascii="Times New Roman" w:hAnsi="Times New Roman" w:cs="Times New Roman"/>
                <w:color w:val="auto"/>
                <w:sz w:val="22"/>
                <w:szCs w:val="22"/>
                <w:lang w:val="pt-PT"/>
              </w:rPr>
            </w:pPr>
            <w:r w:rsidRPr="002A54AF">
              <w:rPr>
                <w:rFonts w:ascii="Times New Roman" w:hAnsi="Times New Roman" w:cs="Times New Roman"/>
                <w:color w:val="auto"/>
                <w:sz w:val="22"/>
                <w:szCs w:val="22"/>
                <w:lang w:val="pt-PT"/>
              </w:rPr>
              <w:t xml:space="preserve"> </w:t>
            </w:r>
          </w:p>
        </w:tc>
        <w:tc>
          <w:tcPr>
            <w:tcW w:w="3240" w:type="dxa"/>
            <w:tcBorders>
              <w:top w:val="single" w:sz="12" w:space="0" w:color="000000"/>
              <w:left w:val="single" w:sz="8" w:space="0" w:color="000000"/>
              <w:bottom w:val="single" w:sz="4" w:space="0" w:color="auto"/>
              <w:right w:val="single" w:sz="12" w:space="0" w:color="000000"/>
            </w:tcBorders>
            <w:vAlign w:val="center"/>
          </w:tcPr>
          <w:p w14:paraId="69AB144B" w14:textId="77777777" w:rsidR="00011577" w:rsidRPr="002A54AF" w:rsidRDefault="00011577" w:rsidP="00011577">
            <w:pPr>
              <w:pStyle w:val="Default"/>
              <w:rPr>
                <w:rFonts w:ascii="Times New Roman" w:hAnsi="Times New Roman" w:cs="Times New Roman"/>
                <w:color w:val="auto"/>
                <w:sz w:val="22"/>
                <w:szCs w:val="22"/>
                <w:lang w:val="pt-PT"/>
              </w:rPr>
            </w:pPr>
            <w:r w:rsidRPr="002A54AF">
              <w:rPr>
                <w:rFonts w:ascii="Times New Roman" w:hAnsi="Times New Roman" w:cs="Times New Roman"/>
                <w:color w:val="auto"/>
                <w:sz w:val="22"/>
                <w:szCs w:val="22"/>
                <w:lang w:val="pt-PT"/>
              </w:rPr>
              <w:t>Adolescentes entre os 12 e 14 anos que pesem 50 kg ou mais e todos os adolescentes com mais de 14 anos</w:t>
            </w:r>
          </w:p>
          <w:p w14:paraId="633671B6" w14:textId="77777777" w:rsidR="00011577" w:rsidRPr="002A54AF" w:rsidRDefault="00011577" w:rsidP="00011577">
            <w:pPr>
              <w:pStyle w:val="Default"/>
              <w:rPr>
                <w:rFonts w:ascii="Times New Roman" w:hAnsi="Times New Roman" w:cs="Times New Roman"/>
                <w:color w:val="auto"/>
                <w:sz w:val="22"/>
                <w:szCs w:val="22"/>
                <w:lang w:val="pt-PT"/>
              </w:rPr>
            </w:pPr>
          </w:p>
        </w:tc>
      </w:tr>
      <w:tr w:rsidR="00011577" w:rsidRPr="00376167" w14:paraId="130C7C0B" w14:textId="77777777" w:rsidTr="00FE5F8B">
        <w:trPr>
          <w:trHeight w:val="1041"/>
        </w:trPr>
        <w:tc>
          <w:tcPr>
            <w:tcW w:w="2437" w:type="dxa"/>
            <w:tcBorders>
              <w:top w:val="single" w:sz="6" w:space="0" w:color="000000"/>
              <w:left w:val="single" w:sz="12" w:space="0" w:color="000000"/>
              <w:bottom w:val="single" w:sz="4" w:space="0" w:color="000000"/>
              <w:right w:val="single" w:sz="8" w:space="0" w:color="000000"/>
            </w:tcBorders>
            <w:vAlign w:val="center"/>
          </w:tcPr>
          <w:p w14:paraId="573C3A20" w14:textId="77777777" w:rsidR="00011577" w:rsidRPr="002A54AF" w:rsidRDefault="00011577" w:rsidP="00011577">
            <w:pPr>
              <w:pStyle w:val="Default"/>
              <w:rPr>
                <w:rFonts w:ascii="Times New Roman" w:hAnsi="Times New Roman" w:cs="Times New Roman"/>
                <w:color w:val="auto"/>
                <w:sz w:val="22"/>
                <w:szCs w:val="22"/>
                <w:lang w:val="pt-PT"/>
              </w:rPr>
            </w:pPr>
            <w:r w:rsidRPr="002A54AF">
              <w:rPr>
                <w:rFonts w:ascii="Times New Roman" w:hAnsi="Times New Roman" w:cs="Times New Roman"/>
                <w:b/>
                <w:bCs/>
                <w:color w:val="auto"/>
                <w:sz w:val="22"/>
                <w:szCs w:val="22"/>
                <w:lang w:val="pt-PT"/>
              </w:rPr>
              <w:t>Dose para as primeiras 24 horas</w:t>
            </w:r>
          </w:p>
          <w:p w14:paraId="3C8ED044" w14:textId="77777777" w:rsidR="00011577" w:rsidRPr="002A54AF" w:rsidRDefault="00011577" w:rsidP="00011577">
            <w:pPr>
              <w:pStyle w:val="Default"/>
              <w:rPr>
                <w:rFonts w:ascii="Times New Roman" w:hAnsi="Times New Roman" w:cs="Times New Roman"/>
                <w:color w:val="auto"/>
                <w:sz w:val="22"/>
                <w:szCs w:val="22"/>
                <w:lang w:val="pt-PT"/>
              </w:rPr>
            </w:pPr>
            <w:r w:rsidRPr="002A54AF">
              <w:rPr>
                <w:rFonts w:ascii="Times New Roman" w:hAnsi="Times New Roman" w:cs="Times New Roman"/>
                <w:color w:val="auto"/>
                <w:sz w:val="22"/>
                <w:szCs w:val="22"/>
                <w:lang w:val="pt-PT"/>
              </w:rPr>
              <w:t xml:space="preserve">(Dose de carga) </w:t>
            </w:r>
          </w:p>
        </w:tc>
        <w:tc>
          <w:tcPr>
            <w:tcW w:w="3323" w:type="dxa"/>
            <w:tcBorders>
              <w:top w:val="single" w:sz="4" w:space="0" w:color="auto"/>
              <w:left w:val="single" w:sz="8" w:space="0" w:color="000000"/>
              <w:bottom w:val="single" w:sz="4" w:space="0" w:color="000000"/>
              <w:right w:val="single" w:sz="8" w:space="0" w:color="000000"/>
            </w:tcBorders>
            <w:vAlign w:val="center"/>
          </w:tcPr>
          <w:p w14:paraId="4DD89718" w14:textId="77777777" w:rsidR="00011577" w:rsidRPr="002A54AF" w:rsidRDefault="00011577" w:rsidP="00011577">
            <w:pPr>
              <w:pStyle w:val="Default"/>
              <w:jc w:val="center"/>
              <w:rPr>
                <w:rFonts w:ascii="Times New Roman" w:hAnsi="Times New Roman" w:cs="Times New Roman"/>
                <w:color w:val="auto"/>
                <w:sz w:val="22"/>
                <w:szCs w:val="22"/>
                <w:lang w:val="pt-PT"/>
              </w:rPr>
            </w:pPr>
            <w:r w:rsidRPr="002A54AF">
              <w:rPr>
                <w:rFonts w:ascii="Times New Roman" w:hAnsi="Times New Roman" w:cs="Times New Roman"/>
                <w:color w:val="auto"/>
                <w:sz w:val="22"/>
                <w:szCs w:val="22"/>
                <w:lang w:val="pt-PT"/>
              </w:rPr>
              <w:t>O tratamento será iniciado com uma perfusão</w:t>
            </w:r>
          </w:p>
        </w:tc>
        <w:tc>
          <w:tcPr>
            <w:tcW w:w="3240" w:type="dxa"/>
            <w:tcBorders>
              <w:top w:val="single" w:sz="4" w:space="0" w:color="auto"/>
              <w:left w:val="single" w:sz="8" w:space="0" w:color="000000"/>
              <w:bottom w:val="single" w:sz="4" w:space="0" w:color="000000"/>
              <w:right w:val="single" w:sz="12" w:space="0" w:color="000000"/>
            </w:tcBorders>
            <w:vAlign w:val="center"/>
          </w:tcPr>
          <w:p w14:paraId="09295E1F" w14:textId="77777777" w:rsidR="00011577" w:rsidRPr="002A54AF" w:rsidRDefault="00011577" w:rsidP="00011577">
            <w:pPr>
              <w:pStyle w:val="Default"/>
              <w:jc w:val="center"/>
              <w:rPr>
                <w:rFonts w:ascii="Times New Roman" w:hAnsi="Times New Roman" w:cs="Times New Roman"/>
                <w:color w:val="auto"/>
                <w:sz w:val="22"/>
                <w:szCs w:val="22"/>
                <w:lang w:val="pt-PT"/>
              </w:rPr>
            </w:pPr>
            <w:r w:rsidRPr="002A54AF">
              <w:rPr>
                <w:rFonts w:ascii="Times New Roman" w:hAnsi="Times New Roman" w:cs="Times New Roman"/>
                <w:color w:val="auto"/>
                <w:sz w:val="22"/>
                <w:szCs w:val="22"/>
                <w:lang w:val="pt-PT"/>
              </w:rPr>
              <w:t>400 mg a cada 12 horas durante as primeiras 24 horas</w:t>
            </w:r>
          </w:p>
        </w:tc>
      </w:tr>
      <w:tr w:rsidR="00011577" w:rsidRPr="00C36368" w14:paraId="544AF324" w14:textId="77777777" w:rsidTr="00CE59DC">
        <w:trPr>
          <w:trHeight w:val="1098"/>
        </w:trPr>
        <w:tc>
          <w:tcPr>
            <w:tcW w:w="2437" w:type="dxa"/>
            <w:tcBorders>
              <w:top w:val="single" w:sz="4" w:space="0" w:color="000000"/>
              <w:left w:val="single" w:sz="12" w:space="0" w:color="000000"/>
              <w:bottom w:val="single" w:sz="8" w:space="0" w:color="000000"/>
              <w:right w:val="single" w:sz="8" w:space="0" w:color="000000"/>
            </w:tcBorders>
            <w:vAlign w:val="center"/>
          </w:tcPr>
          <w:p w14:paraId="60FF6EFC" w14:textId="77777777" w:rsidR="00011577" w:rsidRPr="002A54AF" w:rsidRDefault="00011577" w:rsidP="00011577">
            <w:pPr>
              <w:pStyle w:val="Default"/>
              <w:rPr>
                <w:rFonts w:ascii="Times New Roman" w:hAnsi="Times New Roman" w:cs="Times New Roman"/>
                <w:color w:val="auto"/>
                <w:sz w:val="22"/>
                <w:szCs w:val="22"/>
                <w:lang w:val="pt-PT"/>
              </w:rPr>
            </w:pPr>
            <w:r w:rsidRPr="002A54AF">
              <w:rPr>
                <w:rFonts w:ascii="Times New Roman" w:hAnsi="Times New Roman" w:cs="Times New Roman"/>
                <w:b/>
                <w:bCs/>
                <w:color w:val="auto"/>
                <w:sz w:val="22"/>
                <w:szCs w:val="22"/>
                <w:lang w:val="pt-PT"/>
              </w:rPr>
              <w:t>Dose após as primeiras 24 horas</w:t>
            </w:r>
          </w:p>
          <w:p w14:paraId="4251B434" w14:textId="77777777" w:rsidR="00011577" w:rsidRPr="002A54AF" w:rsidRDefault="00011577" w:rsidP="00011577">
            <w:pPr>
              <w:pStyle w:val="Default"/>
              <w:rPr>
                <w:rFonts w:ascii="Times New Roman" w:hAnsi="Times New Roman" w:cs="Times New Roman"/>
                <w:color w:val="auto"/>
                <w:sz w:val="22"/>
                <w:szCs w:val="22"/>
                <w:lang w:val="pt-PT"/>
              </w:rPr>
            </w:pPr>
            <w:r w:rsidRPr="002A54AF">
              <w:rPr>
                <w:rFonts w:ascii="Times New Roman" w:hAnsi="Times New Roman" w:cs="Times New Roman"/>
                <w:color w:val="auto"/>
                <w:sz w:val="22"/>
                <w:szCs w:val="22"/>
                <w:lang w:val="pt-PT"/>
              </w:rPr>
              <w:t>(Dose de manutenção)</w:t>
            </w:r>
          </w:p>
        </w:tc>
        <w:tc>
          <w:tcPr>
            <w:tcW w:w="3323" w:type="dxa"/>
            <w:tcBorders>
              <w:top w:val="single" w:sz="4" w:space="0" w:color="000000"/>
              <w:left w:val="single" w:sz="8" w:space="0" w:color="000000"/>
              <w:bottom w:val="single" w:sz="8" w:space="0" w:color="000000"/>
              <w:right w:val="single" w:sz="8" w:space="0" w:color="000000"/>
            </w:tcBorders>
            <w:vAlign w:val="bottom"/>
          </w:tcPr>
          <w:p w14:paraId="537B15FE" w14:textId="77777777" w:rsidR="00011577" w:rsidRPr="002A54AF" w:rsidRDefault="00011577" w:rsidP="00011577">
            <w:pPr>
              <w:pStyle w:val="Default"/>
              <w:jc w:val="center"/>
              <w:rPr>
                <w:rFonts w:ascii="Times New Roman" w:hAnsi="Times New Roman" w:cs="Times New Roman"/>
                <w:color w:val="auto"/>
                <w:sz w:val="22"/>
                <w:szCs w:val="22"/>
                <w:lang w:val="pt-PT"/>
              </w:rPr>
            </w:pPr>
            <w:r w:rsidRPr="002A54AF">
              <w:rPr>
                <w:rFonts w:ascii="Times New Roman" w:hAnsi="Times New Roman" w:cs="Times New Roman"/>
                <w:color w:val="auto"/>
                <w:sz w:val="22"/>
                <w:szCs w:val="22"/>
                <w:lang w:val="pt-PT"/>
              </w:rPr>
              <w:t>9 mg/kg duas vezes por dia</w:t>
            </w:r>
          </w:p>
          <w:p w14:paraId="340788B7" w14:textId="77777777" w:rsidR="00011577" w:rsidRPr="002A54AF" w:rsidRDefault="00011577" w:rsidP="00011577">
            <w:pPr>
              <w:pStyle w:val="Default"/>
              <w:jc w:val="center"/>
              <w:rPr>
                <w:rFonts w:ascii="Times New Roman" w:hAnsi="Times New Roman" w:cs="Times New Roman"/>
                <w:color w:val="auto"/>
                <w:sz w:val="22"/>
                <w:szCs w:val="22"/>
                <w:lang w:val="pt-PT"/>
              </w:rPr>
            </w:pPr>
            <w:r w:rsidRPr="002A54AF">
              <w:rPr>
                <w:rFonts w:ascii="Times New Roman" w:hAnsi="Times New Roman" w:cs="Times New Roman"/>
                <w:color w:val="auto"/>
                <w:sz w:val="22"/>
                <w:szCs w:val="22"/>
                <w:lang w:val="pt-PT"/>
              </w:rPr>
              <w:t>(dose máxima diária de 350 mg duas vezes por dia)</w:t>
            </w:r>
          </w:p>
        </w:tc>
        <w:tc>
          <w:tcPr>
            <w:tcW w:w="3240" w:type="dxa"/>
            <w:tcBorders>
              <w:top w:val="single" w:sz="4" w:space="0" w:color="000000"/>
              <w:left w:val="single" w:sz="8" w:space="0" w:color="000000"/>
              <w:bottom w:val="single" w:sz="8" w:space="0" w:color="000000"/>
              <w:right w:val="single" w:sz="12" w:space="0" w:color="000000"/>
            </w:tcBorders>
            <w:vAlign w:val="center"/>
          </w:tcPr>
          <w:p w14:paraId="2014AD59" w14:textId="77777777" w:rsidR="00011577" w:rsidRPr="002A54AF" w:rsidRDefault="00011577" w:rsidP="00011577">
            <w:pPr>
              <w:pStyle w:val="Default"/>
              <w:jc w:val="center"/>
              <w:rPr>
                <w:rFonts w:ascii="Times New Roman" w:hAnsi="Times New Roman" w:cs="Times New Roman"/>
                <w:color w:val="auto"/>
                <w:sz w:val="22"/>
                <w:szCs w:val="22"/>
                <w:lang w:val="pt-PT"/>
              </w:rPr>
            </w:pPr>
            <w:r w:rsidRPr="002A54AF">
              <w:rPr>
                <w:rFonts w:ascii="Times New Roman" w:hAnsi="Times New Roman" w:cs="Times New Roman"/>
                <w:color w:val="auto"/>
                <w:sz w:val="22"/>
                <w:szCs w:val="22"/>
                <w:lang w:val="pt-PT"/>
              </w:rPr>
              <w:t>200 mg duas vezes por dia</w:t>
            </w:r>
          </w:p>
        </w:tc>
      </w:tr>
    </w:tbl>
    <w:p w14:paraId="5A5E94AD" w14:textId="77777777" w:rsidR="00011577" w:rsidRPr="002A54AF" w:rsidRDefault="00011577" w:rsidP="00011577">
      <w:pPr>
        <w:pStyle w:val="Default"/>
        <w:rPr>
          <w:rFonts w:ascii="Times New Roman" w:hAnsi="Times New Roman" w:cs="Times New Roman"/>
          <w:color w:val="auto"/>
          <w:sz w:val="22"/>
          <w:szCs w:val="22"/>
          <w:lang w:val="pt-PT"/>
        </w:rPr>
      </w:pPr>
    </w:p>
    <w:p w14:paraId="797AA090" w14:textId="77777777" w:rsidR="00011577" w:rsidRPr="002A54AF" w:rsidRDefault="00011577" w:rsidP="00011577">
      <w:pPr>
        <w:pStyle w:val="CM55"/>
        <w:spacing w:after="0"/>
        <w:ind w:right="158"/>
        <w:rPr>
          <w:sz w:val="22"/>
          <w:szCs w:val="22"/>
          <w:lang w:val="pt-PT"/>
        </w:rPr>
      </w:pPr>
      <w:r w:rsidRPr="002A54AF">
        <w:rPr>
          <w:sz w:val="22"/>
          <w:szCs w:val="22"/>
          <w:lang w:val="pt-PT"/>
        </w:rPr>
        <w:t>Dependendo da resposta ao tratamento, o seu médico pode aumentar ou diminuir a dose diária.</w:t>
      </w:r>
    </w:p>
    <w:p w14:paraId="706EADD8" w14:textId="77777777" w:rsidR="00011577" w:rsidRPr="002A54AF" w:rsidRDefault="00011577" w:rsidP="00011577">
      <w:pPr>
        <w:tabs>
          <w:tab w:val="left" w:pos="567"/>
        </w:tabs>
        <w:suppressAutoHyphens/>
        <w:rPr>
          <w:szCs w:val="22"/>
          <w:lang w:val="pt-PT"/>
        </w:rPr>
      </w:pPr>
    </w:p>
    <w:p w14:paraId="61102948" w14:textId="77777777" w:rsidR="00011577" w:rsidRPr="002A54AF" w:rsidRDefault="00011577" w:rsidP="00011577">
      <w:pPr>
        <w:tabs>
          <w:tab w:val="left" w:pos="567"/>
        </w:tabs>
        <w:suppressAutoHyphens/>
        <w:rPr>
          <w:szCs w:val="22"/>
          <w:lang w:val="pt-PT"/>
        </w:rPr>
      </w:pPr>
      <w:r w:rsidRPr="002A54AF">
        <w:rPr>
          <w:szCs w:val="22"/>
          <w:lang w:val="pt-PT"/>
        </w:rPr>
        <w:t xml:space="preserve">Os comprimidos apenas devem ser administrados se a criança for capaz de engolir comprimidos. </w:t>
      </w:r>
    </w:p>
    <w:p w14:paraId="440CAC10" w14:textId="77777777" w:rsidR="00011577" w:rsidRPr="002A54AF" w:rsidRDefault="00011577" w:rsidP="00011577">
      <w:pPr>
        <w:tabs>
          <w:tab w:val="left" w:pos="567"/>
        </w:tabs>
        <w:suppressAutoHyphens/>
        <w:rPr>
          <w:szCs w:val="22"/>
          <w:lang w:val="pt-PT"/>
        </w:rPr>
      </w:pPr>
    </w:p>
    <w:p w14:paraId="3531B3C9" w14:textId="77777777" w:rsidR="00011577" w:rsidRPr="002A54AF" w:rsidRDefault="00011577" w:rsidP="00011577">
      <w:pPr>
        <w:tabs>
          <w:tab w:val="left" w:pos="567"/>
        </w:tabs>
        <w:suppressAutoHyphens/>
        <w:rPr>
          <w:szCs w:val="22"/>
          <w:lang w:val="pt-PT"/>
        </w:rPr>
      </w:pPr>
      <w:r w:rsidRPr="002A54AF">
        <w:rPr>
          <w:szCs w:val="22"/>
          <w:lang w:val="pt-PT"/>
        </w:rPr>
        <w:t>Tome o seu comprimido pelo menos uma hora antes, ou uma hora após uma refeição. Engula o comprimido inteiro com um pouco de água.</w:t>
      </w:r>
    </w:p>
    <w:p w14:paraId="4ECAF4EB" w14:textId="77777777" w:rsidR="00011577" w:rsidRPr="002A54AF" w:rsidRDefault="00011577" w:rsidP="00011577">
      <w:pPr>
        <w:tabs>
          <w:tab w:val="left" w:pos="567"/>
        </w:tabs>
        <w:suppressAutoHyphens/>
        <w:rPr>
          <w:b/>
          <w:szCs w:val="22"/>
          <w:lang w:val="pt-PT"/>
        </w:rPr>
      </w:pPr>
    </w:p>
    <w:p w14:paraId="5B22BF79" w14:textId="77777777" w:rsidR="008D23D3" w:rsidRPr="002A54AF" w:rsidRDefault="008D23D3" w:rsidP="00011577">
      <w:pPr>
        <w:tabs>
          <w:tab w:val="left" w:pos="567"/>
        </w:tabs>
        <w:suppressAutoHyphens/>
        <w:rPr>
          <w:b/>
          <w:szCs w:val="22"/>
          <w:lang w:val="pt-PT"/>
        </w:rPr>
      </w:pPr>
      <w:r w:rsidRPr="002A54AF">
        <w:rPr>
          <w:szCs w:val="22"/>
          <w:lang w:val="pt-PT"/>
        </w:rPr>
        <w:t>Se estiver a tomar, ou o seu filho estiver a tomar, Voriconazol Accord para a prevenção de infeções fúngicas, o seu médico pode deixar de receitar Voriconazol Accord caso desenvolvam efeitos secundários relacionados com o tratamento.</w:t>
      </w:r>
    </w:p>
    <w:p w14:paraId="5F187892" w14:textId="77777777" w:rsidR="008D23D3" w:rsidRPr="002A54AF" w:rsidRDefault="008D23D3" w:rsidP="00011577">
      <w:pPr>
        <w:tabs>
          <w:tab w:val="left" w:pos="567"/>
        </w:tabs>
        <w:suppressAutoHyphens/>
        <w:rPr>
          <w:b/>
          <w:szCs w:val="22"/>
          <w:lang w:val="pt-PT"/>
        </w:rPr>
      </w:pPr>
    </w:p>
    <w:p w14:paraId="48D65D4B" w14:textId="77777777" w:rsidR="00011577" w:rsidRPr="002A54AF" w:rsidRDefault="00011577" w:rsidP="00011577">
      <w:pPr>
        <w:keepNext/>
        <w:tabs>
          <w:tab w:val="left" w:pos="567"/>
        </w:tabs>
        <w:suppressAutoHyphens/>
        <w:rPr>
          <w:b/>
          <w:szCs w:val="22"/>
          <w:lang w:val="pt-PT"/>
        </w:rPr>
      </w:pPr>
      <w:r w:rsidRPr="002A54AF">
        <w:rPr>
          <w:b/>
          <w:szCs w:val="22"/>
          <w:lang w:val="pt-PT"/>
        </w:rPr>
        <w:t>Se tomar mais Voriconazol Accord do que deveria</w:t>
      </w:r>
    </w:p>
    <w:p w14:paraId="62C5E16F" w14:textId="77777777" w:rsidR="00011577" w:rsidRPr="002A54AF" w:rsidRDefault="00011577" w:rsidP="00011577">
      <w:pPr>
        <w:keepNext/>
        <w:tabs>
          <w:tab w:val="left" w:pos="567"/>
        </w:tabs>
        <w:rPr>
          <w:szCs w:val="22"/>
          <w:lang w:val="pt-PT"/>
        </w:rPr>
      </w:pPr>
      <w:r w:rsidRPr="002A54AF">
        <w:rPr>
          <w:szCs w:val="22"/>
          <w:lang w:val="pt-PT"/>
        </w:rPr>
        <w:t>Se tomar mais Voriconazol Accord do que o prescrito (ou se alguém tomar os seus comprimidos) deve procurar aconselhamento médico ou dirigir-se ao hospital mais próximo imediatamente. Leve consigo a sua embalagem de Voriconazol Accord comprimidos. Pode experimentar uma intolerância anormal à luz como consequência de ter tomado mais Voriconazol Accord do que deveria.</w:t>
      </w:r>
    </w:p>
    <w:p w14:paraId="5C663B56" w14:textId="77777777" w:rsidR="00011577" w:rsidRPr="002A54AF" w:rsidRDefault="00011577" w:rsidP="00011577">
      <w:pPr>
        <w:tabs>
          <w:tab w:val="left" w:pos="567"/>
        </w:tabs>
        <w:suppressAutoHyphens/>
        <w:rPr>
          <w:szCs w:val="22"/>
          <w:lang w:val="pt-PT"/>
        </w:rPr>
      </w:pPr>
    </w:p>
    <w:p w14:paraId="58FF2E2E" w14:textId="77777777" w:rsidR="00011577" w:rsidRPr="002A54AF" w:rsidRDefault="00011577" w:rsidP="00CE59DC">
      <w:pPr>
        <w:rPr>
          <w:b/>
          <w:szCs w:val="22"/>
          <w:lang w:val="pt-PT"/>
        </w:rPr>
      </w:pPr>
      <w:r w:rsidRPr="002A54AF">
        <w:rPr>
          <w:b/>
          <w:szCs w:val="22"/>
          <w:lang w:val="pt-PT"/>
        </w:rPr>
        <w:t>Caso se tenha esquecido de tomar Voriconazol Accord</w:t>
      </w:r>
    </w:p>
    <w:p w14:paraId="509B6FAE" w14:textId="77777777" w:rsidR="00011577" w:rsidRPr="002A54AF" w:rsidRDefault="00011577" w:rsidP="00CE59DC">
      <w:pPr>
        <w:rPr>
          <w:szCs w:val="22"/>
          <w:lang w:val="pt-PT"/>
        </w:rPr>
      </w:pPr>
      <w:r w:rsidRPr="002A54AF">
        <w:rPr>
          <w:szCs w:val="22"/>
          <w:lang w:val="pt-PT"/>
        </w:rPr>
        <w:t>É importante tomar Voriconazol Accord comprimidos regularmente, à mesma hora todos os dias. Se</w:t>
      </w:r>
      <w:r w:rsidR="00A35991" w:rsidRPr="002A54AF">
        <w:rPr>
          <w:szCs w:val="22"/>
          <w:lang w:val="pt-PT"/>
        </w:rPr>
        <w:t xml:space="preserve"> </w:t>
      </w:r>
      <w:r w:rsidRPr="002A54AF">
        <w:rPr>
          <w:szCs w:val="22"/>
          <w:lang w:val="pt-PT"/>
        </w:rPr>
        <w:t>se esqueceu de tomar uma dose, tome a próxima dose na altura devida. Não tome uma dose a dobrar</w:t>
      </w:r>
      <w:r w:rsidR="00A35991" w:rsidRPr="002A54AF">
        <w:rPr>
          <w:szCs w:val="22"/>
          <w:lang w:val="pt-PT"/>
        </w:rPr>
        <w:t xml:space="preserve"> </w:t>
      </w:r>
      <w:r w:rsidRPr="002A54AF">
        <w:rPr>
          <w:szCs w:val="22"/>
          <w:lang w:val="pt-PT"/>
        </w:rPr>
        <w:t>para compensar a dose que se esqueceu de tomar.</w:t>
      </w:r>
    </w:p>
    <w:p w14:paraId="76183F4C" w14:textId="77777777" w:rsidR="00011577" w:rsidRPr="002A54AF" w:rsidRDefault="00011577" w:rsidP="00011577">
      <w:pPr>
        <w:tabs>
          <w:tab w:val="left" w:pos="567"/>
        </w:tabs>
        <w:suppressAutoHyphens/>
        <w:rPr>
          <w:szCs w:val="22"/>
          <w:lang w:val="pt-PT"/>
        </w:rPr>
      </w:pPr>
    </w:p>
    <w:p w14:paraId="1B4145B1" w14:textId="77777777" w:rsidR="00011577" w:rsidRPr="002A54AF" w:rsidRDefault="00011577" w:rsidP="00011577">
      <w:pPr>
        <w:tabs>
          <w:tab w:val="left" w:pos="567"/>
        </w:tabs>
        <w:suppressAutoHyphens/>
        <w:rPr>
          <w:szCs w:val="22"/>
          <w:lang w:val="pt-PT"/>
        </w:rPr>
      </w:pPr>
      <w:r w:rsidRPr="002A54AF">
        <w:rPr>
          <w:b/>
          <w:szCs w:val="22"/>
          <w:lang w:val="pt-PT"/>
        </w:rPr>
        <w:t>Se parar de tomar Voriconazol Accord</w:t>
      </w:r>
    </w:p>
    <w:p w14:paraId="321B4D2D" w14:textId="77777777" w:rsidR="00011577" w:rsidRPr="002A54AF" w:rsidRDefault="00011577" w:rsidP="00011577">
      <w:pPr>
        <w:tabs>
          <w:tab w:val="left" w:pos="567"/>
        </w:tabs>
        <w:suppressAutoHyphens/>
        <w:rPr>
          <w:szCs w:val="22"/>
          <w:lang w:val="pt-PT"/>
        </w:rPr>
      </w:pPr>
      <w:r w:rsidRPr="002A54AF">
        <w:rPr>
          <w:szCs w:val="22"/>
          <w:lang w:val="pt-PT"/>
        </w:rPr>
        <w:t xml:space="preserve">Tem sido demonstrado que a toma de todas as doses, nas alturas adequadas, pode aumentar consideravelmente a eficácia do medicamento. Por conseguinte, a menos que o seu médico lhe dê </w:t>
      </w:r>
      <w:r w:rsidRPr="002A54AF">
        <w:rPr>
          <w:szCs w:val="22"/>
          <w:lang w:val="pt-PT"/>
        </w:rPr>
        <w:lastRenderedPageBreak/>
        <w:t>indicações para interromper o tratamento, é importante que continue a tomar Voriconazol Accord de forma correta, tal como acima descrito.</w:t>
      </w:r>
    </w:p>
    <w:p w14:paraId="5C6C81D3" w14:textId="77777777" w:rsidR="00011577" w:rsidRPr="002A54AF" w:rsidRDefault="00011577" w:rsidP="00011577">
      <w:pPr>
        <w:tabs>
          <w:tab w:val="left" w:pos="567"/>
        </w:tabs>
        <w:suppressAutoHyphens/>
        <w:rPr>
          <w:szCs w:val="22"/>
          <w:lang w:val="pt-PT"/>
        </w:rPr>
      </w:pPr>
    </w:p>
    <w:p w14:paraId="49BD6A9F" w14:textId="77777777" w:rsidR="00011577" w:rsidRPr="002A54AF" w:rsidRDefault="00011577" w:rsidP="00011577">
      <w:pPr>
        <w:tabs>
          <w:tab w:val="left" w:pos="567"/>
        </w:tabs>
        <w:suppressAutoHyphens/>
        <w:rPr>
          <w:szCs w:val="22"/>
          <w:lang w:val="pt-PT"/>
        </w:rPr>
      </w:pPr>
      <w:r w:rsidRPr="002A54AF">
        <w:rPr>
          <w:szCs w:val="22"/>
          <w:lang w:val="pt-PT"/>
        </w:rPr>
        <w:t>Continue a tomar Voriconazol Accord até que o seu médico lhe diga para parar. Não interrompa o tratamento precocemente, já que a infeção pode não estar curada. Os doentes com um sistema imunitário enfraquecido, ou os que apresentem infeções mais graves, podem necessitar de tratamento prolongado de modo a prevenir que a infeção volte a surgir.</w:t>
      </w:r>
    </w:p>
    <w:p w14:paraId="02B02FFB" w14:textId="77777777" w:rsidR="00011577" w:rsidRPr="002A54AF" w:rsidRDefault="00011577" w:rsidP="00011577">
      <w:pPr>
        <w:tabs>
          <w:tab w:val="left" w:pos="567"/>
        </w:tabs>
        <w:suppressAutoHyphens/>
        <w:rPr>
          <w:szCs w:val="22"/>
          <w:lang w:val="pt-PT"/>
        </w:rPr>
      </w:pPr>
    </w:p>
    <w:p w14:paraId="3C2D57F9" w14:textId="77777777" w:rsidR="00011577" w:rsidRPr="002A54AF" w:rsidRDefault="00011577" w:rsidP="00011577">
      <w:pPr>
        <w:tabs>
          <w:tab w:val="left" w:pos="567"/>
        </w:tabs>
        <w:rPr>
          <w:szCs w:val="22"/>
          <w:lang w:val="pt-PT"/>
        </w:rPr>
      </w:pPr>
      <w:r w:rsidRPr="002A54AF">
        <w:rPr>
          <w:szCs w:val="22"/>
          <w:lang w:val="pt-PT"/>
        </w:rPr>
        <w:t xml:space="preserve">Quando o tratamento com Voriconazol Accord é interrompido pelo seu médico não deverá sentir quaisquer efeitos. </w:t>
      </w:r>
    </w:p>
    <w:p w14:paraId="3294B03F" w14:textId="77777777" w:rsidR="00011577" w:rsidRPr="002A54AF" w:rsidRDefault="00011577" w:rsidP="00011577">
      <w:pPr>
        <w:tabs>
          <w:tab w:val="left" w:pos="567"/>
        </w:tabs>
        <w:suppressAutoHyphens/>
        <w:rPr>
          <w:szCs w:val="22"/>
          <w:lang w:val="pt-PT"/>
        </w:rPr>
      </w:pPr>
    </w:p>
    <w:p w14:paraId="0D3A21A1" w14:textId="77777777" w:rsidR="00011577" w:rsidRPr="002A54AF" w:rsidRDefault="00011577" w:rsidP="00011577">
      <w:pPr>
        <w:tabs>
          <w:tab w:val="left" w:pos="567"/>
        </w:tabs>
        <w:suppressAutoHyphens/>
        <w:rPr>
          <w:szCs w:val="22"/>
          <w:lang w:val="pt-PT"/>
        </w:rPr>
      </w:pPr>
      <w:r w:rsidRPr="002A54AF">
        <w:rPr>
          <w:szCs w:val="22"/>
          <w:lang w:val="pt-PT"/>
        </w:rPr>
        <w:t>Caso ainda tenha dúvidas sobre a utilização deste medicamento, fale com o seu médico</w:t>
      </w:r>
      <w:r w:rsidR="008D23D3" w:rsidRPr="002A54AF">
        <w:rPr>
          <w:szCs w:val="22"/>
          <w:lang w:val="pt-PT"/>
        </w:rPr>
        <w:t>,</w:t>
      </w:r>
      <w:r w:rsidRPr="002A54AF">
        <w:rPr>
          <w:szCs w:val="22"/>
          <w:lang w:val="pt-PT"/>
        </w:rPr>
        <w:t xml:space="preserve"> farmacêutico</w:t>
      </w:r>
      <w:r w:rsidR="008D23D3" w:rsidRPr="002A54AF">
        <w:rPr>
          <w:szCs w:val="22"/>
          <w:lang w:val="pt-PT"/>
        </w:rPr>
        <w:t xml:space="preserve"> ou enfermeiro</w:t>
      </w:r>
      <w:r w:rsidRPr="002A54AF">
        <w:rPr>
          <w:szCs w:val="22"/>
          <w:lang w:val="pt-PT"/>
        </w:rPr>
        <w:t>.</w:t>
      </w:r>
    </w:p>
    <w:p w14:paraId="0A28CE92" w14:textId="77777777" w:rsidR="00011577" w:rsidRPr="002A54AF" w:rsidRDefault="00011577" w:rsidP="00011577">
      <w:pPr>
        <w:tabs>
          <w:tab w:val="left" w:pos="567"/>
        </w:tabs>
        <w:suppressAutoHyphens/>
        <w:rPr>
          <w:szCs w:val="22"/>
          <w:lang w:val="pt-PT"/>
        </w:rPr>
      </w:pPr>
    </w:p>
    <w:p w14:paraId="5A89698A" w14:textId="77777777" w:rsidR="00011577" w:rsidRPr="002A54AF" w:rsidRDefault="00011577" w:rsidP="00011577">
      <w:pPr>
        <w:tabs>
          <w:tab w:val="left" w:pos="567"/>
        </w:tabs>
        <w:suppressAutoHyphens/>
        <w:rPr>
          <w:szCs w:val="22"/>
          <w:lang w:val="pt-PT"/>
        </w:rPr>
      </w:pPr>
    </w:p>
    <w:p w14:paraId="64A2BD4E" w14:textId="77777777" w:rsidR="00011577" w:rsidRPr="002A54AF" w:rsidRDefault="00011577" w:rsidP="00E72BDD">
      <w:pPr>
        <w:numPr>
          <w:ilvl w:val="0"/>
          <w:numId w:val="7"/>
        </w:numPr>
        <w:tabs>
          <w:tab w:val="clear" w:pos="570"/>
          <w:tab w:val="left" w:pos="567"/>
        </w:tabs>
        <w:suppressAutoHyphens/>
        <w:ind w:left="0" w:firstLine="0"/>
        <w:rPr>
          <w:b/>
          <w:szCs w:val="22"/>
          <w:lang w:val="pt-PT"/>
        </w:rPr>
      </w:pPr>
      <w:r w:rsidRPr="002A54AF">
        <w:rPr>
          <w:b/>
          <w:szCs w:val="22"/>
          <w:lang w:val="pt-PT"/>
        </w:rPr>
        <w:t>Efeitos secundários possíveis</w:t>
      </w:r>
    </w:p>
    <w:p w14:paraId="524541EF" w14:textId="77777777" w:rsidR="00011577" w:rsidRPr="002A54AF" w:rsidRDefault="00011577" w:rsidP="00011577">
      <w:pPr>
        <w:tabs>
          <w:tab w:val="left" w:pos="567"/>
        </w:tabs>
        <w:suppressAutoHyphens/>
        <w:rPr>
          <w:szCs w:val="22"/>
          <w:lang w:val="pt-PT"/>
        </w:rPr>
      </w:pPr>
    </w:p>
    <w:p w14:paraId="45FF5D8B" w14:textId="77777777" w:rsidR="00376710" w:rsidRDefault="00011577" w:rsidP="00011577">
      <w:pPr>
        <w:tabs>
          <w:tab w:val="left" w:pos="567"/>
        </w:tabs>
        <w:suppressAutoHyphens/>
        <w:rPr>
          <w:szCs w:val="22"/>
          <w:lang w:val="pt-PT"/>
        </w:rPr>
      </w:pPr>
      <w:r w:rsidRPr="002A54AF">
        <w:rPr>
          <w:szCs w:val="22"/>
          <w:lang w:val="pt-PT"/>
        </w:rPr>
        <w:t xml:space="preserve">Como todos os medicamentos, este medicamento pode causar efeitos secundários, embora estes não se manifestem em todas as pessoas. </w:t>
      </w:r>
    </w:p>
    <w:p w14:paraId="70B470AA" w14:textId="77777777" w:rsidR="00376710" w:rsidRDefault="00376710" w:rsidP="00011577">
      <w:pPr>
        <w:tabs>
          <w:tab w:val="left" w:pos="567"/>
        </w:tabs>
        <w:suppressAutoHyphens/>
        <w:rPr>
          <w:szCs w:val="22"/>
          <w:lang w:val="pt-PT"/>
        </w:rPr>
      </w:pPr>
    </w:p>
    <w:p w14:paraId="55531B6C" w14:textId="77777777" w:rsidR="00011577" w:rsidRPr="002A54AF" w:rsidRDefault="00011577" w:rsidP="00011577">
      <w:pPr>
        <w:tabs>
          <w:tab w:val="left" w:pos="567"/>
        </w:tabs>
        <w:suppressAutoHyphens/>
        <w:rPr>
          <w:szCs w:val="22"/>
          <w:lang w:val="pt-PT"/>
        </w:rPr>
      </w:pPr>
      <w:r w:rsidRPr="002A54AF">
        <w:rPr>
          <w:szCs w:val="22"/>
          <w:lang w:val="pt-PT"/>
        </w:rPr>
        <w:t>Se ocorrerem efeitos secundários, a maioria será provavelmente de natureza menor e temporária. Contudo, alguns poderão ser graves e requerer cuidados médicos.</w:t>
      </w:r>
    </w:p>
    <w:p w14:paraId="704FED33" w14:textId="77777777" w:rsidR="00011577" w:rsidRPr="002A54AF" w:rsidRDefault="00011577" w:rsidP="00011577">
      <w:pPr>
        <w:tabs>
          <w:tab w:val="left" w:pos="567"/>
        </w:tabs>
        <w:suppressAutoHyphens/>
        <w:rPr>
          <w:szCs w:val="22"/>
          <w:lang w:val="pt-PT"/>
        </w:rPr>
      </w:pPr>
    </w:p>
    <w:p w14:paraId="454BBE1B" w14:textId="77777777" w:rsidR="00011577" w:rsidRPr="002A54AF" w:rsidRDefault="00011577" w:rsidP="00011577">
      <w:pPr>
        <w:tabs>
          <w:tab w:val="left" w:pos="567"/>
        </w:tabs>
        <w:suppressAutoHyphens/>
        <w:rPr>
          <w:b/>
          <w:szCs w:val="22"/>
          <w:lang w:val="pt-PT"/>
        </w:rPr>
      </w:pPr>
      <w:r w:rsidRPr="002A54AF">
        <w:rPr>
          <w:b/>
          <w:szCs w:val="22"/>
          <w:lang w:val="pt-PT"/>
        </w:rPr>
        <w:t>Efeitos secundários graves – Pare de tomar Voriconazol Accord e procure um médico imediatamente</w:t>
      </w:r>
    </w:p>
    <w:p w14:paraId="05C8DFF6" w14:textId="77777777" w:rsidR="00011577" w:rsidRPr="002A54AF" w:rsidRDefault="00011577" w:rsidP="00011577">
      <w:pPr>
        <w:tabs>
          <w:tab w:val="left" w:pos="567"/>
        </w:tabs>
        <w:suppressAutoHyphens/>
        <w:rPr>
          <w:szCs w:val="22"/>
          <w:lang w:val="pt-PT"/>
        </w:rPr>
      </w:pPr>
      <w:r w:rsidRPr="002A54AF">
        <w:rPr>
          <w:szCs w:val="22"/>
          <w:lang w:val="pt-PT"/>
        </w:rPr>
        <w:t>-</w:t>
      </w:r>
      <w:r w:rsidRPr="002A54AF">
        <w:rPr>
          <w:szCs w:val="22"/>
          <w:lang w:val="pt-PT"/>
        </w:rPr>
        <w:tab/>
        <w:t>erupção na pele</w:t>
      </w:r>
    </w:p>
    <w:p w14:paraId="0644A528" w14:textId="77777777" w:rsidR="00011577" w:rsidRPr="002A54AF" w:rsidRDefault="00011577" w:rsidP="00011577">
      <w:pPr>
        <w:tabs>
          <w:tab w:val="left" w:pos="567"/>
        </w:tabs>
        <w:suppressAutoHyphens/>
        <w:rPr>
          <w:szCs w:val="22"/>
          <w:lang w:val="pt-PT"/>
        </w:rPr>
      </w:pPr>
      <w:r w:rsidRPr="002A54AF">
        <w:rPr>
          <w:szCs w:val="22"/>
          <w:lang w:val="pt-PT"/>
        </w:rPr>
        <w:t>-</w:t>
      </w:r>
      <w:r w:rsidRPr="002A54AF">
        <w:rPr>
          <w:szCs w:val="22"/>
          <w:lang w:val="pt-PT"/>
        </w:rPr>
        <w:tab/>
        <w:t>icterícia; alterações da função do fígado nas análises sanguíneas</w:t>
      </w:r>
    </w:p>
    <w:p w14:paraId="12809945" w14:textId="77777777" w:rsidR="00011577" w:rsidRPr="002A54AF" w:rsidRDefault="00011577" w:rsidP="00011577">
      <w:pPr>
        <w:tabs>
          <w:tab w:val="left" w:pos="567"/>
        </w:tabs>
        <w:suppressAutoHyphens/>
        <w:rPr>
          <w:szCs w:val="22"/>
          <w:lang w:val="pt-PT"/>
        </w:rPr>
      </w:pPr>
      <w:r w:rsidRPr="002A54AF">
        <w:rPr>
          <w:szCs w:val="22"/>
          <w:lang w:val="pt-PT"/>
        </w:rPr>
        <w:t>-</w:t>
      </w:r>
      <w:r w:rsidRPr="002A54AF">
        <w:rPr>
          <w:szCs w:val="22"/>
          <w:lang w:val="pt-PT"/>
        </w:rPr>
        <w:tab/>
        <w:t>pancreatite</w:t>
      </w:r>
    </w:p>
    <w:p w14:paraId="6A84A635" w14:textId="77777777" w:rsidR="00011577" w:rsidRPr="002A54AF" w:rsidRDefault="00011577" w:rsidP="00011577">
      <w:pPr>
        <w:tabs>
          <w:tab w:val="left" w:pos="567"/>
        </w:tabs>
        <w:suppressAutoHyphens/>
        <w:rPr>
          <w:b/>
          <w:szCs w:val="22"/>
          <w:lang w:val="pt-PT"/>
        </w:rPr>
      </w:pPr>
    </w:p>
    <w:p w14:paraId="7DE93DA8" w14:textId="77777777" w:rsidR="00011577" w:rsidRPr="002A54AF" w:rsidRDefault="00011577" w:rsidP="00011577">
      <w:pPr>
        <w:tabs>
          <w:tab w:val="left" w:pos="567"/>
        </w:tabs>
        <w:suppressAutoHyphens/>
        <w:rPr>
          <w:b/>
          <w:szCs w:val="22"/>
          <w:lang w:val="pt-PT"/>
        </w:rPr>
      </w:pPr>
      <w:r w:rsidRPr="002A54AF">
        <w:rPr>
          <w:b/>
          <w:szCs w:val="22"/>
          <w:lang w:val="pt-PT"/>
        </w:rPr>
        <w:t>Outros efeitos secundários</w:t>
      </w:r>
    </w:p>
    <w:p w14:paraId="77EF4047" w14:textId="77777777" w:rsidR="00011577" w:rsidRPr="002A54AF" w:rsidRDefault="00011577" w:rsidP="00011577">
      <w:pPr>
        <w:tabs>
          <w:tab w:val="left" w:pos="567"/>
        </w:tabs>
        <w:suppressAutoHyphens/>
        <w:rPr>
          <w:szCs w:val="22"/>
          <w:lang w:val="pt-PT"/>
        </w:rPr>
      </w:pPr>
    </w:p>
    <w:p w14:paraId="3081D383" w14:textId="77777777" w:rsidR="00011577" w:rsidRDefault="00753EB6" w:rsidP="00011577">
      <w:pPr>
        <w:tabs>
          <w:tab w:val="left" w:pos="567"/>
        </w:tabs>
        <w:suppressAutoHyphens/>
        <w:rPr>
          <w:szCs w:val="22"/>
          <w:lang w:val="pt-PT"/>
        </w:rPr>
      </w:pPr>
      <w:r w:rsidRPr="002A54AF">
        <w:rPr>
          <w:szCs w:val="22"/>
          <w:lang w:val="pt-PT"/>
        </w:rPr>
        <w:t>M</w:t>
      </w:r>
      <w:r w:rsidR="00011577" w:rsidRPr="002A54AF">
        <w:rPr>
          <w:szCs w:val="22"/>
          <w:lang w:val="pt-PT"/>
        </w:rPr>
        <w:t>uito frequentes</w:t>
      </w:r>
      <w:r w:rsidRPr="002A54AF">
        <w:rPr>
          <w:szCs w:val="22"/>
          <w:lang w:val="pt-PT"/>
        </w:rPr>
        <w:t>:</w:t>
      </w:r>
      <w:r w:rsidR="00011577" w:rsidRPr="002A54AF">
        <w:rPr>
          <w:szCs w:val="22"/>
          <w:lang w:val="pt-PT"/>
        </w:rPr>
        <w:t xml:space="preserve"> podem afetar mais </w:t>
      </w:r>
      <w:r w:rsidRPr="002A54AF">
        <w:rPr>
          <w:szCs w:val="22"/>
          <w:lang w:val="pt-PT"/>
        </w:rPr>
        <w:t xml:space="preserve">do </w:t>
      </w:r>
      <w:r w:rsidR="00011577" w:rsidRPr="002A54AF">
        <w:rPr>
          <w:szCs w:val="22"/>
          <w:lang w:val="pt-PT"/>
        </w:rPr>
        <w:t>que 1 em cada 10</w:t>
      </w:r>
      <w:r w:rsidRPr="002A54AF">
        <w:rPr>
          <w:szCs w:val="22"/>
          <w:lang w:val="pt-PT"/>
        </w:rPr>
        <w:t> pessoas</w:t>
      </w:r>
    </w:p>
    <w:p w14:paraId="7F9C1BD5" w14:textId="77777777" w:rsidR="00A572B3" w:rsidRPr="002A54AF" w:rsidRDefault="00A572B3" w:rsidP="00011577">
      <w:pPr>
        <w:tabs>
          <w:tab w:val="left" w:pos="567"/>
        </w:tabs>
        <w:suppressAutoHyphens/>
        <w:rPr>
          <w:szCs w:val="22"/>
          <w:lang w:val="pt-PT"/>
        </w:rPr>
      </w:pPr>
    </w:p>
    <w:p w14:paraId="22E4B304" w14:textId="77777777" w:rsidR="00011577" w:rsidRPr="002A54AF" w:rsidRDefault="00011577" w:rsidP="00A572B3">
      <w:pPr>
        <w:tabs>
          <w:tab w:val="left" w:pos="567"/>
        </w:tabs>
        <w:suppressAutoHyphens/>
        <w:ind w:left="567" w:hanging="567"/>
        <w:rPr>
          <w:szCs w:val="22"/>
          <w:lang w:val="pt-PT"/>
        </w:rPr>
      </w:pPr>
      <w:r w:rsidRPr="002A54AF">
        <w:rPr>
          <w:szCs w:val="22"/>
          <w:lang w:val="pt-PT"/>
        </w:rPr>
        <w:t>-</w:t>
      </w:r>
      <w:r w:rsidRPr="002A54AF">
        <w:rPr>
          <w:szCs w:val="22"/>
          <w:lang w:val="pt-PT"/>
        </w:rPr>
        <w:tab/>
      </w:r>
      <w:r w:rsidR="008D23D3" w:rsidRPr="002A54AF">
        <w:rPr>
          <w:szCs w:val="22"/>
          <w:lang w:val="pt-PT"/>
        </w:rPr>
        <w:t xml:space="preserve">Problemas </w:t>
      </w:r>
      <w:r w:rsidRPr="002A54AF">
        <w:rPr>
          <w:szCs w:val="22"/>
          <w:lang w:val="pt-PT"/>
        </w:rPr>
        <w:t>visuais (alterações na visão</w:t>
      </w:r>
      <w:r w:rsidR="00753EB6" w:rsidRPr="002A54AF">
        <w:rPr>
          <w:szCs w:val="22"/>
          <w:lang w:val="pt-PT"/>
        </w:rPr>
        <w:t xml:space="preserve"> incluindo visão turva, alterações visuais da cor, intolerância anormal à perceção visual da luz, daltonismo, distúrbio ocular, visão de halo, cegueira noturna, visão oscilante, ver faíscas, </w:t>
      </w:r>
      <w:r w:rsidR="009974EE" w:rsidRPr="002A54AF">
        <w:rPr>
          <w:szCs w:val="22"/>
          <w:lang w:val="pt-PT"/>
        </w:rPr>
        <w:t xml:space="preserve">aura visual, acuidade visual reduzida, </w:t>
      </w:r>
      <w:r w:rsidR="00753EB6" w:rsidRPr="002A54AF">
        <w:rPr>
          <w:szCs w:val="22"/>
          <w:lang w:val="pt-PT"/>
        </w:rPr>
        <w:t xml:space="preserve">brilho visual, </w:t>
      </w:r>
      <w:r w:rsidR="009974EE" w:rsidRPr="002A54AF">
        <w:rPr>
          <w:szCs w:val="22"/>
          <w:lang w:val="pt-PT"/>
        </w:rPr>
        <w:t xml:space="preserve">perda de parte </w:t>
      </w:r>
      <w:r w:rsidR="00753EB6" w:rsidRPr="002A54AF">
        <w:rPr>
          <w:szCs w:val="22"/>
          <w:lang w:val="pt-PT"/>
        </w:rPr>
        <w:t>do campo visual</w:t>
      </w:r>
      <w:r w:rsidR="009974EE" w:rsidRPr="002A54AF">
        <w:rPr>
          <w:szCs w:val="22"/>
          <w:lang w:val="pt-PT"/>
        </w:rPr>
        <w:t xml:space="preserve"> habitual</w:t>
      </w:r>
      <w:r w:rsidR="00753EB6" w:rsidRPr="002A54AF">
        <w:rPr>
          <w:szCs w:val="22"/>
          <w:lang w:val="pt-PT"/>
        </w:rPr>
        <w:t xml:space="preserve">, </w:t>
      </w:r>
      <w:r w:rsidR="009974EE" w:rsidRPr="002A54AF">
        <w:rPr>
          <w:szCs w:val="22"/>
          <w:lang w:val="pt-PT"/>
        </w:rPr>
        <w:t>manchas na visão</w:t>
      </w:r>
      <w:r w:rsidRPr="002A54AF">
        <w:rPr>
          <w:szCs w:val="22"/>
          <w:lang w:val="pt-PT"/>
        </w:rPr>
        <w:t>)</w:t>
      </w:r>
    </w:p>
    <w:p w14:paraId="3AB46503" w14:textId="77777777" w:rsidR="00011577" w:rsidRPr="002A54AF" w:rsidRDefault="00011577" w:rsidP="00011577">
      <w:pPr>
        <w:tabs>
          <w:tab w:val="left" w:pos="567"/>
        </w:tabs>
        <w:suppressAutoHyphens/>
        <w:rPr>
          <w:szCs w:val="22"/>
          <w:lang w:val="pt-PT"/>
        </w:rPr>
      </w:pPr>
      <w:r w:rsidRPr="002A54AF">
        <w:rPr>
          <w:szCs w:val="22"/>
          <w:lang w:val="pt-PT"/>
        </w:rPr>
        <w:t>-</w:t>
      </w:r>
      <w:r w:rsidRPr="002A54AF">
        <w:rPr>
          <w:szCs w:val="22"/>
          <w:lang w:val="pt-PT"/>
        </w:rPr>
        <w:tab/>
        <w:t>Febre</w:t>
      </w:r>
    </w:p>
    <w:p w14:paraId="359405A6" w14:textId="77777777" w:rsidR="00011577" w:rsidRPr="002A54AF" w:rsidRDefault="00011577" w:rsidP="00011577">
      <w:pPr>
        <w:tabs>
          <w:tab w:val="left" w:pos="567"/>
        </w:tabs>
        <w:suppressAutoHyphens/>
        <w:rPr>
          <w:szCs w:val="22"/>
          <w:lang w:val="pt-PT"/>
        </w:rPr>
      </w:pPr>
      <w:r w:rsidRPr="002A54AF">
        <w:rPr>
          <w:szCs w:val="22"/>
          <w:lang w:val="pt-PT"/>
        </w:rPr>
        <w:t>-</w:t>
      </w:r>
      <w:r w:rsidRPr="002A54AF">
        <w:rPr>
          <w:szCs w:val="22"/>
          <w:lang w:val="pt-PT"/>
        </w:rPr>
        <w:tab/>
        <w:t>Erupção na pele</w:t>
      </w:r>
    </w:p>
    <w:p w14:paraId="0AA977D1" w14:textId="77777777" w:rsidR="00011577" w:rsidRPr="002A54AF" w:rsidRDefault="00011577" w:rsidP="00011577">
      <w:pPr>
        <w:tabs>
          <w:tab w:val="left" w:pos="567"/>
        </w:tabs>
        <w:suppressAutoHyphens/>
        <w:rPr>
          <w:szCs w:val="22"/>
          <w:lang w:val="pt-PT"/>
        </w:rPr>
      </w:pPr>
      <w:r w:rsidRPr="002A54AF">
        <w:rPr>
          <w:szCs w:val="22"/>
          <w:lang w:val="pt-PT"/>
        </w:rPr>
        <w:t>-</w:t>
      </w:r>
      <w:r w:rsidRPr="002A54AF">
        <w:rPr>
          <w:szCs w:val="22"/>
          <w:lang w:val="pt-PT"/>
        </w:rPr>
        <w:tab/>
        <w:t>Náuseas, vómitos, diarreia</w:t>
      </w:r>
    </w:p>
    <w:p w14:paraId="22663D7B" w14:textId="77777777" w:rsidR="00011577" w:rsidRPr="002A54AF" w:rsidRDefault="00011577" w:rsidP="00011577">
      <w:pPr>
        <w:tabs>
          <w:tab w:val="left" w:pos="567"/>
        </w:tabs>
        <w:suppressAutoHyphens/>
        <w:rPr>
          <w:szCs w:val="22"/>
          <w:lang w:val="pt-PT"/>
        </w:rPr>
      </w:pPr>
      <w:r w:rsidRPr="002A54AF">
        <w:rPr>
          <w:szCs w:val="22"/>
          <w:lang w:val="pt-PT"/>
        </w:rPr>
        <w:t>-</w:t>
      </w:r>
      <w:r w:rsidRPr="002A54AF">
        <w:rPr>
          <w:szCs w:val="22"/>
          <w:lang w:val="pt-PT"/>
        </w:rPr>
        <w:tab/>
        <w:t>Dores de cabeça</w:t>
      </w:r>
    </w:p>
    <w:p w14:paraId="47516622" w14:textId="77777777" w:rsidR="00011577" w:rsidRPr="002A54AF" w:rsidRDefault="00011577" w:rsidP="00011577">
      <w:pPr>
        <w:tabs>
          <w:tab w:val="left" w:pos="567"/>
        </w:tabs>
        <w:suppressAutoHyphens/>
        <w:rPr>
          <w:szCs w:val="22"/>
          <w:lang w:val="pt-PT"/>
        </w:rPr>
      </w:pPr>
      <w:r w:rsidRPr="002A54AF">
        <w:rPr>
          <w:szCs w:val="22"/>
          <w:lang w:val="pt-PT"/>
        </w:rPr>
        <w:t>-</w:t>
      </w:r>
      <w:r w:rsidRPr="002A54AF">
        <w:rPr>
          <w:szCs w:val="22"/>
          <w:lang w:val="pt-PT"/>
        </w:rPr>
        <w:tab/>
        <w:t>Inchaço das extremidades</w:t>
      </w:r>
    </w:p>
    <w:p w14:paraId="18C80703" w14:textId="77777777" w:rsidR="00011577" w:rsidRPr="002A54AF" w:rsidRDefault="00011577" w:rsidP="00011577">
      <w:pPr>
        <w:tabs>
          <w:tab w:val="left" w:pos="567"/>
        </w:tabs>
        <w:suppressAutoHyphens/>
        <w:rPr>
          <w:szCs w:val="22"/>
          <w:lang w:val="pt-PT"/>
        </w:rPr>
      </w:pPr>
      <w:r w:rsidRPr="002A54AF">
        <w:rPr>
          <w:szCs w:val="22"/>
          <w:lang w:val="pt-PT"/>
        </w:rPr>
        <w:t>-</w:t>
      </w:r>
      <w:r w:rsidRPr="002A54AF">
        <w:rPr>
          <w:szCs w:val="22"/>
          <w:lang w:val="pt-PT"/>
        </w:rPr>
        <w:tab/>
        <w:t>Dores de estômago</w:t>
      </w:r>
    </w:p>
    <w:p w14:paraId="4CC1BDB4" w14:textId="77777777" w:rsidR="008D23D3" w:rsidRPr="002A54AF" w:rsidRDefault="008D23D3" w:rsidP="00011577">
      <w:pPr>
        <w:tabs>
          <w:tab w:val="left" w:pos="567"/>
        </w:tabs>
        <w:suppressAutoHyphens/>
        <w:rPr>
          <w:szCs w:val="22"/>
          <w:lang w:val="pt-PT"/>
        </w:rPr>
      </w:pPr>
      <w:r w:rsidRPr="002A54AF">
        <w:rPr>
          <w:szCs w:val="22"/>
          <w:lang w:val="pt-PT"/>
        </w:rPr>
        <w:t>-</w:t>
      </w:r>
      <w:r w:rsidRPr="002A54AF">
        <w:rPr>
          <w:szCs w:val="22"/>
          <w:lang w:val="pt-PT"/>
        </w:rPr>
        <w:tab/>
        <w:t>Dificuldade em respirar</w:t>
      </w:r>
    </w:p>
    <w:p w14:paraId="3F978466" w14:textId="77777777" w:rsidR="009974EE" w:rsidRPr="002A54AF" w:rsidRDefault="009974EE" w:rsidP="00011577">
      <w:pPr>
        <w:tabs>
          <w:tab w:val="left" w:pos="567"/>
        </w:tabs>
        <w:suppressAutoHyphens/>
        <w:rPr>
          <w:szCs w:val="22"/>
          <w:lang w:val="pt-PT"/>
        </w:rPr>
      </w:pPr>
      <w:r w:rsidRPr="002A54AF">
        <w:rPr>
          <w:szCs w:val="22"/>
          <w:lang w:val="pt-PT"/>
        </w:rPr>
        <w:t>-</w:t>
      </w:r>
      <w:r w:rsidRPr="002A54AF">
        <w:rPr>
          <w:szCs w:val="22"/>
          <w:lang w:val="pt-PT"/>
        </w:rPr>
        <w:tab/>
        <w:t>Enzimas hepáticas elevadas</w:t>
      </w:r>
    </w:p>
    <w:p w14:paraId="32BF0703" w14:textId="77777777" w:rsidR="00011577" w:rsidRPr="002A54AF" w:rsidRDefault="00011577" w:rsidP="00011577">
      <w:pPr>
        <w:tabs>
          <w:tab w:val="left" w:pos="567"/>
        </w:tabs>
        <w:suppressAutoHyphens/>
        <w:rPr>
          <w:szCs w:val="22"/>
          <w:lang w:val="pt-PT"/>
        </w:rPr>
      </w:pPr>
    </w:p>
    <w:p w14:paraId="657CBC47" w14:textId="77777777" w:rsidR="00011577" w:rsidRDefault="009974EE" w:rsidP="00011577">
      <w:pPr>
        <w:tabs>
          <w:tab w:val="left" w:pos="567"/>
        </w:tabs>
        <w:suppressAutoHyphens/>
        <w:rPr>
          <w:szCs w:val="22"/>
          <w:lang w:val="pt-PT"/>
        </w:rPr>
      </w:pPr>
      <w:r w:rsidRPr="002A54AF">
        <w:rPr>
          <w:szCs w:val="22"/>
          <w:lang w:val="pt-PT"/>
        </w:rPr>
        <w:t>F</w:t>
      </w:r>
      <w:r w:rsidR="00011577" w:rsidRPr="002A54AF">
        <w:rPr>
          <w:szCs w:val="22"/>
          <w:lang w:val="pt-PT"/>
        </w:rPr>
        <w:t>requentes</w:t>
      </w:r>
      <w:r w:rsidRPr="002A54AF">
        <w:rPr>
          <w:szCs w:val="22"/>
          <w:lang w:val="pt-PT"/>
        </w:rPr>
        <w:t>:</w:t>
      </w:r>
      <w:r w:rsidR="00011577" w:rsidRPr="002A54AF">
        <w:rPr>
          <w:szCs w:val="22"/>
          <w:lang w:val="pt-PT"/>
        </w:rPr>
        <w:t xml:space="preserve"> podem afetar até 1 em cada 10</w:t>
      </w:r>
      <w:r w:rsidRPr="002A54AF">
        <w:rPr>
          <w:szCs w:val="22"/>
          <w:lang w:val="pt-PT"/>
        </w:rPr>
        <w:t> pessoas</w:t>
      </w:r>
    </w:p>
    <w:p w14:paraId="7D4FE6DA" w14:textId="77777777" w:rsidR="00A572B3" w:rsidRPr="002A54AF" w:rsidRDefault="00A572B3" w:rsidP="00011577">
      <w:pPr>
        <w:tabs>
          <w:tab w:val="left" w:pos="567"/>
        </w:tabs>
        <w:suppressAutoHyphens/>
        <w:rPr>
          <w:szCs w:val="22"/>
          <w:lang w:val="pt-PT"/>
        </w:rPr>
      </w:pPr>
    </w:p>
    <w:p w14:paraId="7D582B15" w14:textId="77777777" w:rsidR="00011577" w:rsidRPr="002A54AF" w:rsidRDefault="00011577" w:rsidP="00011577">
      <w:pPr>
        <w:suppressAutoHyphens/>
        <w:ind w:left="567" w:hanging="567"/>
        <w:rPr>
          <w:szCs w:val="22"/>
          <w:lang w:val="pt-PT"/>
        </w:rPr>
      </w:pPr>
      <w:r w:rsidRPr="002A54AF">
        <w:rPr>
          <w:szCs w:val="22"/>
          <w:lang w:val="pt-PT"/>
        </w:rPr>
        <w:t>-</w:t>
      </w:r>
      <w:r w:rsidRPr="002A54AF">
        <w:rPr>
          <w:szCs w:val="22"/>
          <w:lang w:val="pt-PT"/>
        </w:rPr>
        <w:tab/>
      </w:r>
      <w:r w:rsidR="009974EE" w:rsidRPr="002A54AF">
        <w:rPr>
          <w:szCs w:val="22"/>
          <w:lang w:val="pt-PT"/>
        </w:rPr>
        <w:t>I</w:t>
      </w:r>
      <w:r w:rsidRPr="002A54AF">
        <w:rPr>
          <w:szCs w:val="22"/>
          <w:lang w:val="pt-PT"/>
        </w:rPr>
        <w:t xml:space="preserve">nflamação dos seios perinasais, </w:t>
      </w:r>
      <w:r w:rsidR="008D23D3" w:rsidRPr="002A54AF">
        <w:rPr>
          <w:szCs w:val="22"/>
          <w:lang w:val="pt-PT"/>
        </w:rPr>
        <w:t xml:space="preserve">inflamação das gengivas, </w:t>
      </w:r>
      <w:r w:rsidRPr="002A54AF">
        <w:rPr>
          <w:szCs w:val="22"/>
          <w:lang w:val="pt-PT"/>
        </w:rPr>
        <w:t>arrepios, fraqueza</w:t>
      </w:r>
    </w:p>
    <w:p w14:paraId="3A79C86E" w14:textId="77777777" w:rsidR="00011577" w:rsidRPr="002A54AF" w:rsidRDefault="00011577" w:rsidP="00011577">
      <w:pPr>
        <w:suppressAutoHyphens/>
        <w:ind w:left="567" w:hanging="567"/>
        <w:rPr>
          <w:szCs w:val="22"/>
          <w:lang w:val="pt-PT"/>
        </w:rPr>
      </w:pPr>
      <w:r w:rsidRPr="002A54AF">
        <w:rPr>
          <w:szCs w:val="22"/>
          <w:lang w:val="pt-PT"/>
        </w:rPr>
        <w:t>-</w:t>
      </w:r>
      <w:r w:rsidRPr="002A54AF">
        <w:rPr>
          <w:szCs w:val="22"/>
          <w:lang w:val="pt-PT"/>
        </w:rPr>
        <w:tab/>
        <w:t>Número reduzido</w:t>
      </w:r>
      <w:r w:rsidR="009974EE" w:rsidRPr="002A54AF">
        <w:rPr>
          <w:szCs w:val="22"/>
          <w:lang w:val="pt-PT"/>
        </w:rPr>
        <w:t>, incluindo grave,</w:t>
      </w:r>
      <w:r w:rsidRPr="002A54AF">
        <w:rPr>
          <w:szCs w:val="22"/>
          <w:lang w:val="pt-PT"/>
        </w:rPr>
        <w:t xml:space="preserve"> de </w:t>
      </w:r>
      <w:r w:rsidR="008D23D3" w:rsidRPr="002A54AF">
        <w:rPr>
          <w:szCs w:val="22"/>
          <w:lang w:val="pt-PT"/>
        </w:rPr>
        <w:t xml:space="preserve">alguns tipos </w:t>
      </w:r>
      <w:r w:rsidR="00E2614D" w:rsidRPr="002A54AF">
        <w:rPr>
          <w:szCs w:val="22"/>
          <w:lang w:val="pt-PT"/>
        </w:rPr>
        <w:t>de células sanguíneas vermelhas</w:t>
      </w:r>
      <w:r w:rsidR="009974EE" w:rsidRPr="002A54AF">
        <w:rPr>
          <w:szCs w:val="22"/>
          <w:lang w:val="pt-PT"/>
        </w:rPr>
        <w:t xml:space="preserve"> (por vezes</w:t>
      </w:r>
      <w:r w:rsidR="00E2614D" w:rsidRPr="002A54AF">
        <w:rPr>
          <w:szCs w:val="22"/>
          <w:lang w:val="pt-PT"/>
        </w:rPr>
        <w:t xml:space="preserve"> </w:t>
      </w:r>
      <w:r w:rsidR="009974EE" w:rsidRPr="002A54AF">
        <w:rPr>
          <w:szCs w:val="22"/>
          <w:lang w:val="pt-PT"/>
        </w:rPr>
        <w:t>relacionado com o sistema imunitário) e/</w:t>
      </w:r>
      <w:r w:rsidR="00E2614D" w:rsidRPr="002A54AF">
        <w:rPr>
          <w:szCs w:val="22"/>
          <w:lang w:val="pt-PT"/>
        </w:rPr>
        <w:t>ou brancas</w:t>
      </w:r>
      <w:r w:rsidR="009974EE" w:rsidRPr="002A54AF">
        <w:rPr>
          <w:szCs w:val="22"/>
          <w:lang w:val="pt-PT"/>
        </w:rPr>
        <w:t xml:space="preserve"> (por vezes com febre)</w:t>
      </w:r>
      <w:r w:rsidR="00E2614D" w:rsidRPr="002A54AF">
        <w:rPr>
          <w:szCs w:val="22"/>
          <w:lang w:val="pt-PT"/>
        </w:rPr>
        <w:t>, número reduzido de</w:t>
      </w:r>
      <w:r w:rsidR="008D23D3" w:rsidRPr="002A54AF">
        <w:rPr>
          <w:szCs w:val="22"/>
          <w:lang w:val="pt-PT"/>
        </w:rPr>
        <w:t xml:space="preserve"> </w:t>
      </w:r>
      <w:r w:rsidRPr="002A54AF">
        <w:rPr>
          <w:szCs w:val="22"/>
          <w:lang w:val="pt-PT"/>
        </w:rPr>
        <w:t>células denominadas plaquetas que ajudam a coagulação do sangue</w:t>
      </w:r>
    </w:p>
    <w:p w14:paraId="6D0AEAEA" w14:textId="77777777" w:rsidR="00E2614D" w:rsidRPr="002A54AF" w:rsidRDefault="00E2614D" w:rsidP="00011577">
      <w:pPr>
        <w:suppressAutoHyphens/>
        <w:ind w:left="567" w:hanging="567"/>
        <w:rPr>
          <w:szCs w:val="22"/>
          <w:lang w:val="pt-PT"/>
        </w:rPr>
      </w:pPr>
      <w:r w:rsidRPr="002A54AF">
        <w:rPr>
          <w:szCs w:val="22"/>
          <w:lang w:val="pt-PT"/>
        </w:rPr>
        <w:t>-</w:t>
      </w:r>
      <w:r w:rsidRPr="002A54AF">
        <w:rPr>
          <w:szCs w:val="22"/>
          <w:lang w:val="pt-PT"/>
        </w:rPr>
        <w:tab/>
        <w:t>Redução do açúcar no sangue, potássio no sangue reduzido, sódio no sangue reduzido</w:t>
      </w:r>
    </w:p>
    <w:p w14:paraId="56E313BC" w14:textId="77777777" w:rsidR="00011577" w:rsidRPr="002A54AF" w:rsidRDefault="00011577" w:rsidP="00011577">
      <w:pPr>
        <w:suppressAutoHyphens/>
        <w:ind w:left="567" w:hanging="567"/>
        <w:rPr>
          <w:szCs w:val="22"/>
          <w:lang w:val="pt-PT"/>
        </w:rPr>
      </w:pPr>
      <w:r w:rsidRPr="002A54AF">
        <w:rPr>
          <w:szCs w:val="22"/>
          <w:lang w:val="pt-PT"/>
        </w:rPr>
        <w:t>-</w:t>
      </w:r>
      <w:r w:rsidRPr="002A54AF">
        <w:rPr>
          <w:szCs w:val="22"/>
          <w:lang w:val="pt-PT"/>
        </w:rPr>
        <w:tab/>
        <w:t xml:space="preserve">Ansiedade, depressão, confusão, agitação, </w:t>
      </w:r>
      <w:r w:rsidR="00E2614D" w:rsidRPr="002A54AF">
        <w:rPr>
          <w:szCs w:val="22"/>
          <w:lang w:val="pt-PT"/>
        </w:rPr>
        <w:t>incapacidade de dormir</w:t>
      </w:r>
      <w:r w:rsidRPr="002A54AF">
        <w:rPr>
          <w:szCs w:val="22"/>
          <w:lang w:val="pt-PT"/>
        </w:rPr>
        <w:t xml:space="preserve">, alucinações </w:t>
      </w:r>
    </w:p>
    <w:p w14:paraId="6078EF88" w14:textId="77777777" w:rsidR="00782719" w:rsidRPr="002A54AF" w:rsidRDefault="00782719" w:rsidP="00011577">
      <w:pPr>
        <w:suppressAutoHyphens/>
        <w:ind w:left="567" w:hanging="567"/>
        <w:rPr>
          <w:szCs w:val="22"/>
          <w:lang w:val="pt-PT"/>
        </w:rPr>
      </w:pPr>
      <w:r w:rsidRPr="002A54AF">
        <w:rPr>
          <w:szCs w:val="22"/>
          <w:lang w:val="pt-PT"/>
        </w:rPr>
        <w:t>-</w:t>
      </w:r>
      <w:r w:rsidRPr="002A54AF">
        <w:rPr>
          <w:szCs w:val="22"/>
          <w:lang w:val="pt-PT"/>
        </w:rPr>
        <w:tab/>
        <w:t>Convulsões, tremor ou movimentos musculares descontrolados, formigueiro ou sensações anormais na pele, aumento do tónus muscular, sonolência, tonturas</w:t>
      </w:r>
    </w:p>
    <w:p w14:paraId="1A8A2540" w14:textId="77777777" w:rsidR="00E2614D" w:rsidRPr="002A54AF" w:rsidRDefault="00E2614D" w:rsidP="00011577">
      <w:pPr>
        <w:suppressAutoHyphens/>
        <w:ind w:left="567" w:hanging="567"/>
        <w:rPr>
          <w:szCs w:val="22"/>
          <w:lang w:val="pt-PT"/>
        </w:rPr>
      </w:pPr>
      <w:r w:rsidRPr="002A54AF">
        <w:rPr>
          <w:szCs w:val="22"/>
          <w:lang w:val="pt-PT"/>
        </w:rPr>
        <w:t>-</w:t>
      </w:r>
      <w:r w:rsidRPr="002A54AF">
        <w:rPr>
          <w:szCs w:val="22"/>
          <w:lang w:val="pt-PT"/>
        </w:rPr>
        <w:tab/>
        <w:t>Hemorragia no olho</w:t>
      </w:r>
    </w:p>
    <w:p w14:paraId="40C3D0DB" w14:textId="77777777" w:rsidR="00011577" w:rsidRPr="002A54AF" w:rsidRDefault="00E2614D" w:rsidP="00011577">
      <w:pPr>
        <w:suppressAutoHyphens/>
        <w:ind w:left="567" w:hanging="567"/>
        <w:rPr>
          <w:szCs w:val="22"/>
          <w:lang w:val="pt-PT"/>
        </w:rPr>
      </w:pPr>
      <w:r w:rsidRPr="002A54AF">
        <w:rPr>
          <w:szCs w:val="22"/>
          <w:lang w:val="pt-PT"/>
        </w:rPr>
        <w:lastRenderedPageBreak/>
        <w:t>-</w:t>
      </w:r>
      <w:r w:rsidRPr="002A54AF">
        <w:rPr>
          <w:szCs w:val="22"/>
          <w:lang w:val="pt-PT"/>
        </w:rPr>
        <w:tab/>
        <w:t>Problemas no ritmo cardíaco, incluindo batimento cardíaco muito rápido, batimento cardíaco muito lento, desmaios, p</w:t>
      </w:r>
      <w:r w:rsidR="00011577" w:rsidRPr="002A54AF">
        <w:rPr>
          <w:szCs w:val="22"/>
          <w:lang w:val="pt-PT"/>
        </w:rPr>
        <w:t>ressão arterial reduzida, inflamação de uma veia (que pode estar associada com a formação de um coágulo sanguíneo)</w:t>
      </w:r>
    </w:p>
    <w:p w14:paraId="33303BC6" w14:textId="77777777" w:rsidR="00011577" w:rsidRPr="002A54AF" w:rsidRDefault="00011577" w:rsidP="00011577">
      <w:pPr>
        <w:suppressAutoHyphens/>
        <w:ind w:left="567" w:hanging="567"/>
        <w:rPr>
          <w:szCs w:val="22"/>
          <w:lang w:val="pt-PT"/>
        </w:rPr>
      </w:pPr>
      <w:r w:rsidRPr="002A54AF">
        <w:rPr>
          <w:szCs w:val="22"/>
          <w:lang w:val="pt-PT"/>
        </w:rPr>
        <w:t>-</w:t>
      </w:r>
      <w:r w:rsidRPr="002A54AF">
        <w:rPr>
          <w:szCs w:val="22"/>
          <w:lang w:val="pt-PT"/>
        </w:rPr>
        <w:tab/>
        <w:t xml:space="preserve">Dificuldade </w:t>
      </w:r>
      <w:r w:rsidR="009974EE" w:rsidRPr="002A54AF">
        <w:rPr>
          <w:szCs w:val="22"/>
          <w:lang w:val="pt-PT"/>
        </w:rPr>
        <w:t xml:space="preserve">aguda </w:t>
      </w:r>
      <w:r w:rsidRPr="002A54AF">
        <w:rPr>
          <w:szCs w:val="22"/>
          <w:lang w:val="pt-PT"/>
        </w:rPr>
        <w:t xml:space="preserve">em respirar, dor no peito, </w:t>
      </w:r>
      <w:r w:rsidR="00E2614D" w:rsidRPr="002A54AF">
        <w:rPr>
          <w:szCs w:val="22"/>
          <w:lang w:val="pt-PT"/>
        </w:rPr>
        <w:t>inchaço do rosto</w:t>
      </w:r>
      <w:r w:rsidR="009974EE" w:rsidRPr="002A54AF">
        <w:rPr>
          <w:szCs w:val="22"/>
          <w:lang w:val="pt-PT"/>
        </w:rPr>
        <w:t xml:space="preserve"> (boca, lábios e em torno dos olhos)</w:t>
      </w:r>
      <w:r w:rsidR="00E2614D" w:rsidRPr="002A54AF">
        <w:rPr>
          <w:szCs w:val="22"/>
          <w:lang w:val="pt-PT"/>
        </w:rPr>
        <w:t xml:space="preserve">, </w:t>
      </w:r>
      <w:r w:rsidRPr="002A54AF">
        <w:rPr>
          <w:szCs w:val="22"/>
          <w:lang w:val="pt-PT"/>
        </w:rPr>
        <w:t>acumulação de fluidos nos pulmões</w:t>
      </w:r>
    </w:p>
    <w:p w14:paraId="5C71E914" w14:textId="77777777" w:rsidR="00011577" w:rsidRPr="002A54AF" w:rsidRDefault="00011577" w:rsidP="00011577">
      <w:pPr>
        <w:suppressAutoHyphens/>
        <w:ind w:left="567" w:hanging="567"/>
        <w:rPr>
          <w:szCs w:val="22"/>
          <w:lang w:val="pt-PT"/>
        </w:rPr>
      </w:pPr>
      <w:r w:rsidRPr="002A54AF">
        <w:rPr>
          <w:szCs w:val="22"/>
          <w:lang w:val="pt-PT"/>
        </w:rPr>
        <w:t>-</w:t>
      </w:r>
      <w:r w:rsidRPr="002A54AF">
        <w:rPr>
          <w:szCs w:val="22"/>
          <w:lang w:val="pt-PT"/>
        </w:rPr>
        <w:tab/>
      </w:r>
      <w:r w:rsidR="00E2614D" w:rsidRPr="002A54AF">
        <w:rPr>
          <w:szCs w:val="22"/>
          <w:lang w:val="pt-PT"/>
        </w:rPr>
        <w:t>Obstipação, indigestão, inflamação dos lábios</w:t>
      </w:r>
    </w:p>
    <w:p w14:paraId="19078F6A" w14:textId="77777777" w:rsidR="00011577" w:rsidRPr="002A54AF" w:rsidRDefault="00011577" w:rsidP="00011577">
      <w:pPr>
        <w:suppressAutoHyphens/>
        <w:ind w:left="567" w:hanging="567"/>
        <w:rPr>
          <w:szCs w:val="22"/>
          <w:lang w:val="pt-PT"/>
        </w:rPr>
      </w:pPr>
      <w:r w:rsidRPr="002A54AF">
        <w:rPr>
          <w:szCs w:val="22"/>
          <w:lang w:val="pt-PT"/>
        </w:rPr>
        <w:t>-</w:t>
      </w:r>
      <w:r w:rsidRPr="002A54AF">
        <w:rPr>
          <w:szCs w:val="22"/>
          <w:lang w:val="pt-PT"/>
        </w:rPr>
        <w:tab/>
        <w:t xml:space="preserve">Icterícia, </w:t>
      </w:r>
      <w:r w:rsidR="00E2614D" w:rsidRPr="002A54AF">
        <w:rPr>
          <w:szCs w:val="22"/>
          <w:lang w:val="pt-PT"/>
        </w:rPr>
        <w:t>inflamação do fígado</w:t>
      </w:r>
      <w:r w:rsidR="009974EE" w:rsidRPr="002A54AF">
        <w:rPr>
          <w:szCs w:val="22"/>
          <w:lang w:val="pt-PT"/>
        </w:rPr>
        <w:t xml:space="preserve"> e lesão do fígado</w:t>
      </w:r>
    </w:p>
    <w:p w14:paraId="5215A59B" w14:textId="77777777" w:rsidR="00E2614D" w:rsidRPr="002A54AF" w:rsidRDefault="00E2614D" w:rsidP="00011577">
      <w:pPr>
        <w:suppressAutoHyphens/>
        <w:ind w:left="567" w:hanging="567"/>
        <w:rPr>
          <w:szCs w:val="22"/>
          <w:lang w:val="pt-PT"/>
        </w:rPr>
      </w:pPr>
      <w:r w:rsidRPr="002A54AF">
        <w:rPr>
          <w:szCs w:val="22"/>
          <w:lang w:val="pt-PT"/>
        </w:rPr>
        <w:t>-</w:t>
      </w:r>
      <w:r w:rsidRPr="002A54AF">
        <w:rPr>
          <w:szCs w:val="22"/>
          <w:lang w:val="pt-PT"/>
        </w:rPr>
        <w:tab/>
        <w:t>Erupções na pele que podem conduzir à formação de bolhas e descamação da pele graves, caracterizadas por uma área plana e vermelha da pele coberta de pequenos papos confluentes</w:t>
      </w:r>
      <w:r w:rsidR="009974EE" w:rsidRPr="002A54AF">
        <w:rPr>
          <w:szCs w:val="22"/>
          <w:lang w:val="pt-PT"/>
        </w:rPr>
        <w:t>, vermelhidão da pele</w:t>
      </w:r>
    </w:p>
    <w:p w14:paraId="237F0BD1" w14:textId="77777777" w:rsidR="00011577" w:rsidRPr="002A54AF" w:rsidRDefault="00011577" w:rsidP="00011577">
      <w:pPr>
        <w:suppressAutoHyphens/>
        <w:ind w:left="567" w:hanging="567"/>
        <w:rPr>
          <w:szCs w:val="22"/>
          <w:lang w:val="pt-PT"/>
        </w:rPr>
      </w:pPr>
      <w:r w:rsidRPr="002A54AF">
        <w:rPr>
          <w:szCs w:val="22"/>
          <w:lang w:val="pt-PT"/>
        </w:rPr>
        <w:t>-</w:t>
      </w:r>
      <w:r w:rsidRPr="002A54AF">
        <w:rPr>
          <w:szCs w:val="22"/>
          <w:lang w:val="pt-PT"/>
        </w:rPr>
        <w:tab/>
        <w:t>Comichão</w:t>
      </w:r>
    </w:p>
    <w:p w14:paraId="5BF528F7" w14:textId="77777777" w:rsidR="00011577" w:rsidRPr="002A54AF" w:rsidRDefault="00011577" w:rsidP="00011577">
      <w:pPr>
        <w:suppressAutoHyphens/>
        <w:ind w:left="567" w:hanging="567"/>
        <w:rPr>
          <w:szCs w:val="22"/>
          <w:lang w:val="pt-PT"/>
        </w:rPr>
      </w:pPr>
      <w:r w:rsidRPr="002A54AF">
        <w:rPr>
          <w:szCs w:val="22"/>
          <w:lang w:val="pt-PT"/>
        </w:rPr>
        <w:t>-</w:t>
      </w:r>
      <w:r w:rsidRPr="002A54AF">
        <w:rPr>
          <w:szCs w:val="22"/>
          <w:lang w:val="pt-PT"/>
        </w:rPr>
        <w:tab/>
        <w:t>Queda de cabelo</w:t>
      </w:r>
    </w:p>
    <w:p w14:paraId="673175FA" w14:textId="77777777" w:rsidR="00011577" w:rsidRPr="002A54AF" w:rsidRDefault="00011577" w:rsidP="00011577">
      <w:pPr>
        <w:suppressAutoHyphens/>
        <w:ind w:left="567" w:hanging="567"/>
        <w:rPr>
          <w:szCs w:val="22"/>
          <w:lang w:val="pt-PT"/>
        </w:rPr>
      </w:pPr>
      <w:r w:rsidRPr="002A54AF">
        <w:rPr>
          <w:szCs w:val="22"/>
          <w:lang w:val="pt-PT"/>
        </w:rPr>
        <w:t>-</w:t>
      </w:r>
      <w:r w:rsidRPr="002A54AF">
        <w:rPr>
          <w:szCs w:val="22"/>
          <w:lang w:val="pt-PT"/>
        </w:rPr>
        <w:tab/>
        <w:t>Dor lombar</w:t>
      </w:r>
    </w:p>
    <w:p w14:paraId="7E95A7CA" w14:textId="77777777" w:rsidR="00D43EFF" w:rsidRDefault="00011577" w:rsidP="00D43EFF">
      <w:pPr>
        <w:tabs>
          <w:tab w:val="left" w:pos="567"/>
        </w:tabs>
        <w:suppressAutoHyphens/>
        <w:ind w:left="567" w:hanging="567"/>
        <w:rPr>
          <w:szCs w:val="22"/>
          <w:lang w:val="pt-PT"/>
        </w:rPr>
      </w:pPr>
      <w:r w:rsidRPr="002A54AF">
        <w:rPr>
          <w:szCs w:val="22"/>
          <w:lang w:val="pt-PT"/>
        </w:rPr>
        <w:t>-</w:t>
      </w:r>
      <w:r w:rsidRPr="002A54AF">
        <w:rPr>
          <w:szCs w:val="22"/>
          <w:lang w:val="pt-PT"/>
        </w:rPr>
        <w:tab/>
        <w:t xml:space="preserve">Falência renal, sangue na urina, alterações </w:t>
      </w:r>
      <w:r w:rsidR="00E2614D" w:rsidRPr="002A54AF">
        <w:rPr>
          <w:szCs w:val="22"/>
          <w:lang w:val="pt-PT"/>
        </w:rPr>
        <w:t xml:space="preserve">nos testes </w:t>
      </w:r>
      <w:r w:rsidRPr="002A54AF">
        <w:rPr>
          <w:szCs w:val="22"/>
          <w:lang w:val="pt-PT"/>
        </w:rPr>
        <w:t>d</w:t>
      </w:r>
      <w:r w:rsidR="00E2614D" w:rsidRPr="002A54AF">
        <w:rPr>
          <w:szCs w:val="22"/>
          <w:lang w:val="pt-PT"/>
        </w:rPr>
        <w:t>e</w:t>
      </w:r>
      <w:r w:rsidRPr="002A54AF">
        <w:rPr>
          <w:szCs w:val="22"/>
          <w:lang w:val="pt-PT"/>
        </w:rPr>
        <w:t xml:space="preserve"> função renal</w:t>
      </w:r>
    </w:p>
    <w:p w14:paraId="59BE294E" w14:textId="4D6730E7" w:rsidR="00D43EFF" w:rsidRPr="00D43EFF" w:rsidRDefault="00D43EFF" w:rsidP="00E53416">
      <w:pPr>
        <w:pStyle w:val="ListParagraph"/>
        <w:numPr>
          <w:ilvl w:val="0"/>
          <w:numId w:val="31"/>
        </w:numPr>
        <w:suppressAutoHyphens/>
        <w:ind w:left="567" w:hanging="567"/>
        <w:rPr>
          <w:szCs w:val="22"/>
          <w:lang w:val="pt-PT"/>
        </w:rPr>
      </w:pPr>
      <w:r w:rsidRPr="00D43EFF">
        <w:rPr>
          <w:szCs w:val="22"/>
          <w:lang w:val="pt-PT"/>
        </w:rPr>
        <w:t>Queimadura solar ou reação grave da pele após exposição à luz ou ao sol</w:t>
      </w:r>
    </w:p>
    <w:p w14:paraId="00DAED59" w14:textId="5F0494EB" w:rsidR="00D43EFF" w:rsidRPr="00D43EFF" w:rsidRDefault="00D43EFF" w:rsidP="00E53416">
      <w:pPr>
        <w:pStyle w:val="ListParagraph"/>
        <w:numPr>
          <w:ilvl w:val="0"/>
          <w:numId w:val="31"/>
        </w:numPr>
        <w:suppressAutoHyphens/>
        <w:ind w:left="567" w:hanging="567"/>
        <w:rPr>
          <w:szCs w:val="22"/>
          <w:lang w:val="pt-PT"/>
        </w:rPr>
      </w:pPr>
      <w:r w:rsidRPr="00D43EFF">
        <w:rPr>
          <w:szCs w:val="22"/>
          <w:lang w:val="pt-PT"/>
        </w:rPr>
        <w:t>Cancro da pele</w:t>
      </w:r>
    </w:p>
    <w:p w14:paraId="4BC4AC90" w14:textId="77777777" w:rsidR="00011577" w:rsidRPr="002A54AF" w:rsidRDefault="00011577" w:rsidP="00FE7CEC">
      <w:pPr>
        <w:tabs>
          <w:tab w:val="left" w:pos="567"/>
        </w:tabs>
        <w:suppressAutoHyphens/>
        <w:ind w:left="567" w:hanging="567"/>
        <w:rPr>
          <w:szCs w:val="22"/>
          <w:lang w:val="pt-PT"/>
        </w:rPr>
      </w:pPr>
    </w:p>
    <w:p w14:paraId="531CE3DB" w14:textId="77777777" w:rsidR="00011577" w:rsidRDefault="009974EE" w:rsidP="00011577">
      <w:pPr>
        <w:tabs>
          <w:tab w:val="left" w:pos="567"/>
        </w:tabs>
        <w:suppressAutoHyphens/>
        <w:ind w:left="110" w:hanging="110"/>
        <w:rPr>
          <w:szCs w:val="22"/>
          <w:lang w:val="pt-PT"/>
        </w:rPr>
      </w:pPr>
      <w:r w:rsidRPr="002A54AF">
        <w:rPr>
          <w:szCs w:val="22"/>
          <w:lang w:val="pt-PT"/>
        </w:rPr>
        <w:t>P</w:t>
      </w:r>
      <w:r w:rsidR="00011577" w:rsidRPr="002A54AF">
        <w:rPr>
          <w:szCs w:val="22"/>
          <w:lang w:val="pt-PT"/>
        </w:rPr>
        <w:t>ouco frequentes</w:t>
      </w:r>
      <w:r w:rsidR="009B3B8C" w:rsidRPr="002A54AF">
        <w:rPr>
          <w:szCs w:val="22"/>
          <w:lang w:val="pt-PT"/>
        </w:rPr>
        <w:t>:</w:t>
      </w:r>
      <w:r w:rsidR="00011577" w:rsidRPr="002A54AF">
        <w:rPr>
          <w:szCs w:val="22"/>
          <w:lang w:val="pt-PT"/>
        </w:rPr>
        <w:t xml:space="preserve"> podem afetar até 1 em cada 100</w:t>
      </w:r>
      <w:r w:rsidR="009B3B8C" w:rsidRPr="002A54AF">
        <w:rPr>
          <w:szCs w:val="22"/>
          <w:lang w:val="pt-PT"/>
        </w:rPr>
        <w:t> pessoas</w:t>
      </w:r>
    </w:p>
    <w:p w14:paraId="165E36B5" w14:textId="77777777" w:rsidR="00A572B3" w:rsidRPr="002A54AF" w:rsidRDefault="00A572B3" w:rsidP="00011577">
      <w:pPr>
        <w:tabs>
          <w:tab w:val="left" w:pos="567"/>
        </w:tabs>
        <w:suppressAutoHyphens/>
        <w:ind w:left="110" w:hanging="110"/>
        <w:rPr>
          <w:szCs w:val="22"/>
          <w:lang w:val="pt-PT"/>
        </w:rPr>
      </w:pPr>
    </w:p>
    <w:p w14:paraId="376571AE" w14:textId="77777777" w:rsidR="00E2614D" w:rsidRPr="002A54AF" w:rsidRDefault="00E2614D" w:rsidP="00E2614D">
      <w:pPr>
        <w:tabs>
          <w:tab w:val="left" w:pos="567"/>
        </w:tabs>
        <w:suppressAutoHyphens/>
        <w:ind w:left="567" w:hanging="567"/>
        <w:rPr>
          <w:szCs w:val="22"/>
          <w:lang w:val="pt-PT"/>
        </w:rPr>
      </w:pPr>
      <w:r w:rsidRPr="002A54AF">
        <w:rPr>
          <w:szCs w:val="22"/>
          <w:lang w:val="pt-PT"/>
        </w:rPr>
        <w:t>-</w:t>
      </w:r>
      <w:r w:rsidRPr="002A54AF">
        <w:rPr>
          <w:szCs w:val="22"/>
          <w:lang w:val="pt-PT"/>
        </w:rPr>
        <w:tab/>
      </w:r>
      <w:r w:rsidR="009B3B8C" w:rsidRPr="002A54AF">
        <w:rPr>
          <w:szCs w:val="22"/>
          <w:lang w:val="pt-PT"/>
        </w:rPr>
        <w:t>Sintomas gripais, irritação e inflamação do trato gastrointestinal, i</w:t>
      </w:r>
      <w:r w:rsidRPr="002A54AF">
        <w:rPr>
          <w:szCs w:val="22"/>
          <w:lang w:val="pt-PT"/>
        </w:rPr>
        <w:t>nflamação do trato gastrointestinal, causando diarreia associada aos antibióticos, inflamação dos vasos linfáticos</w:t>
      </w:r>
    </w:p>
    <w:p w14:paraId="49C6F554" w14:textId="77777777" w:rsidR="00E2614D" w:rsidRPr="002A54AF" w:rsidRDefault="00E2614D" w:rsidP="00E2614D">
      <w:pPr>
        <w:tabs>
          <w:tab w:val="left" w:pos="567"/>
        </w:tabs>
        <w:suppressAutoHyphens/>
        <w:ind w:left="567" w:hanging="567"/>
        <w:rPr>
          <w:szCs w:val="22"/>
          <w:lang w:val="pt-PT"/>
        </w:rPr>
      </w:pPr>
      <w:r w:rsidRPr="002A54AF">
        <w:rPr>
          <w:szCs w:val="22"/>
          <w:lang w:val="pt-PT"/>
        </w:rPr>
        <w:t>-</w:t>
      </w:r>
      <w:r w:rsidRPr="002A54AF">
        <w:rPr>
          <w:szCs w:val="22"/>
          <w:lang w:val="pt-PT"/>
        </w:rPr>
        <w:tab/>
        <w:t>Inflamação do tecido fino que reveste a parede interna do abdómen e cobre os órgãos abdominais</w:t>
      </w:r>
    </w:p>
    <w:p w14:paraId="70BE7E8A" w14:textId="77777777" w:rsidR="00011577" w:rsidRPr="002A54AF" w:rsidRDefault="00011577" w:rsidP="00E2614D">
      <w:pPr>
        <w:tabs>
          <w:tab w:val="left" w:pos="567"/>
        </w:tabs>
        <w:suppressAutoHyphens/>
        <w:ind w:left="567" w:hanging="567"/>
        <w:rPr>
          <w:szCs w:val="22"/>
          <w:lang w:val="pt-PT"/>
        </w:rPr>
      </w:pPr>
      <w:r w:rsidRPr="002A54AF">
        <w:rPr>
          <w:szCs w:val="22"/>
          <w:lang w:val="pt-PT"/>
        </w:rPr>
        <w:t>-</w:t>
      </w:r>
      <w:r w:rsidRPr="002A54AF">
        <w:rPr>
          <w:szCs w:val="22"/>
          <w:lang w:val="pt-PT"/>
        </w:rPr>
        <w:tab/>
        <w:t>Glândulas linfáticas aumentadas (por vezes doloroso)</w:t>
      </w:r>
      <w:r w:rsidR="00E2614D" w:rsidRPr="002A54AF">
        <w:rPr>
          <w:szCs w:val="22"/>
          <w:lang w:val="pt-PT"/>
        </w:rPr>
        <w:t>, falência da medula óssea, aumento dos eosinófilos</w:t>
      </w:r>
    </w:p>
    <w:p w14:paraId="57096AF8" w14:textId="77777777" w:rsidR="00011577" w:rsidRPr="002A54AF" w:rsidRDefault="00011577" w:rsidP="00011577">
      <w:pPr>
        <w:tabs>
          <w:tab w:val="left" w:pos="567"/>
        </w:tabs>
        <w:suppressAutoHyphens/>
        <w:ind w:left="567" w:hanging="567"/>
        <w:rPr>
          <w:szCs w:val="22"/>
          <w:lang w:val="pt-PT"/>
        </w:rPr>
      </w:pPr>
      <w:r w:rsidRPr="002A54AF">
        <w:rPr>
          <w:szCs w:val="22"/>
          <w:lang w:val="pt-PT"/>
        </w:rPr>
        <w:t>-</w:t>
      </w:r>
      <w:r w:rsidRPr="002A54AF">
        <w:rPr>
          <w:szCs w:val="22"/>
          <w:lang w:val="pt-PT"/>
        </w:rPr>
        <w:tab/>
        <w:t>Depressão da função da glândula suprarrenal</w:t>
      </w:r>
      <w:r w:rsidR="009D0380" w:rsidRPr="002A54AF">
        <w:rPr>
          <w:szCs w:val="22"/>
          <w:lang w:val="pt-PT"/>
        </w:rPr>
        <w:t>, hipoatividade da glândula tiroideia</w:t>
      </w:r>
    </w:p>
    <w:p w14:paraId="1F59893B" w14:textId="77777777" w:rsidR="009D0380" w:rsidRPr="002A54AF" w:rsidRDefault="009D0380" w:rsidP="00011577">
      <w:pPr>
        <w:tabs>
          <w:tab w:val="left" w:pos="567"/>
        </w:tabs>
        <w:suppressAutoHyphens/>
        <w:ind w:left="567" w:hanging="567"/>
        <w:rPr>
          <w:szCs w:val="22"/>
          <w:lang w:val="pt-PT"/>
        </w:rPr>
      </w:pPr>
      <w:r w:rsidRPr="002A54AF">
        <w:rPr>
          <w:szCs w:val="22"/>
          <w:lang w:val="pt-PT"/>
        </w:rPr>
        <w:t>-</w:t>
      </w:r>
      <w:r w:rsidRPr="002A54AF">
        <w:rPr>
          <w:szCs w:val="22"/>
          <w:lang w:val="pt-PT"/>
        </w:rPr>
        <w:tab/>
        <w:t>Alterações do funcionamento cerebral, sintomas tipo parkinsonianos, lesão do nervo que pode originar dormência, dor, formigueiro ou sensação de queimadura nas mãos ou nos pés</w:t>
      </w:r>
    </w:p>
    <w:p w14:paraId="48F26DCE" w14:textId="77777777" w:rsidR="00011577" w:rsidRPr="002A54AF" w:rsidRDefault="00011577" w:rsidP="00011577">
      <w:pPr>
        <w:tabs>
          <w:tab w:val="left" w:pos="567"/>
        </w:tabs>
        <w:suppressAutoHyphens/>
        <w:ind w:left="567" w:hanging="567"/>
        <w:rPr>
          <w:szCs w:val="22"/>
          <w:lang w:val="pt-PT"/>
        </w:rPr>
      </w:pPr>
      <w:r w:rsidRPr="002A54AF">
        <w:rPr>
          <w:szCs w:val="22"/>
          <w:lang w:val="pt-PT"/>
        </w:rPr>
        <w:t>-</w:t>
      </w:r>
      <w:r w:rsidRPr="002A54AF">
        <w:rPr>
          <w:szCs w:val="22"/>
          <w:lang w:val="pt-PT"/>
        </w:rPr>
        <w:tab/>
        <w:t xml:space="preserve">Problemas de </w:t>
      </w:r>
      <w:r w:rsidR="009D0380" w:rsidRPr="002A54AF">
        <w:rPr>
          <w:szCs w:val="22"/>
          <w:lang w:val="pt-PT"/>
        </w:rPr>
        <w:t xml:space="preserve">equilíbrio ou </w:t>
      </w:r>
      <w:r w:rsidRPr="002A54AF">
        <w:rPr>
          <w:szCs w:val="22"/>
          <w:lang w:val="pt-PT"/>
        </w:rPr>
        <w:t>coordenação</w:t>
      </w:r>
    </w:p>
    <w:p w14:paraId="176B5BB8" w14:textId="77777777" w:rsidR="00011577" w:rsidRPr="002A54AF" w:rsidRDefault="00011577" w:rsidP="00011577">
      <w:pPr>
        <w:tabs>
          <w:tab w:val="left" w:pos="567"/>
        </w:tabs>
        <w:suppressAutoHyphens/>
        <w:ind w:left="567" w:hanging="567"/>
        <w:rPr>
          <w:szCs w:val="22"/>
          <w:lang w:val="pt-PT"/>
        </w:rPr>
      </w:pPr>
      <w:r w:rsidRPr="002A54AF">
        <w:rPr>
          <w:szCs w:val="22"/>
          <w:lang w:val="pt-PT"/>
        </w:rPr>
        <w:t>-</w:t>
      </w:r>
      <w:r w:rsidRPr="002A54AF">
        <w:rPr>
          <w:szCs w:val="22"/>
          <w:lang w:val="pt-PT"/>
        </w:rPr>
        <w:tab/>
        <w:t>Inchaço cerebral</w:t>
      </w:r>
    </w:p>
    <w:p w14:paraId="0CAA5A31" w14:textId="77777777" w:rsidR="00011577" w:rsidRPr="002A54AF" w:rsidRDefault="00011577" w:rsidP="00011577">
      <w:pPr>
        <w:tabs>
          <w:tab w:val="left" w:pos="567"/>
        </w:tabs>
        <w:suppressAutoHyphens/>
        <w:ind w:left="567" w:hanging="567"/>
        <w:rPr>
          <w:szCs w:val="22"/>
          <w:lang w:val="pt-PT"/>
        </w:rPr>
      </w:pPr>
      <w:r w:rsidRPr="002A54AF">
        <w:rPr>
          <w:szCs w:val="22"/>
          <w:lang w:val="pt-PT"/>
        </w:rPr>
        <w:t>-</w:t>
      </w:r>
      <w:r w:rsidRPr="002A54AF">
        <w:rPr>
          <w:szCs w:val="22"/>
          <w:lang w:val="pt-PT"/>
        </w:rPr>
        <w:tab/>
        <w:t xml:space="preserve">Visão dupla, </w:t>
      </w:r>
      <w:r w:rsidR="009D0380" w:rsidRPr="002A54AF">
        <w:rPr>
          <w:szCs w:val="22"/>
          <w:lang w:val="pt-PT"/>
        </w:rPr>
        <w:t xml:space="preserve">problemas graves nos olhos, incluindo: </w:t>
      </w:r>
      <w:r w:rsidRPr="002A54AF">
        <w:rPr>
          <w:szCs w:val="22"/>
          <w:lang w:val="pt-PT"/>
        </w:rPr>
        <w:t xml:space="preserve">dor e inflamação dos olhos e pálpebras, </w:t>
      </w:r>
      <w:r w:rsidR="009D0380" w:rsidRPr="002A54AF">
        <w:rPr>
          <w:szCs w:val="22"/>
          <w:lang w:val="pt-PT"/>
        </w:rPr>
        <w:t>movimentos anómalos dos olhos, danos do nervo ótico resultando em problemas de visão, inchaço do disco ótico</w:t>
      </w:r>
    </w:p>
    <w:p w14:paraId="7E52D40D" w14:textId="77777777" w:rsidR="00011577" w:rsidRPr="002A54AF" w:rsidRDefault="00011577" w:rsidP="00011577">
      <w:pPr>
        <w:tabs>
          <w:tab w:val="left" w:pos="567"/>
        </w:tabs>
        <w:suppressAutoHyphens/>
        <w:ind w:left="567" w:hanging="567"/>
        <w:rPr>
          <w:szCs w:val="22"/>
          <w:lang w:val="pt-PT"/>
        </w:rPr>
      </w:pPr>
      <w:r w:rsidRPr="002A54AF">
        <w:rPr>
          <w:szCs w:val="22"/>
          <w:lang w:val="pt-PT"/>
        </w:rPr>
        <w:t>-</w:t>
      </w:r>
      <w:r w:rsidRPr="002A54AF">
        <w:rPr>
          <w:szCs w:val="22"/>
          <w:lang w:val="pt-PT"/>
        </w:rPr>
        <w:tab/>
        <w:t>Diminuição da sensibilidade ao toque</w:t>
      </w:r>
    </w:p>
    <w:p w14:paraId="4A9DF726" w14:textId="77777777" w:rsidR="009D0380" w:rsidRPr="002A54AF" w:rsidRDefault="009D0380" w:rsidP="00011577">
      <w:pPr>
        <w:tabs>
          <w:tab w:val="left" w:pos="567"/>
        </w:tabs>
        <w:suppressAutoHyphens/>
        <w:ind w:left="567" w:hanging="567"/>
        <w:rPr>
          <w:szCs w:val="22"/>
          <w:lang w:val="pt-PT"/>
        </w:rPr>
      </w:pPr>
      <w:r w:rsidRPr="002A54AF">
        <w:rPr>
          <w:szCs w:val="22"/>
          <w:lang w:val="pt-PT"/>
        </w:rPr>
        <w:t>-</w:t>
      </w:r>
      <w:r w:rsidRPr="002A54AF">
        <w:rPr>
          <w:szCs w:val="22"/>
          <w:lang w:val="pt-PT"/>
        </w:rPr>
        <w:tab/>
        <w:t>Alteração do paladar</w:t>
      </w:r>
    </w:p>
    <w:p w14:paraId="291F5388" w14:textId="77777777" w:rsidR="009D0380" w:rsidRPr="002A54AF" w:rsidRDefault="009D0380" w:rsidP="00011577">
      <w:pPr>
        <w:tabs>
          <w:tab w:val="left" w:pos="567"/>
        </w:tabs>
        <w:suppressAutoHyphens/>
        <w:ind w:left="567" w:hanging="567"/>
        <w:rPr>
          <w:szCs w:val="22"/>
          <w:lang w:val="pt-PT"/>
        </w:rPr>
      </w:pPr>
      <w:r w:rsidRPr="002A54AF">
        <w:rPr>
          <w:szCs w:val="22"/>
          <w:lang w:val="pt-PT"/>
        </w:rPr>
        <w:t>-</w:t>
      </w:r>
      <w:r w:rsidRPr="002A54AF">
        <w:rPr>
          <w:szCs w:val="22"/>
          <w:lang w:val="pt-PT"/>
        </w:rPr>
        <w:tab/>
        <w:t>Dificuldades de audição, zumbidos nos ouvidos, vertigens</w:t>
      </w:r>
    </w:p>
    <w:p w14:paraId="31D4635F" w14:textId="77777777" w:rsidR="009D0380" w:rsidRPr="002A54AF" w:rsidRDefault="009D0380" w:rsidP="00011577">
      <w:pPr>
        <w:tabs>
          <w:tab w:val="left" w:pos="567"/>
        </w:tabs>
        <w:suppressAutoHyphens/>
        <w:ind w:left="567" w:hanging="567"/>
        <w:rPr>
          <w:szCs w:val="22"/>
          <w:lang w:val="pt-PT"/>
        </w:rPr>
      </w:pPr>
      <w:r w:rsidRPr="002A54AF">
        <w:rPr>
          <w:szCs w:val="22"/>
          <w:lang w:val="pt-PT"/>
        </w:rPr>
        <w:t>-</w:t>
      </w:r>
      <w:r w:rsidRPr="002A54AF">
        <w:rPr>
          <w:szCs w:val="22"/>
          <w:lang w:val="pt-PT"/>
        </w:rPr>
        <w:tab/>
        <w:t>Inflamação de certos órgãos internos – pâncreas e duodeno, inchaço e inflamação da língua</w:t>
      </w:r>
    </w:p>
    <w:p w14:paraId="3BF4FA9F" w14:textId="77777777" w:rsidR="00011577" w:rsidRPr="002A54AF" w:rsidRDefault="00011577" w:rsidP="00011577">
      <w:pPr>
        <w:tabs>
          <w:tab w:val="left" w:pos="567"/>
        </w:tabs>
        <w:suppressAutoHyphens/>
        <w:ind w:left="567" w:hanging="567"/>
        <w:rPr>
          <w:szCs w:val="22"/>
          <w:lang w:val="pt-PT"/>
        </w:rPr>
      </w:pPr>
      <w:r w:rsidRPr="002A54AF">
        <w:rPr>
          <w:szCs w:val="22"/>
          <w:lang w:val="pt-PT"/>
        </w:rPr>
        <w:t>-</w:t>
      </w:r>
      <w:r w:rsidRPr="002A54AF">
        <w:rPr>
          <w:szCs w:val="22"/>
          <w:lang w:val="pt-PT"/>
        </w:rPr>
        <w:tab/>
        <w:t>Fígado aumentado, falência do fígado, doença da vesícula biliar, pedra na vesícula</w:t>
      </w:r>
    </w:p>
    <w:p w14:paraId="403F67B3" w14:textId="77777777" w:rsidR="009D0380" w:rsidRPr="002A54AF" w:rsidRDefault="009D0380" w:rsidP="00011577">
      <w:pPr>
        <w:tabs>
          <w:tab w:val="left" w:pos="567"/>
        </w:tabs>
        <w:suppressAutoHyphens/>
        <w:ind w:left="567" w:hanging="567"/>
        <w:rPr>
          <w:szCs w:val="22"/>
          <w:lang w:val="pt-PT"/>
        </w:rPr>
      </w:pPr>
      <w:r w:rsidRPr="002A54AF">
        <w:rPr>
          <w:szCs w:val="22"/>
          <w:lang w:val="pt-PT"/>
        </w:rPr>
        <w:t>-</w:t>
      </w:r>
      <w:r w:rsidRPr="002A54AF">
        <w:rPr>
          <w:szCs w:val="22"/>
          <w:lang w:val="pt-PT"/>
        </w:rPr>
        <w:tab/>
        <w:t>Inflamação das articulações, inflamação das veias sob a pele (que pode estar associada à formação de um coágulo sanguíneo)</w:t>
      </w:r>
    </w:p>
    <w:p w14:paraId="5B7A11DF" w14:textId="77777777" w:rsidR="00011577" w:rsidRPr="002A54AF" w:rsidRDefault="00011577" w:rsidP="00011577">
      <w:pPr>
        <w:tabs>
          <w:tab w:val="left" w:pos="567"/>
        </w:tabs>
        <w:suppressAutoHyphens/>
        <w:ind w:left="567" w:hanging="567"/>
        <w:rPr>
          <w:szCs w:val="22"/>
          <w:lang w:val="pt-PT"/>
        </w:rPr>
      </w:pPr>
      <w:r w:rsidRPr="002A54AF">
        <w:rPr>
          <w:szCs w:val="22"/>
          <w:lang w:val="pt-PT"/>
        </w:rPr>
        <w:t>-</w:t>
      </w:r>
      <w:r w:rsidRPr="002A54AF">
        <w:rPr>
          <w:szCs w:val="22"/>
          <w:lang w:val="pt-PT"/>
        </w:rPr>
        <w:tab/>
        <w:t>Inflamação do rim, proteínas na urina</w:t>
      </w:r>
      <w:r w:rsidR="009B3B8C" w:rsidRPr="002A54AF">
        <w:rPr>
          <w:szCs w:val="22"/>
          <w:lang w:val="pt-PT"/>
        </w:rPr>
        <w:t>, danos no rim</w:t>
      </w:r>
    </w:p>
    <w:p w14:paraId="750C7BAA" w14:textId="77777777" w:rsidR="009D0380" w:rsidRPr="002A54AF" w:rsidRDefault="009D0380" w:rsidP="00011577">
      <w:pPr>
        <w:tabs>
          <w:tab w:val="left" w:pos="567"/>
        </w:tabs>
        <w:suppressAutoHyphens/>
        <w:ind w:left="567" w:hanging="567"/>
        <w:rPr>
          <w:szCs w:val="22"/>
          <w:lang w:val="pt-PT"/>
        </w:rPr>
      </w:pPr>
      <w:r w:rsidRPr="002A54AF">
        <w:rPr>
          <w:szCs w:val="22"/>
          <w:lang w:val="pt-PT"/>
        </w:rPr>
        <w:t>-</w:t>
      </w:r>
      <w:r w:rsidRPr="002A54AF">
        <w:rPr>
          <w:szCs w:val="22"/>
          <w:lang w:val="pt-PT"/>
        </w:rPr>
        <w:tab/>
        <w:t>Ritmo cardíaco muito rápido ou falhas nos batimentos cardíacos</w:t>
      </w:r>
      <w:r w:rsidR="009B3B8C" w:rsidRPr="002A54AF">
        <w:rPr>
          <w:szCs w:val="22"/>
          <w:lang w:val="pt-PT"/>
        </w:rPr>
        <w:t>, por vezes com impulsos elétricos erráticos</w:t>
      </w:r>
    </w:p>
    <w:p w14:paraId="7AF118EC" w14:textId="77777777" w:rsidR="00011577" w:rsidRPr="002A54AF" w:rsidRDefault="00011577" w:rsidP="00011577">
      <w:pPr>
        <w:tabs>
          <w:tab w:val="left" w:pos="567"/>
        </w:tabs>
        <w:suppressAutoHyphens/>
        <w:ind w:left="567" w:hanging="567"/>
        <w:rPr>
          <w:szCs w:val="22"/>
          <w:lang w:val="pt-PT"/>
        </w:rPr>
      </w:pPr>
      <w:r w:rsidRPr="002A54AF">
        <w:rPr>
          <w:szCs w:val="22"/>
          <w:lang w:val="pt-PT"/>
        </w:rPr>
        <w:t>-</w:t>
      </w:r>
      <w:r w:rsidRPr="002A54AF">
        <w:rPr>
          <w:szCs w:val="22"/>
          <w:lang w:val="pt-PT"/>
        </w:rPr>
        <w:tab/>
        <w:t>Anomalias no eletrocardiograma (ECG)</w:t>
      </w:r>
    </w:p>
    <w:p w14:paraId="0E5612CB" w14:textId="77777777" w:rsidR="009D0380" w:rsidRPr="002A54AF" w:rsidRDefault="009D0380" w:rsidP="00011577">
      <w:pPr>
        <w:tabs>
          <w:tab w:val="left" w:pos="567"/>
        </w:tabs>
        <w:suppressAutoHyphens/>
        <w:ind w:left="567" w:hanging="567"/>
        <w:rPr>
          <w:szCs w:val="22"/>
          <w:lang w:val="pt-PT"/>
        </w:rPr>
      </w:pPr>
      <w:r w:rsidRPr="002A54AF">
        <w:rPr>
          <w:szCs w:val="22"/>
          <w:lang w:val="pt-PT"/>
        </w:rPr>
        <w:t>-</w:t>
      </w:r>
      <w:r w:rsidRPr="002A54AF">
        <w:rPr>
          <w:szCs w:val="22"/>
          <w:lang w:val="pt-PT"/>
        </w:rPr>
        <w:tab/>
        <w:t>Aumento do colesterol no sangue, aumento da ureia no sangue</w:t>
      </w:r>
    </w:p>
    <w:p w14:paraId="171BAF5E" w14:textId="25D9DA7E" w:rsidR="009D0380" w:rsidRPr="002A54AF" w:rsidRDefault="009D0380" w:rsidP="00011577">
      <w:pPr>
        <w:tabs>
          <w:tab w:val="left" w:pos="567"/>
        </w:tabs>
        <w:suppressAutoHyphens/>
        <w:ind w:left="567" w:hanging="567"/>
        <w:rPr>
          <w:szCs w:val="22"/>
          <w:lang w:val="pt-PT"/>
        </w:rPr>
      </w:pPr>
      <w:r w:rsidRPr="002A54AF">
        <w:rPr>
          <w:szCs w:val="22"/>
          <w:lang w:val="pt-PT"/>
        </w:rPr>
        <w:t>-</w:t>
      </w:r>
      <w:r w:rsidRPr="002A54AF">
        <w:rPr>
          <w:szCs w:val="22"/>
          <w:lang w:val="pt-PT"/>
        </w:rPr>
        <w:tab/>
        <w:t xml:space="preserve">Reações alérgicas na pele (por vezes graves), incluindo </w:t>
      </w:r>
      <w:r w:rsidR="009B3B8C" w:rsidRPr="002A54AF">
        <w:rPr>
          <w:szCs w:val="22"/>
          <w:lang w:val="pt-PT"/>
        </w:rPr>
        <w:t xml:space="preserve">uma afeção da pele </w:t>
      </w:r>
      <w:r w:rsidR="00F842C5" w:rsidRPr="002A54AF">
        <w:rPr>
          <w:szCs w:val="22"/>
          <w:lang w:val="pt-PT"/>
        </w:rPr>
        <w:t>potencialmente fatal</w:t>
      </w:r>
      <w:r w:rsidR="009B3B8C" w:rsidRPr="002A54AF">
        <w:rPr>
          <w:szCs w:val="22"/>
          <w:lang w:val="pt-PT"/>
        </w:rPr>
        <w:t xml:space="preserve"> que provoca bolhas dolorosas e lesões na pele e nas membranas mucosas, especialmente na boca</w:t>
      </w:r>
      <w:r w:rsidRPr="002A54AF">
        <w:rPr>
          <w:szCs w:val="22"/>
          <w:lang w:val="pt-PT"/>
        </w:rPr>
        <w:t>, inflamação da pele, urticária, vermelhidão e irritação da pele, descoloração vermelha ou roxa da pele, que pode ser causada por uma baixa contagem de plaquetas, eczema</w:t>
      </w:r>
    </w:p>
    <w:p w14:paraId="1C2376C7" w14:textId="77777777" w:rsidR="009D0380" w:rsidRDefault="009D0380" w:rsidP="00011577">
      <w:pPr>
        <w:tabs>
          <w:tab w:val="left" w:pos="567"/>
        </w:tabs>
        <w:suppressAutoHyphens/>
        <w:ind w:left="567" w:hanging="567"/>
        <w:rPr>
          <w:szCs w:val="22"/>
          <w:lang w:val="pt-PT"/>
        </w:rPr>
      </w:pPr>
      <w:r w:rsidRPr="002A54AF">
        <w:rPr>
          <w:szCs w:val="22"/>
          <w:lang w:val="pt-PT"/>
        </w:rPr>
        <w:t>-</w:t>
      </w:r>
      <w:r w:rsidRPr="002A54AF">
        <w:rPr>
          <w:szCs w:val="22"/>
          <w:lang w:val="pt-PT"/>
        </w:rPr>
        <w:tab/>
        <w:t xml:space="preserve">Reação no local da </w:t>
      </w:r>
      <w:r w:rsidR="009B3B8C" w:rsidRPr="002A54AF">
        <w:rPr>
          <w:szCs w:val="22"/>
          <w:lang w:val="pt-PT"/>
        </w:rPr>
        <w:t>perfusão</w:t>
      </w:r>
    </w:p>
    <w:p w14:paraId="17906AAA" w14:textId="77777777" w:rsidR="003C075F" w:rsidRDefault="003C075F" w:rsidP="003C075F">
      <w:pPr>
        <w:numPr>
          <w:ilvl w:val="0"/>
          <w:numId w:val="18"/>
        </w:numPr>
        <w:suppressAutoHyphens/>
        <w:ind w:left="567" w:hanging="567"/>
        <w:rPr>
          <w:lang w:val="pt-PT"/>
        </w:rPr>
      </w:pPr>
      <w:r w:rsidRPr="0049644A">
        <w:rPr>
          <w:lang w:val="pt-PT"/>
        </w:rPr>
        <w:t>Reação alérgica ou resposta imunitária exagerada</w:t>
      </w:r>
    </w:p>
    <w:p w14:paraId="51F954D6" w14:textId="70C1841C" w:rsidR="00D43EFF" w:rsidRPr="00D43EFF" w:rsidRDefault="00D43EFF" w:rsidP="00D43EFF">
      <w:pPr>
        <w:numPr>
          <w:ilvl w:val="0"/>
          <w:numId w:val="18"/>
        </w:numPr>
        <w:suppressAutoHyphens/>
        <w:ind w:left="567" w:hanging="567"/>
        <w:rPr>
          <w:lang w:val="pt-PT"/>
        </w:rPr>
      </w:pPr>
      <w:r w:rsidRPr="00D43EFF">
        <w:rPr>
          <w:lang w:val="pt-PT"/>
        </w:rPr>
        <w:t>Inflamação do tecido que envolve os ossos</w:t>
      </w:r>
    </w:p>
    <w:p w14:paraId="1A58C258" w14:textId="77777777" w:rsidR="00011577" w:rsidRPr="002A54AF" w:rsidRDefault="00011577" w:rsidP="009B3B8C">
      <w:pPr>
        <w:tabs>
          <w:tab w:val="left" w:pos="567"/>
        </w:tabs>
        <w:suppressAutoHyphens/>
        <w:ind w:left="567" w:hanging="567"/>
        <w:rPr>
          <w:szCs w:val="22"/>
          <w:lang w:val="pt-PT"/>
        </w:rPr>
      </w:pPr>
    </w:p>
    <w:p w14:paraId="5A24617D" w14:textId="77777777" w:rsidR="00011577" w:rsidRDefault="009B3B8C" w:rsidP="00011577">
      <w:pPr>
        <w:tabs>
          <w:tab w:val="left" w:pos="567"/>
        </w:tabs>
        <w:suppressAutoHyphens/>
        <w:rPr>
          <w:szCs w:val="22"/>
          <w:lang w:val="pt-PT"/>
        </w:rPr>
      </w:pPr>
      <w:r w:rsidRPr="002A54AF">
        <w:rPr>
          <w:szCs w:val="22"/>
          <w:lang w:val="pt-PT"/>
        </w:rPr>
        <w:t>R</w:t>
      </w:r>
      <w:r w:rsidR="00011577" w:rsidRPr="002A54AF">
        <w:rPr>
          <w:szCs w:val="22"/>
          <w:lang w:val="pt-PT"/>
        </w:rPr>
        <w:t>aros</w:t>
      </w:r>
      <w:r w:rsidRPr="002A54AF">
        <w:rPr>
          <w:szCs w:val="22"/>
          <w:lang w:val="pt-PT"/>
        </w:rPr>
        <w:t>:</w:t>
      </w:r>
      <w:r w:rsidR="00011577" w:rsidRPr="002A54AF">
        <w:rPr>
          <w:szCs w:val="22"/>
          <w:lang w:val="pt-PT"/>
        </w:rPr>
        <w:t xml:space="preserve"> podem afetar até 1 em cada 1000</w:t>
      </w:r>
      <w:r w:rsidRPr="002A54AF">
        <w:rPr>
          <w:szCs w:val="22"/>
          <w:lang w:val="pt-PT"/>
        </w:rPr>
        <w:t> pessoas</w:t>
      </w:r>
    </w:p>
    <w:p w14:paraId="40BCE91A" w14:textId="77777777" w:rsidR="00A572B3" w:rsidRPr="002A54AF" w:rsidRDefault="00A572B3" w:rsidP="00011577">
      <w:pPr>
        <w:tabs>
          <w:tab w:val="left" w:pos="567"/>
        </w:tabs>
        <w:suppressAutoHyphens/>
        <w:rPr>
          <w:szCs w:val="22"/>
          <w:lang w:val="pt-PT"/>
        </w:rPr>
      </w:pPr>
    </w:p>
    <w:p w14:paraId="2A476B7B" w14:textId="77777777" w:rsidR="00011577" w:rsidRPr="002A54AF" w:rsidRDefault="00011577" w:rsidP="00011577">
      <w:pPr>
        <w:tabs>
          <w:tab w:val="left" w:pos="567"/>
        </w:tabs>
        <w:suppressAutoHyphens/>
        <w:ind w:left="567" w:hanging="567"/>
        <w:rPr>
          <w:szCs w:val="22"/>
          <w:lang w:val="pt-PT"/>
        </w:rPr>
      </w:pPr>
      <w:r w:rsidRPr="002A54AF">
        <w:rPr>
          <w:szCs w:val="22"/>
          <w:lang w:val="pt-PT"/>
        </w:rPr>
        <w:t>-</w:t>
      </w:r>
      <w:r w:rsidRPr="002A54AF">
        <w:rPr>
          <w:szCs w:val="22"/>
          <w:lang w:val="pt-PT"/>
        </w:rPr>
        <w:tab/>
        <w:t>Hiperatividade da glândula tiróideia</w:t>
      </w:r>
    </w:p>
    <w:p w14:paraId="10F309C7" w14:textId="77777777" w:rsidR="009D0380" w:rsidRPr="002A54AF" w:rsidRDefault="009D0380" w:rsidP="00011577">
      <w:pPr>
        <w:tabs>
          <w:tab w:val="left" w:pos="567"/>
        </w:tabs>
        <w:suppressAutoHyphens/>
        <w:ind w:left="567" w:hanging="567"/>
        <w:rPr>
          <w:szCs w:val="22"/>
          <w:lang w:val="pt-PT"/>
        </w:rPr>
      </w:pPr>
      <w:r w:rsidRPr="002A54AF">
        <w:rPr>
          <w:szCs w:val="22"/>
          <w:lang w:val="pt-PT"/>
        </w:rPr>
        <w:t>-</w:t>
      </w:r>
      <w:r w:rsidRPr="002A54AF">
        <w:rPr>
          <w:szCs w:val="22"/>
          <w:lang w:val="pt-PT"/>
        </w:rPr>
        <w:tab/>
        <w:t>Deterioração da função cerebral que consiste numa complicação grave de doença do fígado</w:t>
      </w:r>
    </w:p>
    <w:p w14:paraId="56CAE4B1" w14:textId="77777777" w:rsidR="00011577" w:rsidRPr="002A54AF" w:rsidRDefault="00011577" w:rsidP="00011577">
      <w:pPr>
        <w:tabs>
          <w:tab w:val="left" w:pos="567"/>
        </w:tabs>
        <w:suppressAutoHyphens/>
        <w:ind w:left="567" w:hanging="567"/>
        <w:rPr>
          <w:szCs w:val="22"/>
          <w:lang w:val="pt-PT"/>
        </w:rPr>
      </w:pPr>
      <w:r w:rsidRPr="002A54AF">
        <w:rPr>
          <w:szCs w:val="22"/>
          <w:lang w:val="pt-PT"/>
        </w:rPr>
        <w:lastRenderedPageBreak/>
        <w:t>-</w:t>
      </w:r>
      <w:r w:rsidRPr="002A54AF">
        <w:rPr>
          <w:szCs w:val="22"/>
          <w:lang w:val="pt-PT"/>
        </w:rPr>
        <w:tab/>
      </w:r>
      <w:r w:rsidR="009B3B8C" w:rsidRPr="002A54AF">
        <w:rPr>
          <w:szCs w:val="22"/>
          <w:lang w:val="pt-PT"/>
        </w:rPr>
        <w:t>Perda da maior parte das fibras</w:t>
      </w:r>
      <w:r w:rsidRPr="002A54AF">
        <w:rPr>
          <w:szCs w:val="22"/>
          <w:lang w:val="pt-PT"/>
        </w:rPr>
        <w:t xml:space="preserve"> no nervo ótico, opacificação da córnea</w:t>
      </w:r>
      <w:r w:rsidR="009B3B8C" w:rsidRPr="002A54AF">
        <w:rPr>
          <w:szCs w:val="22"/>
          <w:lang w:val="pt-PT"/>
        </w:rPr>
        <w:t>, movimento involuntário do olho</w:t>
      </w:r>
    </w:p>
    <w:p w14:paraId="40B44C7E" w14:textId="77777777" w:rsidR="009D0380" w:rsidRPr="002A54AF" w:rsidRDefault="009D0380" w:rsidP="00011577">
      <w:pPr>
        <w:tabs>
          <w:tab w:val="left" w:pos="567"/>
        </w:tabs>
        <w:suppressAutoHyphens/>
        <w:ind w:left="567" w:hanging="567"/>
        <w:rPr>
          <w:szCs w:val="22"/>
          <w:lang w:val="pt-PT"/>
        </w:rPr>
      </w:pPr>
      <w:r w:rsidRPr="002A54AF">
        <w:rPr>
          <w:szCs w:val="22"/>
          <w:lang w:val="pt-PT"/>
        </w:rPr>
        <w:t>-</w:t>
      </w:r>
      <w:r w:rsidRPr="002A54AF">
        <w:rPr>
          <w:szCs w:val="22"/>
          <w:lang w:val="pt-PT"/>
        </w:rPr>
        <w:tab/>
        <w:t>Fotossensibilidade bolhosa</w:t>
      </w:r>
    </w:p>
    <w:p w14:paraId="5FE750B8" w14:textId="77777777" w:rsidR="009D0380" w:rsidRPr="002A54AF" w:rsidRDefault="009D0380" w:rsidP="00011577">
      <w:pPr>
        <w:tabs>
          <w:tab w:val="left" w:pos="567"/>
        </w:tabs>
        <w:suppressAutoHyphens/>
        <w:ind w:left="567" w:hanging="567"/>
        <w:rPr>
          <w:szCs w:val="22"/>
          <w:lang w:val="pt-PT"/>
        </w:rPr>
      </w:pPr>
      <w:r w:rsidRPr="002A54AF">
        <w:rPr>
          <w:szCs w:val="22"/>
          <w:lang w:val="pt-PT"/>
        </w:rPr>
        <w:t>-</w:t>
      </w:r>
      <w:r w:rsidRPr="002A54AF">
        <w:rPr>
          <w:szCs w:val="22"/>
          <w:lang w:val="pt-PT"/>
        </w:rPr>
        <w:tab/>
        <w:t>Uma doença em que o sistema imunitário ataca parte do sistema nervoso periférico</w:t>
      </w:r>
    </w:p>
    <w:p w14:paraId="48107F9B" w14:textId="77777777" w:rsidR="009D0380" w:rsidRPr="002A54AF" w:rsidRDefault="009D0380" w:rsidP="00011577">
      <w:pPr>
        <w:tabs>
          <w:tab w:val="left" w:pos="567"/>
        </w:tabs>
        <w:suppressAutoHyphens/>
        <w:ind w:left="567" w:hanging="567"/>
        <w:rPr>
          <w:szCs w:val="22"/>
          <w:lang w:val="pt-PT"/>
        </w:rPr>
      </w:pPr>
      <w:r w:rsidRPr="002A54AF">
        <w:rPr>
          <w:szCs w:val="22"/>
          <w:lang w:val="pt-PT"/>
        </w:rPr>
        <w:t>-</w:t>
      </w:r>
      <w:r w:rsidRPr="002A54AF">
        <w:rPr>
          <w:szCs w:val="22"/>
          <w:lang w:val="pt-PT"/>
        </w:rPr>
        <w:tab/>
        <w:t>Problemas do ritmo cardíaco</w:t>
      </w:r>
      <w:r w:rsidR="009B3B8C" w:rsidRPr="002A54AF">
        <w:rPr>
          <w:szCs w:val="22"/>
          <w:lang w:val="pt-PT"/>
        </w:rPr>
        <w:t xml:space="preserve"> ou da condução</w:t>
      </w:r>
      <w:r w:rsidRPr="002A54AF">
        <w:rPr>
          <w:szCs w:val="22"/>
          <w:lang w:val="pt-PT"/>
        </w:rPr>
        <w:t xml:space="preserve"> </w:t>
      </w:r>
      <w:r w:rsidR="009B3B8C" w:rsidRPr="002A54AF">
        <w:rPr>
          <w:szCs w:val="22"/>
          <w:lang w:val="pt-PT"/>
        </w:rPr>
        <w:t xml:space="preserve">(por vezes </w:t>
      </w:r>
      <w:r w:rsidRPr="002A54AF">
        <w:rPr>
          <w:szCs w:val="22"/>
          <w:lang w:val="pt-PT"/>
        </w:rPr>
        <w:t>fatais</w:t>
      </w:r>
      <w:r w:rsidR="009B3B8C" w:rsidRPr="002A54AF">
        <w:rPr>
          <w:szCs w:val="22"/>
          <w:lang w:val="pt-PT"/>
        </w:rPr>
        <w:t>)</w:t>
      </w:r>
    </w:p>
    <w:p w14:paraId="3BFC3234" w14:textId="77777777" w:rsidR="003A705E" w:rsidRPr="002A54AF" w:rsidRDefault="003A705E" w:rsidP="003A705E">
      <w:pPr>
        <w:numPr>
          <w:ilvl w:val="0"/>
          <w:numId w:val="19"/>
        </w:numPr>
        <w:autoSpaceDE w:val="0"/>
        <w:autoSpaceDN w:val="0"/>
        <w:adjustRightInd w:val="0"/>
        <w:rPr>
          <w:szCs w:val="22"/>
        </w:rPr>
      </w:pPr>
      <w:r w:rsidRPr="002A54AF">
        <w:rPr>
          <w:szCs w:val="22"/>
          <w:lang w:val="pt-PT"/>
        </w:rPr>
        <w:t>Reação alérgica potencialmente fatal</w:t>
      </w:r>
    </w:p>
    <w:p w14:paraId="551EC703" w14:textId="77777777" w:rsidR="003A705E" w:rsidRPr="002A54AF" w:rsidRDefault="003A705E" w:rsidP="003A705E">
      <w:pPr>
        <w:numPr>
          <w:ilvl w:val="0"/>
          <w:numId w:val="19"/>
        </w:numPr>
        <w:autoSpaceDE w:val="0"/>
        <w:autoSpaceDN w:val="0"/>
        <w:adjustRightInd w:val="0"/>
        <w:rPr>
          <w:szCs w:val="22"/>
          <w:lang w:val="pt-PT"/>
        </w:rPr>
      </w:pPr>
      <w:r w:rsidRPr="002A54AF">
        <w:rPr>
          <w:szCs w:val="22"/>
          <w:lang w:val="pt-PT"/>
        </w:rPr>
        <w:t xml:space="preserve">Distúrbio do </w:t>
      </w:r>
      <w:r w:rsidR="00F842C5" w:rsidRPr="002A54AF">
        <w:rPr>
          <w:szCs w:val="22"/>
          <w:lang w:val="pt-PT"/>
        </w:rPr>
        <w:t>s</w:t>
      </w:r>
      <w:r w:rsidRPr="002A54AF">
        <w:rPr>
          <w:szCs w:val="22"/>
          <w:lang w:val="pt-PT"/>
        </w:rPr>
        <w:t>istema de coagulação do sangue</w:t>
      </w:r>
    </w:p>
    <w:p w14:paraId="18C59AEE" w14:textId="77777777" w:rsidR="009B3B8C" w:rsidRPr="002A54AF" w:rsidRDefault="003A705E" w:rsidP="003A705E">
      <w:pPr>
        <w:numPr>
          <w:ilvl w:val="0"/>
          <w:numId w:val="19"/>
        </w:numPr>
        <w:suppressAutoHyphens/>
        <w:rPr>
          <w:szCs w:val="22"/>
          <w:lang w:val="pt-PT"/>
        </w:rPr>
      </w:pPr>
      <w:r w:rsidRPr="002A54AF">
        <w:rPr>
          <w:szCs w:val="22"/>
          <w:lang w:val="pt-PT"/>
        </w:rPr>
        <w:t xml:space="preserve">Reações alérgicas da pele (por vezes graves), incluindo inchaço rápido (edema) da derme, tecido subcutâneo, mucosa e tecidos da submucosa, </w:t>
      </w:r>
      <w:r w:rsidR="00F842C5" w:rsidRPr="002A54AF">
        <w:rPr>
          <w:szCs w:val="22"/>
          <w:lang w:val="pt-PT"/>
        </w:rPr>
        <w:t xml:space="preserve">manchas na pele vermelhas e espessas que provocam </w:t>
      </w:r>
      <w:r w:rsidRPr="002A54AF">
        <w:rPr>
          <w:szCs w:val="22"/>
          <w:lang w:val="pt-PT"/>
        </w:rPr>
        <w:t>comichão ou dor com escamas de pele prateada, irritação da pele e das membranas mucosas, afeção da pele potencialmente fatal que faz com que grandes porções da epiderme, a camada mais externa da pele, se descole das camadas de pele por baixo</w:t>
      </w:r>
    </w:p>
    <w:p w14:paraId="6FD551F5" w14:textId="77777777" w:rsidR="00DF1C0F" w:rsidRPr="002A54AF" w:rsidRDefault="00DF1C0F" w:rsidP="003A705E">
      <w:pPr>
        <w:numPr>
          <w:ilvl w:val="0"/>
          <w:numId w:val="19"/>
        </w:numPr>
        <w:suppressAutoHyphens/>
        <w:rPr>
          <w:szCs w:val="22"/>
          <w:lang w:val="pt-PT"/>
        </w:rPr>
      </w:pPr>
      <w:r w:rsidRPr="002A54AF">
        <w:rPr>
          <w:szCs w:val="22"/>
          <w:lang w:val="pt-PT"/>
        </w:rPr>
        <w:t>Pequenas zonas de pele seca e a escamar, por vezes espessa, com “picos”</w:t>
      </w:r>
    </w:p>
    <w:p w14:paraId="65B6185E" w14:textId="77777777" w:rsidR="00011577" w:rsidRPr="002A54AF" w:rsidRDefault="00011577" w:rsidP="00011577">
      <w:pPr>
        <w:tabs>
          <w:tab w:val="left" w:pos="567"/>
        </w:tabs>
        <w:suppressAutoHyphens/>
        <w:rPr>
          <w:szCs w:val="22"/>
          <w:lang w:val="pt-PT"/>
        </w:rPr>
      </w:pPr>
    </w:p>
    <w:p w14:paraId="15D1AB70" w14:textId="77777777" w:rsidR="00DF1C0F" w:rsidRPr="002A54AF" w:rsidRDefault="00DF1C0F" w:rsidP="00DF1C0F">
      <w:pPr>
        <w:suppressAutoHyphens/>
        <w:rPr>
          <w:szCs w:val="22"/>
          <w:lang w:val="pt-PT"/>
        </w:rPr>
      </w:pPr>
      <w:r w:rsidRPr="002A54AF">
        <w:rPr>
          <w:szCs w:val="22"/>
          <w:lang w:val="pt-PT"/>
        </w:rPr>
        <w:t>Os efeitos secundários com frequência desconhecida são:</w:t>
      </w:r>
    </w:p>
    <w:p w14:paraId="27AAA0A3" w14:textId="77777777" w:rsidR="00DF1C0F" w:rsidRPr="002A54AF" w:rsidRDefault="00DF1C0F" w:rsidP="00DF1C0F">
      <w:pPr>
        <w:suppressAutoHyphens/>
        <w:rPr>
          <w:szCs w:val="22"/>
          <w:lang w:val="pt-PT"/>
        </w:rPr>
      </w:pPr>
    </w:p>
    <w:p w14:paraId="57E1427D" w14:textId="77777777" w:rsidR="00DF1C0F" w:rsidRPr="002A54AF" w:rsidRDefault="00DF1C0F" w:rsidP="00DF1C0F">
      <w:pPr>
        <w:numPr>
          <w:ilvl w:val="0"/>
          <w:numId w:val="20"/>
        </w:numPr>
        <w:suppressAutoHyphens/>
        <w:ind w:left="567" w:hanging="567"/>
        <w:rPr>
          <w:szCs w:val="22"/>
          <w:lang w:val="pt-PT"/>
        </w:rPr>
      </w:pPr>
      <w:r w:rsidRPr="002A54AF">
        <w:rPr>
          <w:szCs w:val="22"/>
          <w:lang w:val="pt-PT"/>
        </w:rPr>
        <w:t>Sardas e pontos pigmentados</w:t>
      </w:r>
    </w:p>
    <w:p w14:paraId="77C094DE" w14:textId="77777777" w:rsidR="00DF1C0F" w:rsidRPr="002A54AF" w:rsidRDefault="00DF1C0F" w:rsidP="00011577">
      <w:pPr>
        <w:tabs>
          <w:tab w:val="left" w:pos="567"/>
        </w:tabs>
        <w:suppressAutoHyphens/>
        <w:rPr>
          <w:szCs w:val="22"/>
          <w:lang w:val="pt-PT"/>
        </w:rPr>
      </w:pPr>
    </w:p>
    <w:p w14:paraId="321BF239" w14:textId="77777777" w:rsidR="009D0380" w:rsidRPr="002A54AF" w:rsidRDefault="009D0380" w:rsidP="00011577">
      <w:pPr>
        <w:tabs>
          <w:tab w:val="left" w:pos="567"/>
        </w:tabs>
        <w:suppressAutoHyphens/>
        <w:rPr>
          <w:szCs w:val="22"/>
          <w:lang w:val="pt-PT"/>
        </w:rPr>
      </w:pPr>
      <w:r w:rsidRPr="002A54AF">
        <w:rPr>
          <w:szCs w:val="22"/>
          <w:lang w:val="pt-PT"/>
        </w:rPr>
        <w:t>Outros efeitos secundários cuja frequência é desconhecida, mas que deve notificar de imediato ao seu médico:</w:t>
      </w:r>
    </w:p>
    <w:p w14:paraId="45918483" w14:textId="77777777" w:rsidR="009D0380" w:rsidRPr="002A54AF" w:rsidRDefault="009D0380" w:rsidP="009D0380">
      <w:pPr>
        <w:tabs>
          <w:tab w:val="left" w:pos="567"/>
        </w:tabs>
        <w:suppressAutoHyphens/>
        <w:ind w:left="567" w:hanging="567"/>
        <w:rPr>
          <w:szCs w:val="22"/>
          <w:lang w:val="pt-PT"/>
        </w:rPr>
      </w:pPr>
      <w:r w:rsidRPr="002A54AF">
        <w:rPr>
          <w:szCs w:val="22"/>
          <w:lang w:val="pt-PT"/>
        </w:rPr>
        <w:t>-</w:t>
      </w:r>
      <w:r w:rsidRPr="002A54AF">
        <w:rPr>
          <w:szCs w:val="22"/>
          <w:lang w:val="pt-PT"/>
        </w:rPr>
        <w:tab/>
        <w:t>Zonas de pele vermelha ou a escamar ou lesões da pele em forma de anel, que podem ser um sintoma de uma doença autoimune denominada lúpus eritematoso cutâneo</w:t>
      </w:r>
    </w:p>
    <w:p w14:paraId="7A957D70" w14:textId="77777777" w:rsidR="009D0380" w:rsidRPr="002A54AF" w:rsidRDefault="009D0380" w:rsidP="00011577">
      <w:pPr>
        <w:tabs>
          <w:tab w:val="left" w:pos="567"/>
        </w:tabs>
        <w:suppressAutoHyphens/>
        <w:rPr>
          <w:szCs w:val="22"/>
          <w:lang w:val="pt-PT"/>
        </w:rPr>
      </w:pPr>
    </w:p>
    <w:p w14:paraId="53FA2873" w14:textId="77777777" w:rsidR="00011577" w:rsidRPr="002A54AF" w:rsidRDefault="00011577" w:rsidP="00011577">
      <w:pPr>
        <w:tabs>
          <w:tab w:val="left" w:pos="567"/>
        </w:tabs>
        <w:suppressAutoHyphens/>
        <w:rPr>
          <w:szCs w:val="22"/>
          <w:lang w:val="pt-PT"/>
        </w:rPr>
      </w:pPr>
      <w:r w:rsidRPr="002A54AF">
        <w:rPr>
          <w:szCs w:val="22"/>
          <w:lang w:val="pt-PT"/>
        </w:rPr>
        <w:t>O seu médico deve monitorizar a sua função do fígado e rins através da realização de análises ao sangue, uma vez que foi demonstrado que Voriconazol Accord afeta o fígado e o rim. Informe o seu médico se tiver dores de estômago, ou se as suas fezes tiverem uma consistência diferente.</w:t>
      </w:r>
    </w:p>
    <w:p w14:paraId="3EEE99DF" w14:textId="77777777" w:rsidR="00011577" w:rsidRPr="002A54AF" w:rsidRDefault="00011577" w:rsidP="00011577">
      <w:pPr>
        <w:tabs>
          <w:tab w:val="left" w:pos="567"/>
        </w:tabs>
        <w:suppressAutoHyphens/>
        <w:rPr>
          <w:szCs w:val="22"/>
          <w:lang w:val="pt-PT"/>
        </w:rPr>
      </w:pPr>
    </w:p>
    <w:p w14:paraId="6291CE89" w14:textId="77777777" w:rsidR="00D426CD" w:rsidRPr="002A54AF" w:rsidRDefault="00D426CD" w:rsidP="00D426CD">
      <w:pPr>
        <w:tabs>
          <w:tab w:val="left" w:pos="567"/>
        </w:tabs>
        <w:suppressAutoHyphens/>
        <w:rPr>
          <w:szCs w:val="22"/>
          <w:lang w:val="pt-PT"/>
        </w:rPr>
      </w:pPr>
      <w:r w:rsidRPr="002A54AF">
        <w:rPr>
          <w:szCs w:val="22"/>
          <w:lang w:val="pt-PT"/>
        </w:rPr>
        <w:t>Têm sido comunicados casos de cancro da pele em doentes tratados com Voriconazol Accord por longos períodos de tempo.</w:t>
      </w:r>
    </w:p>
    <w:p w14:paraId="0EAD4566" w14:textId="77777777" w:rsidR="00D426CD" w:rsidRPr="002A54AF" w:rsidRDefault="00D426CD" w:rsidP="00011577">
      <w:pPr>
        <w:tabs>
          <w:tab w:val="left" w:pos="567"/>
        </w:tabs>
        <w:suppressAutoHyphens/>
        <w:rPr>
          <w:szCs w:val="22"/>
          <w:lang w:val="pt-PT"/>
        </w:rPr>
      </w:pPr>
    </w:p>
    <w:p w14:paraId="284C158D" w14:textId="77777777" w:rsidR="00011577" w:rsidRPr="002A54AF" w:rsidRDefault="0017325D" w:rsidP="00011577">
      <w:pPr>
        <w:tabs>
          <w:tab w:val="left" w:pos="567"/>
        </w:tabs>
        <w:suppressAutoHyphens/>
        <w:rPr>
          <w:szCs w:val="22"/>
          <w:lang w:val="pt-PT"/>
        </w:rPr>
      </w:pPr>
      <w:r w:rsidRPr="002A54AF">
        <w:rPr>
          <w:szCs w:val="22"/>
          <w:lang w:val="pt-PT"/>
        </w:rPr>
        <w:t xml:space="preserve">As queimaduras solares ou reações graves da pele após a exposição à luz e ao sol foram observadas mais frequentemente em crianças. Se desenvolver, ou o seu filho desenvolver, problemas de pele, o seu médico poderá encaminhá-lo para um dermatologista, que, após uma consulta, poderá decidir se é importante ser observado regularmente. </w:t>
      </w:r>
      <w:r w:rsidR="00011577" w:rsidRPr="002A54AF">
        <w:rPr>
          <w:szCs w:val="22"/>
          <w:lang w:val="pt-PT"/>
        </w:rPr>
        <w:t>Se algum destes efeitos secundários persistir ou for incómodo, informe o seu médico.</w:t>
      </w:r>
      <w:r w:rsidR="003A705E" w:rsidRPr="002A54AF">
        <w:rPr>
          <w:szCs w:val="22"/>
          <w:lang w:val="pt-PT"/>
        </w:rPr>
        <w:t xml:space="preserve"> Também foram </w:t>
      </w:r>
      <w:r w:rsidR="00F842C5" w:rsidRPr="002A54AF">
        <w:rPr>
          <w:szCs w:val="22"/>
          <w:lang w:val="pt-PT"/>
        </w:rPr>
        <w:t xml:space="preserve">mais </w:t>
      </w:r>
      <w:r w:rsidR="003A705E" w:rsidRPr="002A54AF">
        <w:rPr>
          <w:szCs w:val="22"/>
          <w:lang w:val="pt-PT"/>
        </w:rPr>
        <w:t>frequentemente observadas elevações das enzimas hepáticas em crianças.</w:t>
      </w:r>
    </w:p>
    <w:p w14:paraId="09E37E3E" w14:textId="77777777" w:rsidR="00011577" w:rsidRPr="002A54AF" w:rsidRDefault="00011577" w:rsidP="00011577">
      <w:pPr>
        <w:tabs>
          <w:tab w:val="left" w:pos="567"/>
        </w:tabs>
        <w:suppressAutoHyphens/>
        <w:rPr>
          <w:szCs w:val="22"/>
          <w:lang w:val="pt-PT"/>
        </w:rPr>
      </w:pPr>
    </w:p>
    <w:p w14:paraId="776ED6F4" w14:textId="77777777" w:rsidR="00B94013" w:rsidRPr="002A54AF" w:rsidRDefault="00B94013" w:rsidP="00B94013">
      <w:pPr>
        <w:tabs>
          <w:tab w:val="left" w:pos="567"/>
        </w:tabs>
        <w:rPr>
          <w:b/>
          <w:szCs w:val="22"/>
          <w:lang w:val="pt-PT"/>
        </w:rPr>
      </w:pPr>
      <w:r w:rsidRPr="002A54AF">
        <w:rPr>
          <w:b/>
          <w:szCs w:val="22"/>
          <w:lang w:val="pt-PT"/>
        </w:rPr>
        <w:t>Notificação de suspeitas de reações adversas</w:t>
      </w:r>
    </w:p>
    <w:p w14:paraId="723944F3" w14:textId="77777777" w:rsidR="00B94013" w:rsidRPr="002A54AF" w:rsidRDefault="0017325D" w:rsidP="00B94013">
      <w:pPr>
        <w:tabs>
          <w:tab w:val="left" w:pos="567"/>
        </w:tabs>
        <w:rPr>
          <w:szCs w:val="22"/>
          <w:lang w:val="pt-PT"/>
        </w:rPr>
      </w:pPr>
      <w:r w:rsidRPr="002A54AF">
        <w:rPr>
          <w:szCs w:val="22"/>
          <w:lang w:val="pt-PT"/>
        </w:rPr>
        <w:t xml:space="preserve">Se tiver quaisquer efeitos secundários, incluindo possíveis efeitos secundários não indicados neste folheto, fale com o seu médico, farmacêutico ou enfermeiro. Também poderá comunicar efeitos secundários diretamente através </w:t>
      </w:r>
      <w:r w:rsidRPr="002A54AF">
        <w:rPr>
          <w:szCs w:val="22"/>
          <w:highlight w:val="lightGray"/>
          <w:lang w:val="pt-PT"/>
        </w:rPr>
        <w:t xml:space="preserve">do sistema nacional de notificação mencionado no </w:t>
      </w:r>
      <w:hyperlink r:id="rId13" w:history="1">
        <w:r w:rsidRPr="00443F59">
          <w:rPr>
            <w:rStyle w:val="Hyperlink"/>
            <w:szCs w:val="22"/>
            <w:highlight w:val="lightGray"/>
            <w:lang w:val="pt-PT"/>
          </w:rPr>
          <w:t>Apêndice V</w:t>
        </w:r>
      </w:hyperlink>
      <w:r w:rsidRPr="002A54AF">
        <w:rPr>
          <w:szCs w:val="22"/>
          <w:lang w:val="pt-PT"/>
        </w:rPr>
        <w:t>. Ao comunicar efeitos secundários, estará a ajudar a fornecer mais informações sobre a segurança deste medicamento</w:t>
      </w:r>
      <w:r w:rsidR="00B94013" w:rsidRPr="002A54AF">
        <w:rPr>
          <w:szCs w:val="22"/>
          <w:lang w:val="pt-PT"/>
        </w:rPr>
        <w:t>.</w:t>
      </w:r>
    </w:p>
    <w:p w14:paraId="1A17174A" w14:textId="77777777" w:rsidR="00B94013" w:rsidRPr="002A54AF" w:rsidRDefault="00B94013" w:rsidP="00011577">
      <w:pPr>
        <w:tabs>
          <w:tab w:val="left" w:pos="567"/>
        </w:tabs>
        <w:suppressAutoHyphens/>
        <w:rPr>
          <w:szCs w:val="22"/>
          <w:lang w:val="pt-PT"/>
        </w:rPr>
      </w:pPr>
    </w:p>
    <w:p w14:paraId="02E532DA" w14:textId="77777777" w:rsidR="00011577" w:rsidRPr="002A54AF" w:rsidRDefault="00011577" w:rsidP="00011577">
      <w:pPr>
        <w:tabs>
          <w:tab w:val="left" w:pos="567"/>
        </w:tabs>
        <w:suppressAutoHyphens/>
        <w:rPr>
          <w:szCs w:val="22"/>
          <w:lang w:val="pt-PT"/>
        </w:rPr>
      </w:pPr>
    </w:p>
    <w:p w14:paraId="2DDC74D1" w14:textId="77777777" w:rsidR="00011577" w:rsidRPr="002A54AF" w:rsidRDefault="00011577" w:rsidP="00011577">
      <w:pPr>
        <w:tabs>
          <w:tab w:val="left" w:pos="567"/>
        </w:tabs>
        <w:suppressAutoHyphens/>
        <w:rPr>
          <w:szCs w:val="22"/>
          <w:lang w:val="pt-PT"/>
        </w:rPr>
      </w:pPr>
      <w:r w:rsidRPr="002A54AF">
        <w:rPr>
          <w:b/>
          <w:szCs w:val="22"/>
          <w:lang w:val="pt-PT"/>
        </w:rPr>
        <w:t>5.</w:t>
      </w:r>
      <w:r w:rsidRPr="002A54AF">
        <w:rPr>
          <w:b/>
          <w:szCs w:val="22"/>
          <w:lang w:val="pt-PT"/>
        </w:rPr>
        <w:tab/>
        <w:t>Como conservar Voriconazol Accord</w:t>
      </w:r>
    </w:p>
    <w:p w14:paraId="7D7A426D" w14:textId="77777777" w:rsidR="00011577" w:rsidRPr="002A54AF" w:rsidRDefault="00011577" w:rsidP="00011577">
      <w:pPr>
        <w:tabs>
          <w:tab w:val="left" w:pos="567"/>
        </w:tabs>
        <w:suppressAutoHyphens/>
        <w:rPr>
          <w:szCs w:val="22"/>
          <w:lang w:val="pt-PT"/>
        </w:rPr>
      </w:pPr>
    </w:p>
    <w:p w14:paraId="565351E6" w14:textId="77777777" w:rsidR="00011577" w:rsidRPr="002A54AF" w:rsidRDefault="00011577" w:rsidP="00011577">
      <w:pPr>
        <w:tabs>
          <w:tab w:val="left" w:pos="567"/>
        </w:tabs>
        <w:suppressAutoHyphens/>
        <w:rPr>
          <w:szCs w:val="22"/>
          <w:lang w:val="pt-PT"/>
        </w:rPr>
      </w:pPr>
      <w:r w:rsidRPr="002A54AF">
        <w:rPr>
          <w:szCs w:val="22"/>
          <w:lang w:val="pt-PT"/>
        </w:rPr>
        <w:t>Manter este medicamento fora da vista e do alcance das crianças.</w:t>
      </w:r>
    </w:p>
    <w:p w14:paraId="5579B999" w14:textId="77777777" w:rsidR="00011577" w:rsidRPr="002A54AF" w:rsidRDefault="00011577" w:rsidP="00011577">
      <w:pPr>
        <w:tabs>
          <w:tab w:val="left" w:pos="567"/>
        </w:tabs>
        <w:suppressAutoHyphens/>
        <w:rPr>
          <w:szCs w:val="22"/>
          <w:lang w:val="pt-PT"/>
        </w:rPr>
      </w:pPr>
    </w:p>
    <w:p w14:paraId="39D202A4" w14:textId="77777777" w:rsidR="00011577" w:rsidRPr="002A54AF" w:rsidRDefault="00011577" w:rsidP="00011577">
      <w:pPr>
        <w:tabs>
          <w:tab w:val="left" w:pos="567"/>
        </w:tabs>
        <w:suppressAutoHyphens/>
        <w:rPr>
          <w:szCs w:val="22"/>
          <w:lang w:val="pt-PT"/>
        </w:rPr>
      </w:pPr>
      <w:r w:rsidRPr="002A54AF">
        <w:rPr>
          <w:szCs w:val="22"/>
          <w:lang w:val="pt-PT"/>
        </w:rPr>
        <w:t>Não utilize este medicamento após o prazo de validade impresso na embalagem. O prazo de validade corresponde ao último dia do mês indicado.</w:t>
      </w:r>
    </w:p>
    <w:p w14:paraId="48BC222C" w14:textId="77777777" w:rsidR="00011577" w:rsidRPr="002A54AF" w:rsidRDefault="00011577" w:rsidP="00011577">
      <w:pPr>
        <w:tabs>
          <w:tab w:val="left" w:pos="567"/>
        </w:tabs>
        <w:suppressAutoHyphens/>
        <w:rPr>
          <w:szCs w:val="22"/>
          <w:lang w:val="pt-PT"/>
        </w:rPr>
      </w:pPr>
    </w:p>
    <w:p w14:paraId="7477CE98" w14:textId="77777777" w:rsidR="00011577" w:rsidRPr="002A54AF" w:rsidRDefault="00011577" w:rsidP="00011577">
      <w:pPr>
        <w:ind w:right="-2"/>
        <w:rPr>
          <w:noProof/>
          <w:szCs w:val="22"/>
          <w:lang w:val="pt-PT"/>
        </w:rPr>
      </w:pPr>
      <w:r w:rsidRPr="002A54AF">
        <w:rPr>
          <w:noProof/>
          <w:szCs w:val="22"/>
          <w:lang w:val="pt-PT"/>
        </w:rPr>
        <w:t>O medicamento não necessita de quaisquer precauções especiais de conservação.</w:t>
      </w:r>
    </w:p>
    <w:p w14:paraId="333D8A8A" w14:textId="77777777" w:rsidR="00011577" w:rsidRPr="002A54AF" w:rsidRDefault="00011577" w:rsidP="00011577">
      <w:pPr>
        <w:tabs>
          <w:tab w:val="left" w:pos="567"/>
        </w:tabs>
        <w:suppressAutoHyphens/>
        <w:rPr>
          <w:szCs w:val="22"/>
          <w:lang w:val="pt-PT"/>
        </w:rPr>
      </w:pPr>
    </w:p>
    <w:p w14:paraId="5AF8AA92" w14:textId="77777777" w:rsidR="00011577" w:rsidRPr="002A54AF" w:rsidRDefault="00011577" w:rsidP="00011577">
      <w:pPr>
        <w:tabs>
          <w:tab w:val="left" w:pos="567"/>
        </w:tabs>
        <w:suppressAutoHyphens/>
        <w:rPr>
          <w:szCs w:val="22"/>
          <w:lang w:val="pt-PT"/>
        </w:rPr>
      </w:pPr>
      <w:r w:rsidRPr="002A54AF">
        <w:rPr>
          <w:szCs w:val="22"/>
          <w:lang w:val="pt-PT"/>
        </w:rPr>
        <w:t>Não deite fora quaisquer medicamentos na canalização ou no lixo doméstico. Pergunte ao seu farmacêutico como deitar fora os medicamentos que já não utiliza. Estas medidas ajudarão a proteger o ambiente.</w:t>
      </w:r>
    </w:p>
    <w:p w14:paraId="10B48619" w14:textId="77777777" w:rsidR="00011577" w:rsidRPr="002A54AF" w:rsidRDefault="00011577" w:rsidP="00011577">
      <w:pPr>
        <w:tabs>
          <w:tab w:val="left" w:pos="567"/>
        </w:tabs>
        <w:suppressAutoHyphens/>
        <w:rPr>
          <w:szCs w:val="22"/>
          <w:lang w:val="pt-PT"/>
        </w:rPr>
      </w:pPr>
    </w:p>
    <w:p w14:paraId="78892580" w14:textId="77777777" w:rsidR="00011577" w:rsidRPr="002A54AF" w:rsidRDefault="00011577" w:rsidP="00011577">
      <w:pPr>
        <w:tabs>
          <w:tab w:val="left" w:pos="567"/>
        </w:tabs>
        <w:suppressAutoHyphens/>
        <w:rPr>
          <w:szCs w:val="22"/>
          <w:lang w:val="pt-PT"/>
        </w:rPr>
      </w:pPr>
    </w:p>
    <w:p w14:paraId="40709716" w14:textId="77777777" w:rsidR="00011577" w:rsidRPr="002A54AF" w:rsidRDefault="00011577" w:rsidP="00011577">
      <w:pPr>
        <w:keepNext/>
        <w:tabs>
          <w:tab w:val="left" w:pos="567"/>
        </w:tabs>
        <w:suppressAutoHyphens/>
        <w:rPr>
          <w:szCs w:val="22"/>
          <w:lang w:val="pt-PT"/>
        </w:rPr>
      </w:pPr>
      <w:r w:rsidRPr="002A54AF">
        <w:rPr>
          <w:b/>
          <w:szCs w:val="22"/>
          <w:lang w:val="pt-PT"/>
        </w:rPr>
        <w:t>6.</w:t>
      </w:r>
      <w:r w:rsidRPr="002A54AF">
        <w:rPr>
          <w:b/>
          <w:szCs w:val="22"/>
          <w:lang w:val="pt-PT"/>
        </w:rPr>
        <w:tab/>
        <w:t>Conteúdo da embalagem e outras informações</w:t>
      </w:r>
    </w:p>
    <w:p w14:paraId="3A60FCF0" w14:textId="77777777" w:rsidR="00011577" w:rsidRPr="002A54AF" w:rsidRDefault="00011577" w:rsidP="00011577">
      <w:pPr>
        <w:keepNext/>
        <w:tabs>
          <w:tab w:val="left" w:pos="567"/>
        </w:tabs>
        <w:suppressAutoHyphens/>
        <w:rPr>
          <w:b/>
          <w:szCs w:val="22"/>
          <w:lang w:val="pt-PT"/>
        </w:rPr>
      </w:pPr>
    </w:p>
    <w:p w14:paraId="35D443C7" w14:textId="77777777" w:rsidR="00011577" w:rsidRPr="002A54AF" w:rsidRDefault="00011577" w:rsidP="00011577">
      <w:pPr>
        <w:keepNext/>
        <w:tabs>
          <w:tab w:val="left" w:pos="567"/>
        </w:tabs>
        <w:suppressAutoHyphens/>
        <w:rPr>
          <w:szCs w:val="22"/>
          <w:lang w:val="pt-PT"/>
        </w:rPr>
      </w:pPr>
      <w:r w:rsidRPr="002A54AF">
        <w:rPr>
          <w:b/>
          <w:szCs w:val="22"/>
          <w:lang w:val="pt-PT"/>
        </w:rPr>
        <w:t>Qual a composição de Voriconazol Accord</w:t>
      </w:r>
      <w:r w:rsidRPr="002A54AF">
        <w:rPr>
          <w:szCs w:val="22"/>
          <w:lang w:val="pt-PT"/>
        </w:rPr>
        <w:t xml:space="preserve"> </w:t>
      </w:r>
    </w:p>
    <w:p w14:paraId="2B38F2CD" w14:textId="77777777" w:rsidR="00011577" w:rsidRPr="002A54AF" w:rsidRDefault="00011577" w:rsidP="00E72BDD">
      <w:pPr>
        <w:keepNext/>
        <w:numPr>
          <w:ilvl w:val="0"/>
          <w:numId w:val="8"/>
        </w:numPr>
        <w:tabs>
          <w:tab w:val="left" w:pos="567"/>
        </w:tabs>
        <w:suppressAutoHyphens/>
        <w:rPr>
          <w:szCs w:val="22"/>
          <w:lang w:val="pt-PT"/>
        </w:rPr>
      </w:pPr>
      <w:r w:rsidRPr="002A54AF">
        <w:rPr>
          <w:szCs w:val="22"/>
          <w:lang w:val="pt-PT"/>
        </w:rPr>
        <w:t>A substância ativa é o voriconazol. Cada comprimido contém 50</w:t>
      </w:r>
      <w:r w:rsidR="00F66FD2" w:rsidRPr="002A54AF">
        <w:rPr>
          <w:szCs w:val="22"/>
          <w:lang w:val="pt-PT"/>
        </w:rPr>
        <w:t> </w:t>
      </w:r>
      <w:r w:rsidRPr="002A54AF">
        <w:rPr>
          <w:szCs w:val="22"/>
          <w:lang w:val="pt-PT"/>
        </w:rPr>
        <w:t>mg de voriconazol (no caso de Voriconazol Accord 50 mg comprimidos revestidos por película) ou 200</w:t>
      </w:r>
      <w:r w:rsidR="00F66FD2" w:rsidRPr="002A54AF">
        <w:rPr>
          <w:szCs w:val="22"/>
          <w:lang w:val="pt-PT"/>
        </w:rPr>
        <w:t> </w:t>
      </w:r>
      <w:r w:rsidRPr="002A54AF">
        <w:rPr>
          <w:szCs w:val="22"/>
          <w:lang w:val="pt-PT"/>
        </w:rPr>
        <w:t>mg de voriconazol (no caso de Voriconazol Accord 200 mg comprimidos revestidos por película).</w:t>
      </w:r>
    </w:p>
    <w:p w14:paraId="42C75D37" w14:textId="77777777" w:rsidR="00011577" w:rsidRPr="004D3428" w:rsidRDefault="00011577" w:rsidP="004D3428">
      <w:pPr>
        <w:numPr>
          <w:ilvl w:val="0"/>
          <w:numId w:val="9"/>
        </w:numPr>
        <w:suppressAutoHyphens/>
        <w:rPr>
          <w:szCs w:val="22"/>
          <w:lang w:val="pt-PT"/>
        </w:rPr>
      </w:pPr>
      <w:r w:rsidRPr="004D3428">
        <w:rPr>
          <w:szCs w:val="22"/>
          <w:lang w:val="pt-PT"/>
        </w:rPr>
        <w:t>Os outros componentes são lactose mono-hidratada, amido pré-gelificado, croscarmelose sódica, povidona e estearato de magnésio, que constituem o núcleo do comprimido e hipromelose, dióxido de titânio (E171), lactose mono-hidratada e triacetina que constituem o revestimento por película</w:t>
      </w:r>
      <w:r w:rsidR="004D3428" w:rsidRPr="004D3428">
        <w:rPr>
          <w:szCs w:val="22"/>
          <w:lang w:val="pt-PT"/>
        </w:rPr>
        <w:t xml:space="preserve"> (ver secção 2, Voriconazol Accord 50 mg comprimidos revestidos por película ou</w:t>
      </w:r>
      <w:r w:rsidR="004D3428">
        <w:rPr>
          <w:szCs w:val="22"/>
          <w:lang w:val="pt-PT"/>
        </w:rPr>
        <w:t xml:space="preserve"> </w:t>
      </w:r>
      <w:r w:rsidR="004D3428" w:rsidRPr="004D3428">
        <w:rPr>
          <w:szCs w:val="22"/>
          <w:lang w:val="pt-PT"/>
        </w:rPr>
        <w:t>V</w:t>
      </w:r>
      <w:r w:rsidR="004D3428">
        <w:rPr>
          <w:szCs w:val="22"/>
          <w:lang w:val="pt-PT"/>
        </w:rPr>
        <w:t>oriconazol Accord</w:t>
      </w:r>
      <w:r w:rsidR="004D3428" w:rsidRPr="004D3428">
        <w:rPr>
          <w:szCs w:val="22"/>
          <w:lang w:val="pt-PT"/>
        </w:rPr>
        <w:t xml:space="preserve"> 200 mg comprimidos revestidos por película contém lactose e sódio)</w:t>
      </w:r>
      <w:r w:rsidRPr="004D3428">
        <w:rPr>
          <w:szCs w:val="22"/>
          <w:lang w:val="pt-PT"/>
        </w:rPr>
        <w:t>.</w:t>
      </w:r>
    </w:p>
    <w:p w14:paraId="754FF067" w14:textId="77777777" w:rsidR="00011577" w:rsidRPr="002A54AF" w:rsidRDefault="00011577" w:rsidP="00011577">
      <w:pPr>
        <w:tabs>
          <w:tab w:val="left" w:pos="567"/>
        </w:tabs>
        <w:suppressAutoHyphens/>
        <w:rPr>
          <w:szCs w:val="22"/>
          <w:lang w:val="pt-PT"/>
        </w:rPr>
      </w:pPr>
    </w:p>
    <w:p w14:paraId="16C68F10" w14:textId="77777777" w:rsidR="00011577" w:rsidRPr="002A54AF" w:rsidRDefault="00011577" w:rsidP="00011577">
      <w:pPr>
        <w:tabs>
          <w:tab w:val="left" w:pos="567"/>
        </w:tabs>
        <w:suppressAutoHyphens/>
        <w:rPr>
          <w:b/>
          <w:szCs w:val="22"/>
          <w:lang w:val="pt-PT"/>
        </w:rPr>
      </w:pPr>
      <w:r w:rsidRPr="002A54AF">
        <w:rPr>
          <w:b/>
          <w:szCs w:val="22"/>
          <w:lang w:val="pt-PT"/>
        </w:rPr>
        <w:t>Qual o aspeto de Voriconazol Accord e conteúdo da embalagem</w:t>
      </w:r>
    </w:p>
    <w:p w14:paraId="5A6B252A" w14:textId="77777777" w:rsidR="00011577" w:rsidRPr="002A54AF" w:rsidRDefault="00011577" w:rsidP="00011577">
      <w:pPr>
        <w:tabs>
          <w:tab w:val="left" w:pos="567"/>
        </w:tabs>
        <w:suppressAutoHyphens/>
        <w:rPr>
          <w:szCs w:val="22"/>
          <w:lang w:val="pt-PT"/>
        </w:rPr>
      </w:pPr>
      <w:r w:rsidRPr="002A54AF">
        <w:rPr>
          <w:szCs w:val="22"/>
          <w:lang w:val="pt-PT"/>
        </w:rPr>
        <w:t>Voriconazol Accord 50 mg comprimidos revestidos por película apresenta-se como comprimidos revestidos por película, brancos a esbranquiçados, redondos com aproximadamente 7,0 mm de diâmetro, marcados com “V50” numa das faces e lisos na outra face.</w:t>
      </w:r>
    </w:p>
    <w:p w14:paraId="5B7D999E" w14:textId="77777777" w:rsidR="00011577" w:rsidRPr="002A54AF" w:rsidRDefault="00011577" w:rsidP="00011577">
      <w:pPr>
        <w:tabs>
          <w:tab w:val="left" w:pos="567"/>
        </w:tabs>
        <w:suppressAutoHyphens/>
        <w:rPr>
          <w:szCs w:val="22"/>
          <w:lang w:val="pt-PT"/>
        </w:rPr>
      </w:pPr>
    </w:p>
    <w:p w14:paraId="7C7B28AC" w14:textId="77777777" w:rsidR="00011577" w:rsidRPr="002A54AF" w:rsidRDefault="00011577" w:rsidP="00011577">
      <w:pPr>
        <w:tabs>
          <w:tab w:val="left" w:pos="567"/>
        </w:tabs>
        <w:suppressAutoHyphens/>
        <w:rPr>
          <w:szCs w:val="22"/>
          <w:lang w:val="pt-PT"/>
        </w:rPr>
      </w:pPr>
      <w:r w:rsidRPr="002A54AF">
        <w:rPr>
          <w:szCs w:val="22"/>
          <w:lang w:val="pt-PT"/>
        </w:rPr>
        <w:t>Voriconazol Accord 200 mg comprimidos revestidos por película apresenta-se como comprimidos revestidos por película, brancos a esbranquiçados, ovais com 15,6 mm de comprimento e 7,8 mm de largura, marcados com “V200” numa das faces e lisos na outra face.</w:t>
      </w:r>
    </w:p>
    <w:p w14:paraId="1BD44C5E" w14:textId="77777777" w:rsidR="00011577" w:rsidRPr="002A54AF" w:rsidRDefault="00011577" w:rsidP="00011577">
      <w:pPr>
        <w:tabs>
          <w:tab w:val="left" w:pos="567"/>
        </w:tabs>
        <w:suppressAutoHyphens/>
        <w:rPr>
          <w:szCs w:val="22"/>
          <w:lang w:val="pt-PT"/>
        </w:rPr>
      </w:pPr>
    </w:p>
    <w:p w14:paraId="3A826B9E" w14:textId="77777777" w:rsidR="00011577" w:rsidRPr="002A54AF" w:rsidRDefault="00011577" w:rsidP="00011577">
      <w:pPr>
        <w:tabs>
          <w:tab w:val="left" w:pos="567"/>
        </w:tabs>
        <w:suppressAutoHyphens/>
        <w:rPr>
          <w:szCs w:val="22"/>
          <w:lang w:val="pt-PT"/>
        </w:rPr>
      </w:pPr>
      <w:r w:rsidRPr="002A54AF">
        <w:rPr>
          <w:szCs w:val="22"/>
          <w:lang w:val="pt-PT"/>
        </w:rPr>
        <w:t>Voriconazol Accord 50 mg comprimidos revestidos por película e 200 mg comprimidos revestidos por película estão disponíveis em embalagens de 2, 10, 14, 20, 28, 30, 50, 56 e 100</w:t>
      </w:r>
      <w:r w:rsidR="00AC5E44" w:rsidRPr="002A54AF">
        <w:rPr>
          <w:szCs w:val="22"/>
          <w:lang w:val="pt-PT"/>
        </w:rPr>
        <w:t xml:space="preserve"> ou embalagens blister em doses unitárias (PVC/Alumínio) contendo 10x1, 14x1, 28x1, 30x1, 56x1 ou 100x1 comprimidos revestidos por película</w:t>
      </w:r>
      <w:r w:rsidRPr="002A54AF">
        <w:rPr>
          <w:szCs w:val="22"/>
          <w:lang w:val="pt-PT"/>
        </w:rPr>
        <w:t xml:space="preserve">. </w:t>
      </w:r>
    </w:p>
    <w:p w14:paraId="38677274" w14:textId="77777777" w:rsidR="00011577" w:rsidRPr="002A54AF" w:rsidRDefault="00011577" w:rsidP="00011577">
      <w:pPr>
        <w:tabs>
          <w:tab w:val="left" w:pos="567"/>
        </w:tabs>
        <w:suppressAutoHyphens/>
        <w:rPr>
          <w:szCs w:val="22"/>
          <w:lang w:val="pt-PT"/>
        </w:rPr>
      </w:pPr>
    </w:p>
    <w:p w14:paraId="739E8EC0" w14:textId="77777777" w:rsidR="00011577" w:rsidRPr="002A54AF" w:rsidRDefault="00011577" w:rsidP="00011577">
      <w:pPr>
        <w:tabs>
          <w:tab w:val="left" w:pos="567"/>
        </w:tabs>
        <w:suppressAutoHyphens/>
        <w:rPr>
          <w:szCs w:val="22"/>
          <w:lang w:val="pt-PT"/>
        </w:rPr>
      </w:pPr>
      <w:r w:rsidRPr="002A54AF">
        <w:rPr>
          <w:szCs w:val="22"/>
          <w:lang w:val="pt-PT"/>
        </w:rPr>
        <w:t xml:space="preserve">É possível que não sejam comercializadas todas as apresentações. </w:t>
      </w:r>
    </w:p>
    <w:p w14:paraId="24D747F3" w14:textId="77777777" w:rsidR="00011577" w:rsidRPr="002A54AF" w:rsidRDefault="00011577" w:rsidP="00011577">
      <w:pPr>
        <w:tabs>
          <w:tab w:val="left" w:pos="567"/>
        </w:tabs>
        <w:suppressAutoHyphens/>
        <w:rPr>
          <w:szCs w:val="22"/>
          <w:lang w:val="pt-PT"/>
        </w:rPr>
      </w:pPr>
    </w:p>
    <w:p w14:paraId="71EFF3D7" w14:textId="77777777" w:rsidR="00011577" w:rsidRPr="002A54AF" w:rsidRDefault="00011577" w:rsidP="00011577">
      <w:pPr>
        <w:tabs>
          <w:tab w:val="left" w:pos="567"/>
        </w:tabs>
        <w:suppressAutoHyphens/>
        <w:rPr>
          <w:b/>
          <w:szCs w:val="22"/>
          <w:lang w:val="pt-BR"/>
        </w:rPr>
      </w:pPr>
      <w:r w:rsidRPr="002A54AF">
        <w:rPr>
          <w:b/>
          <w:szCs w:val="22"/>
          <w:lang w:val="pt-PT"/>
        </w:rPr>
        <w:t>Titular da Autorização de Introdução no Mercado</w:t>
      </w:r>
      <w:r w:rsidRPr="002A54AF">
        <w:rPr>
          <w:b/>
          <w:szCs w:val="22"/>
          <w:lang w:val="pt-BR"/>
        </w:rPr>
        <w:t xml:space="preserve"> </w:t>
      </w:r>
    </w:p>
    <w:p w14:paraId="1D6A72A6" w14:textId="77777777" w:rsidR="00F04C57" w:rsidRPr="002A54AF" w:rsidRDefault="00F04C57" w:rsidP="00011577">
      <w:pPr>
        <w:tabs>
          <w:tab w:val="left" w:pos="567"/>
        </w:tabs>
        <w:suppressAutoHyphens/>
        <w:rPr>
          <w:b/>
          <w:szCs w:val="22"/>
          <w:lang w:val="pt-PT"/>
        </w:rPr>
      </w:pPr>
    </w:p>
    <w:p w14:paraId="17BD0161" w14:textId="77777777" w:rsidR="00A74BB1" w:rsidRPr="00A74BB1" w:rsidRDefault="00A74BB1" w:rsidP="00A74BB1">
      <w:pPr>
        <w:rPr>
          <w:szCs w:val="22"/>
          <w:lang w:val="pl-PL"/>
        </w:rPr>
      </w:pPr>
      <w:r w:rsidRPr="00A74BB1">
        <w:rPr>
          <w:szCs w:val="22"/>
          <w:lang w:val="pl-PL"/>
        </w:rPr>
        <w:t xml:space="preserve">Accord Healthcare S.L.U. </w:t>
      </w:r>
    </w:p>
    <w:p w14:paraId="48EAAD1F" w14:textId="77777777" w:rsidR="00A74BB1" w:rsidRPr="00A74BB1" w:rsidRDefault="00A74BB1" w:rsidP="00A74BB1">
      <w:pPr>
        <w:rPr>
          <w:szCs w:val="22"/>
          <w:lang w:val="pl-PL"/>
        </w:rPr>
      </w:pPr>
      <w:r w:rsidRPr="00A74BB1">
        <w:rPr>
          <w:szCs w:val="22"/>
          <w:lang w:val="pl-PL"/>
        </w:rPr>
        <w:t xml:space="preserve">World Trade Center, Moll de Barcelona, s/n, </w:t>
      </w:r>
    </w:p>
    <w:p w14:paraId="6E0051A8" w14:textId="77777777" w:rsidR="00A74BB1" w:rsidRPr="00A74BB1" w:rsidRDefault="00A74BB1" w:rsidP="00A74BB1">
      <w:pPr>
        <w:rPr>
          <w:szCs w:val="22"/>
          <w:lang w:val="pl-PL"/>
        </w:rPr>
      </w:pPr>
      <w:r w:rsidRPr="00A74BB1">
        <w:rPr>
          <w:szCs w:val="22"/>
          <w:lang w:val="pl-PL"/>
        </w:rPr>
        <w:t xml:space="preserve">Edifici Est 6ª planta, </w:t>
      </w:r>
    </w:p>
    <w:p w14:paraId="1D497A3E" w14:textId="77777777" w:rsidR="00A74BB1" w:rsidRPr="00A74BB1" w:rsidRDefault="00A74BB1" w:rsidP="00A74BB1">
      <w:pPr>
        <w:rPr>
          <w:szCs w:val="22"/>
          <w:lang w:val="pl-PL"/>
        </w:rPr>
      </w:pPr>
      <w:r w:rsidRPr="00A74BB1">
        <w:rPr>
          <w:szCs w:val="22"/>
          <w:lang w:val="pl-PL"/>
        </w:rPr>
        <w:t xml:space="preserve">08039 Barcelona, </w:t>
      </w:r>
    </w:p>
    <w:p w14:paraId="26E358B1" w14:textId="77777777" w:rsidR="00011577" w:rsidRPr="00ED57C2" w:rsidRDefault="00A74BB1" w:rsidP="00011577">
      <w:pPr>
        <w:tabs>
          <w:tab w:val="left" w:pos="567"/>
        </w:tabs>
        <w:suppressAutoHyphens/>
        <w:rPr>
          <w:szCs w:val="22"/>
          <w:lang w:val="pt-PT"/>
        </w:rPr>
      </w:pPr>
      <w:r w:rsidRPr="00ED57C2">
        <w:rPr>
          <w:szCs w:val="22"/>
          <w:lang w:val="pt-PT"/>
        </w:rPr>
        <w:t>Espanha</w:t>
      </w:r>
    </w:p>
    <w:p w14:paraId="7ACE52AB" w14:textId="77777777" w:rsidR="00011577" w:rsidRPr="00ED57C2" w:rsidRDefault="00011577" w:rsidP="00011577">
      <w:pPr>
        <w:tabs>
          <w:tab w:val="left" w:pos="567"/>
        </w:tabs>
        <w:suppressAutoHyphens/>
        <w:rPr>
          <w:szCs w:val="22"/>
          <w:lang w:val="pt-PT"/>
        </w:rPr>
      </w:pPr>
    </w:p>
    <w:p w14:paraId="58465831" w14:textId="77777777" w:rsidR="00F04C57" w:rsidRPr="00ED57C2" w:rsidRDefault="00F04C57" w:rsidP="00011577">
      <w:pPr>
        <w:tabs>
          <w:tab w:val="left" w:pos="567"/>
        </w:tabs>
        <w:suppressAutoHyphens/>
        <w:rPr>
          <w:b/>
          <w:szCs w:val="22"/>
          <w:lang w:val="pt-PT"/>
        </w:rPr>
      </w:pPr>
      <w:r w:rsidRPr="00ED57C2">
        <w:rPr>
          <w:b/>
          <w:szCs w:val="22"/>
          <w:lang w:val="pt-PT"/>
        </w:rPr>
        <w:t>Fabricante</w:t>
      </w:r>
    </w:p>
    <w:p w14:paraId="1DB22333" w14:textId="77777777" w:rsidR="00F04C57" w:rsidRPr="00ED57C2" w:rsidRDefault="00F04C57" w:rsidP="00011577">
      <w:pPr>
        <w:tabs>
          <w:tab w:val="left" w:pos="567"/>
        </w:tabs>
        <w:suppressAutoHyphens/>
        <w:rPr>
          <w:b/>
          <w:szCs w:val="22"/>
          <w:lang w:val="pt-PT"/>
        </w:rPr>
      </w:pPr>
    </w:p>
    <w:p w14:paraId="55FD155F" w14:textId="77777777" w:rsidR="00682995" w:rsidRPr="00ED57C2" w:rsidRDefault="00682995" w:rsidP="00682995">
      <w:pPr>
        <w:autoSpaceDE w:val="0"/>
        <w:autoSpaceDN w:val="0"/>
        <w:adjustRightInd w:val="0"/>
        <w:rPr>
          <w:highlight w:val="lightGray"/>
          <w:lang w:val="pt-PT"/>
        </w:rPr>
      </w:pPr>
      <w:r w:rsidRPr="00ED57C2">
        <w:rPr>
          <w:highlight w:val="lightGray"/>
          <w:lang w:val="pt-PT"/>
        </w:rPr>
        <w:t>Pharmadox Healthcare Ltd.</w:t>
      </w:r>
    </w:p>
    <w:p w14:paraId="6929C00A" w14:textId="77777777" w:rsidR="00682995" w:rsidRPr="00B1402F" w:rsidRDefault="00682995" w:rsidP="00682995">
      <w:pPr>
        <w:autoSpaceDE w:val="0"/>
        <w:autoSpaceDN w:val="0"/>
        <w:adjustRightInd w:val="0"/>
        <w:rPr>
          <w:highlight w:val="lightGray"/>
        </w:rPr>
      </w:pPr>
      <w:r w:rsidRPr="00B1402F">
        <w:rPr>
          <w:highlight w:val="lightGray"/>
        </w:rPr>
        <w:t>KW20A Kordin Industrial Park,</w:t>
      </w:r>
    </w:p>
    <w:p w14:paraId="01B93A5F" w14:textId="77777777" w:rsidR="00682995" w:rsidRPr="000E218C" w:rsidRDefault="00682995" w:rsidP="00F04C57">
      <w:pPr>
        <w:pStyle w:val="ListParagraph"/>
        <w:autoSpaceDE w:val="0"/>
        <w:autoSpaceDN w:val="0"/>
        <w:adjustRightInd w:val="0"/>
        <w:ind w:left="0"/>
        <w:rPr>
          <w:szCs w:val="22"/>
          <w:highlight w:val="lightGray"/>
        </w:rPr>
      </w:pPr>
      <w:r w:rsidRPr="00B1402F">
        <w:rPr>
          <w:highlight w:val="lightGray"/>
        </w:rPr>
        <w:t>Paola, PLA 3000</w:t>
      </w:r>
      <w:r w:rsidR="00F04C57" w:rsidRPr="000E218C">
        <w:rPr>
          <w:szCs w:val="22"/>
          <w:highlight w:val="lightGray"/>
        </w:rPr>
        <w:t xml:space="preserve"> </w:t>
      </w:r>
    </w:p>
    <w:p w14:paraId="3A00EFDB" w14:textId="77777777" w:rsidR="00F04C57" w:rsidRPr="000E218C" w:rsidRDefault="00F04C57" w:rsidP="00F04C57">
      <w:pPr>
        <w:pStyle w:val="ListParagraph"/>
        <w:autoSpaceDE w:val="0"/>
        <w:autoSpaceDN w:val="0"/>
        <w:adjustRightInd w:val="0"/>
        <w:ind w:left="0"/>
        <w:rPr>
          <w:szCs w:val="22"/>
        </w:rPr>
      </w:pPr>
      <w:r w:rsidRPr="000E218C">
        <w:rPr>
          <w:szCs w:val="22"/>
          <w:highlight w:val="lightGray"/>
        </w:rPr>
        <w:t>Malta</w:t>
      </w:r>
    </w:p>
    <w:p w14:paraId="50FE77E1" w14:textId="77777777" w:rsidR="00682995" w:rsidRPr="000E218C" w:rsidRDefault="00682995" w:rsidP="00F04C57">
      <w:pPr>
        <w:pStyle w:val="ListParagraph"/>
        <w:autoSpaceDE w:val="0"/>
        <w:autoSpaceDN w:val="0"/>
        <w:adjustRightInd w:val="0"/>
        <w:ind w:left="0"/>
        <w:rPr>
          <w:szCs w:val="22"/>
        </w:rPr>
      </w:pPr>
    </w:p>
    <w:p w14:paraId="4D49E2FB" w14:textId="77777777" w:rsidR="00682995" w:rsidRPr="00682995" w:rsidRDefault="00682995" w:rsidP="00682995">
      <w:pPr>
        <w:rPr>
          <w:highlight w:val="lightGray"/>
        </w:rPr>
      </w:pPr>
      <w:r w:rsidRPr="00682995">
        <w:rPr>
          <w:highlight w:val="lightGray"/>
        </w:rPr>
        <w:t>Accord Healthcare Polska Sp.z o.o.,</w:t>
      </w:r>
    </w:p>
    <w:p w14:paraId="269594C5" w14:textId="77777777" w:rsidR="00682995" w:rsidRDefault="00682995" w:rsidP="00682995">
      <w:pPr>
        <w:pStyle w:val="ListParagraph"/>
        <w:autoSpaceDE w:val="0"/>
        <w:autoSpaceDN w:val="0"/>
        <w:adjustRightInd w:val="0"/>
        <w:ind w:left="0"/>
      </w:pPr>
      <w:r w:rsidRPr="00682995">
        <w:rPr>
          <w:highlight w:val="lightGray"/>
        </w:rPr>
        <w:t>ul. Lutomierska 50,95-200 Pabianice, Polónia</w:t>
      </w:r>
    </w:p>
    <w:p w14:paraId="53791E62" w14:textId="77777777" w:rsidR="007646C1" w:rsidRDefault="007646C1" w:rsidP="00682995">
      <w:pPr>
        <w:pStyle w:val="ListParagraph"/>
        <w:autoSpaceDE w:val="0"/>
        <w:autoSpaceDN w:val="0"/>
        <w:adjustRightInd w:val="0"/>
        <w:ind w:left="0"/>
      </w:pPr>
    </w:p>
    <w:p w14:paraId="688F871E" w14:textId="77777777" w:rsidR="007646C1" w:rsidRPr="00BE77A9" w:rsidRDefault="007646C1" w:rsidP="007646C1">
      <w:pPr>
        <w:rPr>
          <w:szCs w:val="22"/>
          <w:highlight w:val="lightGray"/>
          <w:lang w:val="en-GB"/>
        </w:rPr>
      </w:pPr>
      <w:r w:rsidRPr="00BE77A9">
        <w:rPr>
          <w:szCs w:val="22"/>
          <w:highlight w:val="lightGray"/>
          <w:lang w:val="en-GB"/>
        </w:rPr>
        <w:t xml:space="preserve">Accord Healthcare B.V., </w:t>
      </w:r>
    </w:p>
    <w:p w14:paraId="653F6ADB" w14:textId="77777777" w:rsidR="007646C1" w:rsidRPr="00ED57C2" w:rsidRDefault="007646C1" w:rsidP="007646C1">
      <w:pPr>
        <w:rPr>
          <w:szCs w:val="22"/>
          <w:highlight w:val="lightGray"/>
          <w:lang w:val="pt-PT"/>
        </w:rPr>
      </w:pPr>
      <w:r w:rsidRPr="00ED57C2">
        <w:rPr>
          <w:szCs w:val="22"/>
          <w:highlight w:val="lightGray"/>
          <w:lang w:val="pt-PT"/>
        </w:rPr>
        <w:t xml:space="preserve">Winthontlaan 200, </w:t>
      </w:r>
    </w:p>
    <w:p w14:paraId="4CF32F0C" w14:textId="77777777" w:rsidR="007646C1" w:rsidRPr="00ED57C2" w:rsidRDefault="007646C1" w:rsidP="007646C1">
      <w:pPr>
        <w:rPr>
          <w:szCs w:val="22"/>
          <w:highlight w:val="lightGray"/>
          <w:lang w:val="pt-PT"/>
        </w:rPr>
      </w:pPr>
      <w:r w:rsidRPr="00ED57C2">
        <w:rPr>
          <w:szCs w:val="22"/>
          <w:highlight w:val="lightGray"/>
          <w:lang w:val="pt-PT"/>
        </w:rPr>
        <w:t>3526 KV Utrecht,</w:t>
      </w:r>
    </w:p>
    <w:p w14:paraId="2860B0E2" w14:textId="77777777" w:rsidR="007646C1" w:rsidRPr="002A54AF" w:rsidRDefault="007646C1" w:rsidP="007646C1">
      <w:pPr>
        <w:pStyle w:val="ListParagraph"/>
        <w:autoSpaceDE w:val="0"/>
        <w:autoSpaceDN w:val="0"/>
        <w:adjustRightInd w:val="0"/>
        <w:ind w:left="0"/>
        <w:rPr>
          <w:szCs w:val="22"/>
          <w:lang w:val="pt-PT"/>
        </w:rPr>
      </w:pPr>
      <w:r w:rsidRPr="00ED57C2">
        <w:rPr>
          <w:szCs w:val="22"/>
          <w:highlight w:val="lightGray"/>
          <w:lang w:val="pt-PT"/>
        </w:rPr>
        <w:t>Países Baixos</w:t>
      </w:r>
    </w:p>
    <w:p w14:paraId="206E998E" w14:textId="77777777" w:rsidR="00011577" w:rsidRDefault="00011577" w:rsidP="00011577">
      <w:pPr>
        <w:keepNext/>
        <w:tabs>
          <w:tab w:val="left" w:pos="567"/>
        </w:tabs>
        <w:ind w:right="-2"/>
        <w:jc w:val="both"/>
        <w:rPr>
          <w:ins w:id="55" w:author="MAH review_SC" w:date="2025-05-01T12:31:00Z" w16du:dateUtc="2025-05-01T07:01:00Z"/>
          <w:szCs w:val="22"/>
          <w:lang w:val="pt-PT"/>
        </w:rPr>
      </w:pPr>
      <w:bookmarkStart w:id="56" w:name="Manuf_2"/>
      <w:bookmarkEnd w:id="56"/>
    </w:p>
    <w:p w14:paraId="2A03E750" w14:textId="77777777" w:rsidR="0057243F" w:rsidRDefault="0057243F" w:rsidP="0057243F">
      <w:pPr>
        <w:rPr>
          <w:ins w:id="57" w:author="MAH review_SC" w:date="2025-05-01T12:32:00Z" w16du:dateUtc="2025-05-01T07:02:00Z"/>
          <w:szCs w:val="22"/>
          <w:lang w:val="en-IN"/>
        </w:rPr>
      </w:pPr>
      <w:ins w:id="58" w:author="MAH review_SC" w:date="2025-05-01T12:32:00Z" w16du:dateUtc="2025-05-01T07:02:00Z">
        <w:r>
          <w:rPr>
            <w:szCs w:val="22"/>
            <w:lang w:val="en-IN"/>
          </w:rPr>
          <w:t>Para quaisquer informações sobre este medicamento, queira contactar o representante local do Titular da Autorização de Introdução no Mercado:</w:t>
        </w:r>
      </w:ins>
    </w:p>
    <w:p w14:paraId="72CD9F22" w14:textId="77777777" w:rsidR="0057243F" w:rsidRDefault="0057243F" w:rsidP="0057243F">
      <w:pPr>
        <w:rPr>
          <w:ins w:id="59" w:author="MAH review_SC" w:date="2025-05-01T12:32:00Z" w16du:dateUtc="2025-05-01T07:02:00Z"/>
          <w:szCs w:val="22"/>
          <w:lang w:val="en-IN"/>
        </w:rPr>
      </w:pPr>
    </w:p>
    <w:p w14:paraId="555EC899" w14:textId="77777777" w:rsidR="0057243F" w:rsidRDefault="0057243F" w:rsidP="0057243F">
      <w:pPr>
        <w:autoSpaceDE w:val="0"/>
        <w:autoSpaceDN w:val="0"/>
        <w:adjustRightInd w:val="0"/>
        <w:rPr>
          <w:ins w:id="60" w:author="MAH review_SC" w:date="2025-05-01T12:32:00Z" w16du:dateUtc="2025-05-01T07:02:00Z"/>
          <w:color w:val="000000"/>
          <w:szCs w:val="22"/>
          <w:lang w:val="en-IN"/>
        </w:rPr>
      </w:pPr>
      <w:ins w:id="61" w:author="MAH review_SC" w:date="2025-05-01T12:32:00Z" w16du:dateUtc="2025-05-01T07:02:00Z">
        <w:r>
          <w:rPr>
            <w:color w:val="000000"/>
            <w:szCs w:val="22"/>
            <w:lang w:val="en-IN"/>
          </w:rPr>
          <w:lastRenderedPageBreak/>
          <w:t xml:space="preserve">AT / BE / BG / CY / CZ / DE / DK / EE / FI / FR / HR / HU / IS / IT / LT / LV / LU/ MT / NL / NO / PT / PL / RO / SE / SI / SK / ES </w:t>
        </w:r>
      </w:ins>
    </w:p>
    <w:p w14:paraId="30426921" w14:textId="77777777" w:rsidR="0057243F" w:rsidRDefault="0057243F" w:rsidP="0057243F">
      <w:pPr>
        <w:autoSpaceDE w:val="0"/>
        <w:autoSpaceDN w:val="0"/>
        <w:adjustRightInd w:val="0"/>
        <w:rPr>
          <w:ins w:id="62" w:author="MAH review_SC" w:date="2025-05-01T12:32:00Z" w16du:dateUtc="2025-05-01T07:02:00Z"/>
          <w:color w:val="000000"/>
          <w:szCs w:val="22"/>
          <w:lang w:val="en-IN"/>
        </w:rPr>
      </w:pPr>
      <w:ins w:id="63" w:author="MAH review_SC" w:date="2025-05-01T12:32:00Z" w16du:dateUtc="2025-05-01T07:02:00Z">
        <w:r>
          <w:rPr>
            <w:color w:val="000000"/>
            <w:szCs w:val="22"/>
            <w:lang w:val="en-IN"/>
          </w:rPr>
          <w:t xml:space="preserve">Accord Healthcare S.L.U. </w:t>
        </w:r>
      </w:ins>
    </w:p>
    <w:p w14:paraId="7EC7DEC4" w14:textId="77777777" w:rsidR="0057243F" w:rsidRDefault="0057243F" w:rsidP="0057243F">
      <w:pPr>
        <w:rPr>
          <w:ins w:id="64" w:author="MAH review_SC" w:date="2025-05-01T12:32:00Z" w16du:dateUtc="2025-05-01T07:02:00Z"/>
          <w:color w:val="000000"/>
          <w:szCs w:val="22"/>
          <w:lang w:val="en-IN"/>
        </w:rPr>
      </w:pPr>
      <w:ins w:id="65" w:author="MAH review_SC" w:date="2025-05-01T12:32:00Z" w16du:dateUtc="2025-05-01T07:02:00Z">
        <w:r>
          <w:rPr>
            <w:color w:val="000000"/>
            <w:szCs w:val="22"/>
            <w:lang w:val="en-IN"/>
          </w:rPr>
          <w:t xml:space="preserve">Tel: +34 93 301 00 64 </w:t>
        </w:r>
      </w:ins>
    </w:p>
    <w:p w14:paraId="54BA05DB" w14:textId="77777777" w:rsidR="0057243F" w:rsidRDefault="0057243F" w:rsidP="0057243F">
      <w:pPr>
        <w:rPr>
          <w:ins w:id="66" w:author="MAH review_SC" w:date="2025-05-01T12:32:00Z" w16du:dateUtc="2025-05-01T07:02:00Z"/>
          <w:color w:val="000000"/>
          <w:szCs w:val="22"/>
          <w:lang w:val="en-IN"/>
        </w:rPr>
      </w:pPr>
    </w:p>
    <w:p w14:paraId="7F7F77C0" w14:textId="77777777" w:rsidR="0057243F" w:rsidRDefault="0057243F" w:rsidP="0057243F">
      <w:pPr>
        <w:autoSpaceDE w:val="0"/>
        <w:autoSpaceDN w:val="0"/>
        <w:adjustRightInd w:val="0"/>
        <w:rPr>
          <w:ins w:id="67" w:author="MAH review_SC" w:date="2025-05-01T12:32:00Z" w16du:dateUtc="2025-05-01T07:02:00Z"/>
          <w:color w:val="000000"/>
          <w:szCs w:val="22"/>
          <w:lang w:val="en-IN"/>
        </w:rPr>
      </w:pPr>
      <w:ins w:id="68" w:author="MAH review_SC" w:date="2025-05-01T12:32:00Z" w16du:dateUtc="2025-05-01T07:02:00Z">
        <w:r>
          <w:rPr>
            <w:color w:val="000000"/>
            <w:szCs w:val="22"/>
            <w:lang w:val="en-IN"/>
          </w:rPr>
          <w:t xml:space="preserve">EL </w:t>
        </w:r>
      </w:ins>
    </w:p>
    <w:p w14:paraId="5821EEBE" w14:textId="77777777" w:rsidR="0057243F" w:rsidRDefault="0057243F" w:rsidP="0057243F">
      <w:pPr>
        <w:autoSpaceDE w:val="0"/>
        <w:autoSpaceDN w:val="0"/>
        <w:adjustRightInd w:val="0"/>
        <w:rPr>
          <w:ins w:id="69" w:author="MAH review_SC" w:date="2025-05-01T12:32:00Z" w16du:dateUtc="2025-05-01T07:02:00Z"/>
          <w:color w:val="000000"/>
          <w:szCs w:val="22"/>
          <w:lang w:val="en-IN"/>
        </w:rPr>
      </w:pPr>
      <w:ins w:id="70" w:author="MAH review_SC" w:date="2025-05-01T12:32:00Z" w16du:dateUtc="2025-05-01T07:02:00Z">
        <w:r>
          <w:rPr>
            <w:color w:val="000000"/>
            <w:szCs w:val="22"/>
            <w:lang w:val="en-IN"/>
          </w:rPr>
          <w:t>Win Medica A.E.</w:t>
        </w:r>
      </w:ins>
    </w:p>
    <w:p w14:paraId="28D0E1BE" w14:textId="77777777" w:rsidR="0057243F" w:rsidRDefault="0057243F" w:rsidP="0057243F">
      <w:pPr>
        <w:rPr>
          <w:ins w:id="71" w:author="MAH review_SC" w:date="2025-05-01T12:32:00Z" w16du:dateUtc="2025-05-01T07:02:00Z"/>
          <w:szCs w:val="22"/>
          <w:lang w:val="pt-PT"/>
        </w:rPr>
      </w:pPr>
      <w:ins w:id="72" w:author="MAH review_SC" w:date="2025-05-01T12:32:00Z" w16du:dateUtc="2025-05-01T07:02:00Z">
        <w:r>
          <w:rPr>
            <w:color w:val="000000"/>
            <w:szCs w:val="22"/>
            <w:lang w:val="en-IN"/>
          </w:rPr>
          <w:t xml:space="preserve">Tel: +30 210 7488 821 </w:t>
        </w:r>
      </w:ins>
    </w:p>
    <w:p w14:paraId="6CA4EDC3" w14:textId="77777777" w:rsidR="0057243F" w:rsidRPr="002A54AF" w:rsidRDefault="0057243F" w:rsidP="00011577">
      <w:pPr>
        <w:keepNext/>
        <w:tabs>
          <w:tab w:val="left" w:pos="567"/>
        </w:tabs>
        <w:ind w:right="-2"/>
        <w:jc w:val="both"/>
        <w:rPr>
          <w:szCs w:val="22"/>
          <w:lang w:val="pt-PT"/>
        </w:rPr>
      </w:pPr>
    </w:p>
    <w:p w14:paraId="4E05B30D" w14:textId="77777777" w:rsidR="00011577" w:rsidRPr="002A54AF" w:rsidRDefault="00011577" w:rsidP="00011577">
      <w:pPr>
        <w:keepNext/>
        <w:tabs>
          <w:tab w:val="left" w:pos="567"/>
        </w:tabs>
        <w:rPr>
          <w:szCs w:val="22"/>
          <w:lang w:val="pt-PT"/>
        </w:rPr>
      </w:pPr>
      <w:r w:rsidRPr="002A54AF">
        <w:rPr>
          <w:b/>
          <w:szCs w:val="22"/>
          <w:lang w:val="pt-PT"/>
        </w:rPr>
        <w:t xml:space="preserve">Este folheto foi revisto pela última vez em </w:t>
      </w:r>
      <w:r w:rsidR="0017325D" w:rsidRPr="002A54AF">
        <w:rPr>
          <w:b/>
          <w:bCs/>
          <w:szCs w:val="22"/>
          <w:lang w:val="pt-PT"/>
        </w:rPr>
        <w:t>{MM/AAAA}.</w:t>
      </w:r>
    </w:p>
    <w:p w14:paraId="4BB2EB17" w14:textId="77777777" w:rsidR="00011577" w:rsidRPr="002A54AF" w:rsidRDefault="00011577" w:rsidP="00011577">
      <w:pPr>
        <w:tabs>
          <w:tab w:val="left" w:pos="567"/>
        </w:tabs>
        <w:rPr>
          <w:szCs w:val="22"/>
          <w:lang w:val="pt-PT"/>
        </w:rPr>
      </w:pPr>
    </w:p>
    <w:p w14:paraId="29F1A461" w14:textId="77777777" w:rsidR="00B34DB6" w:rsidRPr="002A54AF" w:rsidRDefault="00011577" w:rsidP="00CE59DC">
      <w:pPr>
        <w:tabs>
          <w:tab w:val="left" w:pos="567"/>
        </w:tabs>
        <w:suppressAutoHyphens/>
        <w:rPr>
          <w:szCs w:val="22"/>
          <w:lang w:val="pt-PT"/>
        </w:rPr>
      </w:pPr>
      <w:r w:rsidRPr="002A54AF">
        <w:rPr>
          <w:szCs w:val="22"/>
          <w:lang w:val="pt-PT"/>
        </w:rPr>
        <w:t>Está disponível informação pormenorizada sobre este medicamento no sítio da internet da Agência Europeia de Medicamentos http://www.ema.europa.eu.</w:t>
      </w:r>
    </w:p>
    <w:sectPr w:rsidR="00B34DB6" w:rsidRPr="002A54AF" w:rsidSect="00011577">
      <w:footerReference w:type="default" r:id="rId14"/>
      <w:footerReference w:type="first" r:id="rId15"/>
      <w:endnotePr>
        <w:numFmt w:val="decimal"/>
      </w:endnotePr>
      <w:pgSz w:w="11906" w:h="16834" w:code="9"/>
      <w:pgMar w:top="1134" w:right="1418" w:bottom="1134" w:left="1429" w:header="737" w:footer="7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261CE" w14:textId="77777777" w:rsidR="006E2920" w:rsidRDefault="006E2920">
      <w:r>
        <w:separator/>
      </w:r>
    </w:p>
  </w:endnote>
  <w:endnote w:type="continuationSeparator" w:id="0">
    <w:p w14:paraId="4B080E73" w14:textId="77777777" w:rsidR="006E2920" w:rsidRDefault="006E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A6EC" w14:textId="77777777" w:rsidR="003A77A8" w:rsidRDefault="003A77A8">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083235">
      <w:rPr>
        <w:rStyle w:val="PageNumber"/>
        <w:rFonts w:ascii="Arial" w:hAnsi="Arial" w:cs="Arial"/>
        <w:noProof/>
      </w:rPr>
      <w:t>2</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299FC" w14:textId="77777777" w:rsidR="003A77A8" w:rsidRDefault="003A77A8">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DA9B" w14:textId="77777777" w:rsidR="006E2920" w:rsidRDefault="006E2920">
      <w:r>
        <w:separator/>
      </w:r>
    </w:p>
  </w:footnote>
  <w:footnote w:type="continuationSeparator" w:id="0">
    <w:p w14:paraId="3BBA2120" w14:textId="77777777" w:rsidR="006E2920" w:rsidRDefault="006E2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AC1FEE"/>
    <w:multiLevelType w:val="hybridMultilevel"/>
    <w:tmpl w:val="2CA4F4CA"/>
    <w:lvl w:ilvl="0" w:tplc="08160001">
      <w:start w:val="1"/>
      <w:numFmt w:val="bullet"/>
      <w:lvlText w:val=""/>
      <w:lvlJc w:val="left"/>
      <w:pPr>
        <w:ind w:left="927" w:hanging="360"/>
      </w:pPr>
      <w:rPr>
        <w:rFonts w:ascii="Symbol" w:hAnsi="Symbol" w:hint="default"/>
      </w:rPr>
    </w:lvl>
    <w:lvl w:ilvl="1" w:tplc="08160003" w:tentative="1">
      <w:start w:val="1"/>
      <w:numFmt w:val="bullet"/>
      <w:lvlText w:val="o"/>
      <w:lvlJc w:val="left"/>
      <w:pPr>
        <w:ind w:left="1647" w:hanging="360"/>
      </w:pPr>
      <w:rPr>
        <w:rFonts w:ascii="Courier New" w:hAnsi="Courier New" w:cs="Courier New" w:hint="default"/>
      </w:rPr>
    </w:lvl>
    <w:lvl w:ilvl="2" w:tplc="08160005" w:tentative="1">
      <w:start w:val="1"/>
      <w:numFmt w:val="bullet"/>
      <w:lvlText w:val=""/>
      <w:lvlJc w:val="left"/>
      <w:pPr>
        <w:ind w:left="2367" w:hanging="360"/>
      </w:pPr>
      <w:rPr>
        <w:rFonts w:ascii="Wingdings" w:hAnsi="Wingdings" w:hint="default"/>
      </w:rPr>
    </w:lvl>
    <w:lvl w:ilvl="3" w:tplc="08160001" w:tentative="1">
      <w:start w:val="1"/>
      <w:numFmt w:val="bullet"/>
      <w:lvlText w:val=""/>
      <w:lvlJc w:val="left"/>
      <w:pPr>
        <w:ind w:left="3087" w:hanging="360"/>
      </w:pPr>
      <w:rPr>
        <w:rFonts w:ascii="Symbol" w:hAnsi="Symbol" w:hint="default"/>
      </w:rPr>
    </w:lvl>
    <w:lvl w:ilvl="4" w:tplc="08160003" w:tentative="1">
      <w:start w:val="1"/>
      <w:numFmt w:val="bullet"/>
      <w:lvlText w:val="o"/>
      <w:lvlJc w:val="left"/>
      <w:pPr>
        <w:ind w:left="3807" w:hanging="360"/>
      </w:pPr>
      <w:rPr>
        <w:rFonts w:ascii="Courier New" w:hAnsi="Courier New" w:cs="Courier New" w:hint="default"/>
      </w:rPr>
    </w:lvl>
    <w:lvl w:ilvl="5" w:tplc="08160005" w:tentative="1">
      <w:start w:val="1"/>
      <w:numFmt w:val="bullet"/>
      <w:lvlText w:val=""/>
      <w:lvlJc w:val="left"/>
      <w:pPr>
        <w:ind w:left="4527" w:hanging="360"/>
      </w:pPr>
      <w:rPr>
        <w:rFonts w:ascii="Wingdings" w:hAnsi="Wingdings" w:hint="default"/>
      </w:rPr>
    </w:lvl>
    <w:lvl w:ilvl="6" w:tplc="08160001" w:tentative="1">
      <w:start w:val="1"/>
      <w:numFmt w:val="bullet"/>
      <w:lvlText w:val=""/>
      <w:lvlJc w:val="left"/>
      <w:pPr>
        <w:ind w:left="5247" w:hanging="360"/>
      </w:pPr>
      <w:rPr>
        <w:rFonts w:ascii="Symbol" w:hAnsi="Symbol" w:hint="default"/>
      </w:rPr>
    </w:lvl>
    <w:lvl w:ilvl="7" w:tplc="08160003" w:tentative="1">
      <w:start w:val="1"/>
      <w:numFmt w:val="bullet"/>
      <w:lvlText w:val="o"/>
      <w:lvlJc w:val="left"/>
      <w:pPr>
        <w:ind w:left="5967" w:hanging="360"/>
      </w:pPr>
      <w:rPr>
        <w:rFonts w:ascii="Courier New" w:hAnsi="Courier New" w:cs="Courier New" w:hint="default"/>
      </w:rPr>
    </w:lvl>
    <w:lvl w:ilvl="8" w:tplc="08160005" w:tentative="1">
      <w:start w:val="1"/>
      <w:numFmt w:val="bullet"/>
      <w:lvlText w:val=""/>
      <w:lvlJc w:val="left"/>
      <w:pPr>
        <w:ind w:left="6687"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FBE2D49"/>
    <w:multiLevelType w:val="singleLevel"/>
    <w:tmpl w:val="1CFE7BC0"/>
    <w:lvl w:ilvl="0">
      <w:numFmt w:val="bullet"/>
      <w:lvlText w:val="-"/>
      <w:lvlJc w:val="left"/>
      <w:pPr>
        <w:tabs>
          <w:tab w:val="num" w:pos="567"/>
        </w:tabs>
        <w:ind w:left="567" w:hanging="567"/>
      </w:pPr>
      <w:rPr>
        <w:rFonts w:hint="default"/>
      </w:rPr>
    </w:lvl>
  </w:abstractNum>
  <w:abstractNum w:abstractNumId="4" w15:restartNumberingAfterBreak="0">
    <w:nsid w:val="127537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051D69"/>
    <w:multiLevelType w:val="hybridMultilevel"/>
    <w:tmpl w:val="AA866B4C"/>
    <w:lvl w:ilvl="0" w:tplc="026C2012">
      <w:start w:val="9"/>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 w15:restartNumberingAfterBreak="0">
    <w:nsid w:val="1B7C1B50"/>
    <w:multiLevelType w:val="singleLevel"/>
    <w:tmpl w:val="11CE5D0E"/>
    <w:lvl w:ilvl="0">
      <w:start w:val="9"/>
      <w:numFmt w:val="decimal"/>
      <w:lvlText w:val="%1."/>
      <w:lvlJc w:val="left"/>
      <w:pPr>
        <w:tabs>
          <w:tab w:val="num" w:pos="660"/>
        </w:tabs>
        <w:ind w:left="660" w:hanging="570"/>
      </w:pPr>
      <w:rPr>
        <w:rFonts w:cs="Times New Roman" w:hint="default"/>
      </w:rPr>
    </w:lvl>
  </w:abstractNum>
  <w:abstractNum w:abstractNumId="7" w15:restartNumberingAfterBreak="0">
    <w:nsid w:val="1B972CCA"/>
    <w:multiLevelType w:val="hybridMultilevel"/>
    <w:tmpl w:val="B5B2F1CE"/>
    <w:lvl w:ilvl="0" w:tplc="04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C180979"/>
    <w:multiLevelType w:val="hybridMultilevel"/>
    <w:tmpl w:val="4170D5B6"/>
    <w:lvl w:ilvl="0" w:tplc="FFFFFFFF">
      <w:start w:val="1"/>
      <w:numFmt w:val="bullet"/>
      <w:lvlText w:val="-"/>
      <w:lvlJc w:val="left"/>
      <w:pPr>
        <w:ind w:left="720" w:hanging="360"/>
      </w:pPr>
      <w:rPr>
        <w:rFonts w:hint="default"/>
        <w:color w:val="auto"/>
        <w:sz w:val="2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3897506"/>
    <w:multiLevelType w:val="hybridMultilevel"/>
    <w:tmpl w:val="6D3C13D2"/>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10" w15:restartNumberingAfterBreak="0">
    <w:nsid w:val="30E63395"/>
    <w:multiLevelType w:val="hybridMultilevel"/>
    <w:tmpl w:val="F3A82E9E"/>
    <w:lvl w:ilvl="0" w:tplc="EE9444EA">
      <w:start w:val="1"/>
      <w:numFmt w:val="bullet"/>
      <w:pStyle w:val="List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1036FB4"/>
    <w:multiLevelType w:val="hybridMultilevel"/>
    <w:tmpl w:val="28F0FD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102E78"/>
    <w:multiLevelType w:val="hybridMultilevel"/>
    <w:tmpl w:val="EB7A3350"/>
    <w:lvl w:ilvl="0" w:tplc="403CC9F2">
      <w:start w:val="1"/>
      <w:numFmt w:val="bullet"/>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C4DC2"/>
    <w:multiLevelType w:val="hybridMultilevel"/>
    <w:tmpl w:val="7F102A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A4E0A3D"/>
    <w:multiLevelType w:val="hybridMultilevel"/>
    <w:tmpl w:val="0024BF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35106"/>
    <w:multiLevelType w:val="singleLevel"/>
    <w:tmpl w:val="4D121D16"/>
    <w:lvl w:ilvl="0">
      <w:start w:val="4"/>
      <w:numFmt w:val="decimal"/>
      <w:lvlText w:val="%1."/>
      <w:lvlJc w:val="left"/>
      <w:pPr>
        <w:tabs>
          <w:tab w:val="num" w:pos="570"/>
        </w:tabs>
        <w:ind w:left="570" w:hanging="570"/>
      </w:pPr>
      <w:rPr>
        <w:rFonts w:cs="Times New Roman" w:hint="default"/>
      </w:rPr>
    </w:lvl>
  </w:abstractNum>
  <w:abstractNum w:abstractNumId="16" w15:restartNumberingAfterBreak="0">
    <w:nsid w:val="3CD872D2"/>
    <w:multiLevelType w:val="hybridMultilevel"/>
    <w:tmpl w:val="FD66E902"/>
    <w:lvl w:ilvl="0" w:tplc="FFFFFFFF">
      <w:start w:val="1"/>
      <w:numFmt w:val="bullet"/>
      <w:lvlText w:val="-"/>
      <w:lvlJc w:val="left"/>
      <w:pPr>
        <w:ind w:left="47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CE02A57"/>
    <w:multiLevelType w:val="singleLevel"/>
    <w:tmpl w:val="1CFE7BC0"/>
    <w:lvl w:ilvl="0">
      <w:numFmt w:val="bullet"/>
      <w:lvlText w:val="-"/>
      <w:lvlJc w:val="left"/>
      <w:pPr>
        <w:tabs>
          <w:tab w:val="num" w:pos="567"/>
        </w:tabs>
        <w:ind w:left="567" w:hanging="567"/>
      </w:pPr>
      <w:rPr>
        <w:rFonts w:hint="default"/>
      </w:rPr>
    </w:lvl>
  </w:abstractNum>
  <w:abstractNum w:abstractNumId="18" w15:restartNumberingAfterBreak="0">
    <w:nsid w:val="3D6F020F"/>
    <w:multiLevelType w:val="multilevel"/>
    <w:tmpl w:val="393CFB98"/>
    <w:lvl w:ilvl="0">
      <w:start w:val="4"/>
      <w:numFmt w:val="decimal"/>
      <w:lvlText w:val="%1"/>
      <w:lvlJc w:val="left"/>
      <w:pPr>
        <w:tabs>
          <w:tab w:val="num" w:pos="570"/>
        </w:tabs>
        <w:ind w:left="570" w:hanging="570"/>
      </w:pPr>
      <w:rPr>
        <w:rFonts w:cs="Times New Roman" w:hint="default"/>
      </w:rPr>
    </w:lvl>
    <w:lvl w:ilvl="1">
      <w:start w:val="6"/>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45911F27"/>
    <w:multiLevelType w:val="hybridMultilevel"/>
    <w:tmpl w:val="C5DE6008"/>
    <w:lvl w:ilvl="0" w:tplc="0809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4AA61A16"/>
    <w:multiLevelType w:val="hybridMultilevel"/>
    <w:tmpl w:val="CFA8DB0C"/>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AFB4FAB"/>
    <w:multiLevelType w:val="hybridMultilevel"/>
    <w:tmpl w:val="2CF4FB7C"/>
    <w:lvl w:ilvl="0" w:tplc="7B8886B6">
      <w:start w:val="1"/>
      <w:numFmt w:val="bullet"/>
      <w:lvlText w:val=""/>
      <w:lvlJc w:val="left"/>
      <w:pPr>
        <w:ind w:left="502"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D516D45"/>
    <w:multiLevelType w:val="hybridMultilevel"/>
    <w:tmpl w:val="51AE05F2"/>
    <w:lvl w:ilvl="0" w:tplc="7B8886B6">
      <w:numFmt w:val="decimal"/>
      <w:lvlText w:val=""/>
      <w:lvlJc w:val="left"/>
      <w:pPr>
        <w:ind w:left="470"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E9567FE"/>
    <w:multiLevelType w:val="multilevel"/>
    <w:tmpl w:val="AD68118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54B69D2"/>
    <w:multiLevelType w:val="hybridMultilevel"/>
    <w:tmpl w:val="E3467508"/>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D7F7900"/>
    <w:multiLevelType w:val="singleLevel"/>
    <w:tmpl w:val="1CFE7BC0"/>
    <w:lvl w:ilvl="0">
      <w:numFmt w:val="bullet"/>
      <w:lvlText w:val="-"/>
      <w:lvlJc w:val="left"/>
      <w:pPr>
        <w:tabs>
          <w:tab w:val="num" w:pos="567"/>
        </w:tabs>
        <w:ind w:left="567" w:hanging="567"/>
      </w:pPr>
      <w:rPr>
        <w:rFonts w:hint="default"/>
      </w:rPr>
    </w:lvl>
  </w:abstractNum>
  <w:abstractNum w:abstractNumId="26" w15:restartNumberingAfterBreak="0">
    <w:nsid w:val="742207E9"/>
    <w:multiLevelType w:val="hybridMultilevel"/>
    <w:tmpl w:val="3DAC5116"/>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27" w15:restartNumberingAfterBreak="0">
    <w:nsid w:val="752C6537"/>
    <w:multiLevelType w:val="hybridMultilevel"/>
    <w:tmpl w:val="6D942878"/>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6364E31"/>
    <w:multiLevelType w:val="singleLevel"/>
    <w:tmpl w:val="F1248192"/>
    <w:lvl w:ilvl="0">
      <w:start w:val="1"/>
      <w:numFmt w:val="decimal"/>
      <w:lvlText w:val="%1."/>
      <w:legacy w:legacy="1" w:legacySpace="0" w:legacyIndent="567"/>
      <w:lvlJc w:val="left"/>
      <w:pPr>
        <w:ind w:left="567" w:hanging="567"/>
      </w:pPr>
      <w:rPr>
        <w:rFonts w:cs="Times New Roman"/>
      </w:rPr>
    </w:lvl>
  </w:abstractNum>
  <w:abstractNum w:abstractNumId="29" w15:restartNumberingAfterBreak="0">
    <w:nsid w:val="76FB415F"/>
    <w:multiLevelType w:val="hybridMultilevel"/>
    <w:tmpl w:val="2496FCE4"/>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hint="default"/>
      </w:rPr>
    </w:lvl>
    <w:lvl w:ilvl="8" w:tplc="08090005" w:tentative="1">
      <w:start w:val="1"/>
      <w:numFmt w:val="bullet"/>
      <w:lvlText w:val=""/>
      <w:lvlJc w:val="left"/>
      <w:pPr>
        <w:ind w:left="6607" w:hanging="360"/>
      </w:pPr>
      <w:rPr>
        <w:rFonts w:ascii="Wingdings" w:hAnsi="Wingdings" w:hint="default"/>
      </w:rPr>
    </w:lvl>
  </w:abstractNum>
  <w:num w:numId="1" w16cid:durableId="1163813502">
    <w:abstractNumId w:val="0"/>
    <w:lvlOverride w:ilvl="0">
      <w:lvl w:ilvl="0">
        <w:start w:val="1"/>
        <w:numFmt w:val="bullet"/>
        <w:lvlText w:val="-"/>
        <w:legacy w:legacy="1" w:legacySpace="0" w:legacyIndent="360"/>
        <w:lvlJc w:val="left"/>
        <w:pPr>
          <w:ind w:left="360" w:hanging="360"/>
        </w:pPr>
      </w:lvl>
    </w:lvlOverride>
  </w:num>
  <w:num w:numId="2" w16cid:durableId="356396270">
    <w:abstractNumId w:val="28"/>
  </w:num>
  <w:num w:numId="3" w16cid:durableId="734860300">
    <w:abstractNumId w:val="18"/>
  </w:num>
  <w:num w:numId="4" w16cid:durableId="255133808">
    <w:abstractNumId w:val="6"/>
  </w:num>
  <w:num w:numId="5" w16cid:durableId="1619674839">
    <w:abstractNumId w:val="14"/>
  </w:num>
  <w:num w:numId="6" w16cid:durableId="2018578729">
    <w:abstractNumId w:val="4"/>
  </w:num>
  <w:num w:numId="7" w16cid:durableId="1068765790">
    <w:abstractNumId w:val="15"/>
  </w:num>
  <w:num w:numId="8" w16cid:durableId="590088660">
    <w:abstractNumId w:val="25"/>
  </w:num>
  <w:num w:numId="9" w16cid:durableId="1579171236">
    <w:abstractNumId w:val="17"/>
  </w:num>
  <w:num w:numId="10" w16cid:durableId="1700934909">
    <w:abstractNumId w:val="3"/>
  </w:num>
  <w:num w:numId="11" w16cid:durableId="2132702945">
    <w:abstractNumId w:val="11"/>
  </w:num>
  <w:num w:numId="12" w16cid:durableId="266691623">
    <w:abstractNumId w:val="9"/>
  </w:num>
  <w:num w:numId="13" w16cid:durableId="1419131405">
    <w:abstractNumId w:val="26"/>
  </w:num>
  <w:num w:numId="14" w16cid:durableId="1766997811">
    <w:abstractNumId w:val="29"/>
  </w:num>
  <w:num w:numId="15" w16cid:durableId="162164782">
    <w:abstractNumId w:val="13"/>
  </w:num>
  <w:num w:numId="16" w16cid:durableId="1496920910">
    <w:abstractNumId w:val="23"/>
  </w:num>
  <w:num w:numId="17" w16cid:durableId="745341217">
    <w:abstractNumId w:val="5"/>
  </w:num>
  <w:num w:numId="18" w16cid:durableId="836724470">
    <w:abstractNumId w:val="16"/>
  </w:num>
  <w:num w:numId="19" w16cid:durableId="294415535">
    <w:abstractNumId w:val="12"/>
  </w:num>
  <w:num w:numId="20" w16cid:durableId="9905966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30443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53112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964079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75111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088699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4914757">
    <w:abstractNumId w:val="7"/>
  </w:num>
  <w:num w:numId="27" w16cid:durableId="1132527737">
    <w:abstractNumId w:val="1"/>
  </w:num>
  <w:num w:numId="28" w16cid:durableId="1397511824">
    <w:abstractNumId w:val="16"/>
  </w:num>
  <w:num w:numId="29" w16cid:durableId="1265698318">
    <w:abstractNumId w:val="10"/>
  </w:num>
  <w:num w:numId="30" w16cid:durableId="906301349">
    <w:abstractNumId w:val="19"/>
  </w:num>
  <w:num w:numId="31" w16cid:durableId="361126848">
    <w:abstractNumId w:val="8"/>
  </w:num>
  <w:num w:numId="32" w16cid:durableId="377585541">
    <w:abstractNumId w:val="2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SC">
    <w15:presenceInfo w15:providerId="None" w15:userId="MAH review_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77"/>
    <w:rsid w:val="00002155"/>
    <w:rsid w:val="00007F99"/>
    <w:rsid w:val="00011577"/>
    <w:rsid w:val="00033FEC"/>
    <w:rsid w:val="00037796"/>
    <w:rsid w:val="000427DA"/>
    <w:rsid w:val="000556F3"/>
    <w:rsid w:val="00056506"/>
    <w:rsid w:val="00071ECF"/>
    <w:rsid w:val="00072FC0"/>
    <w:rsid w:val="00081E1D"/>
    <w:rsid w:val="00083235"/>
    <w:rsid w:val="000901AC"/>
    <w:rsid w:val="00092C98"/>
    <w:rsid w:val="000A7BCF"/>
    <w:rsid w:val="000E218C"/>
    <w:rsid w:val="000E656B"/>
    <w:rsid w:val="001245CD"/>
    <w:rsid w:val="00131905"/>
    <w:rsid w:val="00131DF4"/>
    <w:rsid w:val="001466B6"/>
    <w:rsid w:val="00155E2F"/>
    <w:rsid w:val="00163486"/>
    <w:rsid w:val="00165E83"/>
    <w:rsid w:val="0017325D"/>
    <w:rsid w:val="00176075"/>
    <w:rsid w:val="0019376F"/>
    <w:rsid w:val="001C75D6"/>
    <w:rsid w:val="001E4B24"/>
    <w:rsid w:val="001F5E2F"/>
    <w:rsid w:val="0020636B"/>
    <w:rsid w:val="0021133E"/>
    <w:rsid w:val="00217EB7"/>
    <w:rsid w:val="0023175E"/>
    <w:rsid w:val="0023530A"/>
    <w:rsid w:val="0024382E"/>
    <w:rsid w:val="00244ABE"/>
    <w:rsid w:val="00256CA3"/>
    <w:rsid w:val="002667A6"/>
    <w:rsid w:val="00266D2D"/>
    <w:rsid w:val="002974D3"/>
    <w:rsid w:val="002A54AF"/>
    <w:rsid w:val="002D7F44"/>
    <w:rsid w:val="002E7A16"/>
    <w:rsid w:val="00306E75"/>
    <w:rsid w:val="00312285"/>
    <w:rsid w:val="00313D53"/>
    <w:rsid w:val="00346B6D"/>
    <w:rsid w:val="00376167"/>
    <w:rsid w:val="00376710"/>
    <w:rsid w:val="003768B2"/>
    <w:rsid w:val="003A705E"/>
    <w:rsid w:val="003A77A8"/>
    <w:rsid w:val="003C075F"/>
    <w:rsid w:val="003D238B"/>
    <w:rsid w:val="003F2B81"/>
    <w:rsid w:val="003F4529"/>
    <w:rsid w:val="00400419"/>
    <w:rsid w:val="00403798"/>
    <w:rsid w:val="004215C2"/>
    <w:rsid w:val="0043022E"/>
    <w:rsid w:val="004369DA"/>
    <w:rsid w:val="00441B98"/>
    <w:rsid w:val="00443F59"/>
    <w:rsid w:val="00457823"/>
    <w:rsid w:val="00463242"/>
    <w:rsid w:val="004A7B76"/>
    <w:rsid w:val="004B0AAD"/>
    <w:rsid w:val="004B61F7"/>
    <w:rsid w:val="004C2FE6"/>
    <w:rsid w:val="004D3428"/>
    <w:rsid w:val="004D7072"/>
    <w:rsid w:val="004E006F"/>
    <w:rsid w:val="005110B9"/>
    <w:rsid w:val="00516C20"/>
    <w:rsid w:val="0052759A"/>
    <w:rsid w:val="0054318B"/>
    <w:rsid w:val="005670C1"/>
    <w:rsid w:val="0057243F"/>
    <w:rsid w:val="005B25C5"/>
    <w:rsid w:val="005E0756"/>
    <w:rsid w:val="005F1115"/>
    <w:rsid w:val="00621797"/>
    <w:rsid w:val="0062473B"/>
    <w:rsid w:val="00633122"/>
    <w:rsid w:val="006365B7"/>
    <w:rsid w:val="00641B61"/>
    <w:rsid w:val="00646C77"/>
    <w:rsid w:val="00647600"/>
    <w:rsid w:val="00654827"/>
    <w:rsid w:val="0066037D"/>
    <w:rsid w:val="00660A02"/>
    <w:rsid w:val="00663EDA"/>
    <w:rsid w:val="006646A9"/>
    <w:rsid w:val="0066638C"/>
    <w:rsid w:val="006721A0"/>
    <w:rsid w:val="00682995"/>
    <w:rsid w:val="00683B63"/>
    <w:rsid w:val="006843D3"/>
    <w:rsid w:val="006A6203"/>
    <w:rsid w:val="006B35DD"/>
    <w:rsid w:val="006C1945"/>
    <w:rsid w:val="006D175E"/>
    <w:rsid w:val="006D2A27"/>
    <w:rsid w:val="006E2920"/>
    <w:rsid w:val="006F4629"/>
    <w:rsid w:val="0071792E"/>
    <w:rsid w:val="00721B81"/>
    <w:rsid w:val="00727363"/>
    <w:rsid w:val="0073249F"/>
    <w:rsid w:val="00734D3B"/>
    <w:rsid w:val="00737A0A"/>
    <w:rsid w:val="00742CF6"/>
    <w:rsid w:val="00752504"/>
    <w:rsid w:val="00753EB6"/>
    <w:rsid w:val="00756ADB"/>
    <w:rsid w:val="007646C1"/>
    <w:rsid w:val="00780362"/>
    <w:rsid w:val="00782719"/>
    <w:rsid w:val="007C5870"/>
    <w:rsid w:val="007F00C3"/>
    <w:rsid w:val="007F757D"/>
    <w:rsid w:val="00814BD4"/>
    <w:rsid w:val="00826E4A"/>
    <w:rsid w:val="008277A1"/>
    <w:rsid w:val="00851508"/>
    <w:rsid w:val="00855263"/>
    <w:rsid w:val="00864AFA"/>
    <w:rsid w:val="00867A5F"/>
    <w:rsid w:val="00875BAF"/>
    <w:rsid w:val="008805C8"/>
    <w:rsid w:val="00893FD3"/>
    <w:rsid w:val="008A2119"/>
    <w:rsid w:val="008A6D23"/>
    <w:rsid w:val="008C3642"/>
    <w:rsid w:val="008D23D3"/>
    <w:rsid w:val="008F29A1"/>
    <w:rsid w:val="0090043D"/>
    <w:rsid w:val="00914BE4"/>
    <w:rsid w:val="009240EB"/>
    <w:rsid w:val="009561EC"/>
    <w:rsid w:val="00971115"/>
    <w:rsid w:val="009759FC"/>
    <w:rsid w:val="009974EE"/>
    <w:rsid w:val="009B3B8C"/>
    <w:rsid w:val="009C2718"/>
    <w:rsid w:val="009C444C"/>
    <w:rsid w:val="009D0380"/>
    <w:rsid w:val="009E4DF1"/>
    <w:rsid w:val="009F198F"/>
    <w:rsid w:val="00A056C1"/>
    <w:rsid w:val="00A060F3"/>
    <w:rsid w:val="00A25EDC"/>
    <w:rsid w:val="00A30CBC"/>
    <w:rsid w:val="00A33033"/>
    <w:rsid w:val="00A33D76"/>
    <w:rsid w:val="00A35991"/>
    <w:rsid w:val="00A41E99"/>
    <w:rsid w:val="00A424E3"/>
    <w:rsid w:val="00A45519"/>
    <w:rsid w:val="00A46DA1"/>
    <w:rsid w:val="00A572B3"/>
    <w:rsid w:val="00A647FE"/>
    <w:rsid w:val="00A74BB1"/>
    <w:rsid w:val="00A75A66"/>
    <w:rsid w:val="00A76DBD"/>
    <w:rsid w:val="00A96806"/>
    <w:rsid w:val="00AB4471"/>
    <w:rsid w:val="00AB600C"/>
    <w:rsid w:val="00AC5E44"/>
    <w:rsid w:val="00AE6F66"/>
    <w:rsid w:val="00AE78B4"/>
    <w:rsid w:val="00AE792F"/>
    <w:rsid w:val="00B1402F"/>
    <w:rsid w:val="00B30CAF"/>
    <w:rsid w:val="00B31984"/>
    <w:rsid w:val="00B3464E"/>
    <w:rsid w:val="00B34DB6"/>
    <w:rsid w:val="00B43825"/>
    <w:rsid w:val="00B44BBD"/>
    <w:rsid w:val="00B50455"/>
    <w:rsid w:val="00B6400E"/>
    <w:rsid w:val="00B709D6"/>
    <w:rsid w:val="00B80109"/>
    <w:rsid w:val="00B932E8"/>
    <w:rsid w:val="00B94013"/>
    <w:rsid w:val="00BB1603"/>
    <w:rsid w:val="00BC09FA"/>
    <w:rsid w:val="00BC2279"/>
    <w:rsid w:val="00BC42B1"/>
    <w:rsid w:val="00BC6B06"/>
    <w:rsid w:val="00BD1E55"/>
    <w:rsid w:val="00BD347A"/>
    <w:rsid w:val="00BE77A9"/>
    <w:rsid w:val="00BF3737"/>
    <w:rsid w:val="00BF4702"/>
    <w:rsid w:val="00C1779D"/>
    <w:rsid w:val="00C32230"/>
    <w:rsid w:val="00C35FBB"/>
    <w:rsid w:val="00C36368"/>
    <w:rsid w:val="00C4073A"/>
    <w:rsid w:val="00C41EDC"/>
    <w:rsid w:val="00C4485D"/>
    <w:rsid w:val="00C44B02"/>
    <w:rsid w:val="00C83AE3"/>
    <w:rsid w:val="00C91680"/>
    <w:rsid w:val="00CA2B52"/>
    <w:rsid w:val="00CA4D5F"/>
    <w:rsid w:val="00CA5BC4"/>
    <w:rsid w:val="00CB39F3"/>
    <w:rsid w:val="00CC6082"/>
    <w:rsid w:val="00CC7045"/>
    <w:rsid w:val="00CE0D85"/>
    <w:rsid w:val="00CE2256"/>
    <w:rsid w:val="00CE2D92"/>
    <w:rsid w:val="00CE3297"/>
    <w:rsid w:val="00CE5915"/>
    <w:rsid w:val="00CE59DC"/>
    <w:rsid w:val="00CF069D"/>
    <w:rsid w:val="00CF162A"/>
    <w:rsid w:val="00D37BF6"/>
    <w:rsid w:val="00D40865"/>
    <w:rsid w:val="00D40E2F"/>
    <w:rsid w:val="00D426CD"/>
    <w:rsid w:val="00D43EFF"/>
    <w:rsid w:val="00D51160"/>
    <w:rsid w:val="00D558F1"/>
    <w:rsid w:val="00D60E92"/>
    <w:rsid w:val="00D70D7B"/>
    <w:rsid w:val="00D74B79"/>
    <w:rsid w:val="00D767BB"/>
    <w:rsid w:val="00D77EC8"/>
    <w:rsid w:val="00D8314B"/>
    <w:rsid w:val="00DB4DAA"/>
    <w:rsid w:val="00DB5F00"/>
    <w:rsid w:val="00DC7013"/>
    <w:rsid w:val="00DC7907"/>
    <w:rsid w:val="00DF1C0F"/>
    <w:rsid w:val="00DF1FC9"/>
    <w:rsid w:val="00DF255B"/>
    <w:rsid w:val="00DF4748"/>
    <w:rsid w:val="00E01D64"/>
    <w:rsid w:val="00E03074"/>
    <w:rsid w:val="00E2614D"/>
    <w:rsid w:val="00E317E5"/>
    <w:rsid w:val="00E53416"/>
    <w:rsid w:val="00E63E5B"/>
    <w:rsid w:val="00E72BDD"/>
    <w:rsid w:val="00E8636A"/>
    <w:rsid w:val="00E951C7"/>
    <w:rsid w:val="00E9616F"/>
    <w:rsid w:val="00EB76A1"/>
    <w:rsid w:val="00EC0BF5"/>
    <w:rsid w:val="00ED315F"/>
    <w:rsid w:val="00ED57C2"/>
    <w:rsid w:val="00ED628F"/>
    <w:rsid w:val="00EE3F11"/>
    <w:rsid w:val="00EF2587"/>
    <w:rsid w:val="00EF4DA7"/>
    <w:rsid w:val="00EF6A1B"/>
    <w:rsid w:val="00F04C57"/>
    <w:rsid w:val="00F246AF"/>
    <w:rsid w:val="00F279C9"/>
    <w:rsid w:val="00F33970"/>
    <w:rsid w:val="00F42A93"/>
    <w:rsid w:val="00F66FBA"/>
    <w:rsid w:val="00F66FD2"/>
    <w:rsid w:val="00F842C5"/>
    <w:rsid w:val="00F96CAC"/>
    <w:rsid w:val="00F97E65"/>
    <w:rsid w:val="00FB0B74"/>
    <w:rsid w:val="00FB1036"/>
    <w:rsid w:val="00FC1C76"/>
    <w:rsid w:val="00FD3243"/>
    <w:rsid w:val="00FE5F8B"/>
    <w:rsid w:val="00FE7CEC"/>
    <w:rsid w:val="00FF3DB8"/>
    <w:rsid w:val="00FF6D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6BCCE"/>
  <w15:chartTrackingRefBased/>
  <w15:docId w15:val="{95C621C7-24AC-4833-AAEF-D5CA3B50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577"/>
    <w:rPr>
      <w:sz w:val="22"/>
      <w:lang w:val="en-US" w:eastAsia="en-US"/>
    </w:rPr>
  </w:style>
  <w:style w:type="paragraph" w:styleId="Heading1">
    <w:name w:val="heading 1"/>
    <w:basedOn w:val="Normal"/>
    <w:next w:val="Normal"/>
    <w:qFormat/>
    <w:rsid w:val="00011577"/>
    <w:pPr>
      <w:keepNext/>
      <w:widowControl w:val="0"/>
      <w:tabs>
        <w:tab w:val="left" w:pos="567"/>
      </w:tabs>
      <w:spacing w:before="240" w:after="60" w:line="260" w:lineRule="exact"/>
      <w:outlineLvl w:val="0"/>
    </w:pPr>
    <w:rPr>
      <w:rFonts w:ascii="Helvetica" w:hAnsi="Helvetica"/>
      <w:b/>
      <w:kern w:val="28"/>
      <w:sz w:val="28"/>
      <w:lang w:val="pt-PT"/>
    </w:rPr>
  </w:style>
  <w:style w:type="paragraph" w:styleId="Heading2">
    <w:name w:val="heading 2"/>
    <w:basedOn w:val="Normal"/>
    <w:next w:val="Normal"/>
    <w:qFormat/>
    <w:rsid w:val="00011577"/>
    <w:pPr>
      <w:keepNext/>
      <w:suppressAutoHyphens/>
      <w:ind w:right="11"/>
      <w:outlineLvl w:val="1"/>
    </w:pPr>
    <w:rPr>
      <w:b/>
      <w:lang w:val="pt-PT"/>
    </w:rPr>
  </w:style>
  <w:style w:type="paragraph" w:styleId="Heading3">
    <w:name w:val="heading 3"/>
    <w:basedOn w:val="Normal"/>
    <w:next w:val="Normal"/>
    <w:qFormat/>
    <w:rsid w:val="00011577"/>
    <w:pPr>
      <w:keepNext/>
      <w:tabs>
        <w:tab w:val="left" w:pos="570"/>
      </w:tabs>
      <w:suppressAutoHyphens/>
      <w:ind w:left="570" w:hanging="570"/>
      <w:jc w:val="both"/>
      <w:outlineLvl w:val="2"/>
    </w:pPr>
    <w:rPr>
      <w:b/>
      <w:lang w:val="pt-PT"/>
    </w:rPr>
  </w:style>
  <w:style w:type="paragraph" w:styleId="Heading4">
    <w:name w:val="heading 4"/>
    <w:basedOn w:val="Normal"/>
    <w:next w:val="Normal"/>
    <w:qFormat/>
    <w:rsid w:val="00011577"/>
    <w:pPr>
      <w:keepNext/>
      <w:suppressAutoHyphens/>
      <w:ind w:right="14"/>
      <w:jc w:val="center"/>
      <w:outlineLvl w:val="3"/>
    </w:pPr>
    <w:rPr>
      <w:b/>
      <w:lang w:val="pt-PT"/>
    </w:rPr>
  </w:style>
  <w:style w:type="paragraph" w:styleId="Heading5">
    <w:name w:val="heading 5"/>
    <w:basedOn w:val="Normal"/>
    <w:next w:val="Normal"/>
    <w:link w:val="Heading5Char"/>
    <w:qFormat/>
    <w:rsid w:val="00011577"/>
    <w:pPr>
      <w:keepNext/>
      <w:suppressAutoHyphens/>
      <w:outlineLvl w:val="4"/>
    </w:pPr>
    <w:rPr>
      <w:b/>
      <w:lang w:val="pt-PT"/>
    </w:rPr>
  </w:style>
  <w:style w:type="paragraph" w:styleId="Heading6">
    <w:name w:val="heading 6"/>
    <w:basedOn w:val="Normal"/>
    <w:next w:val="Normal"/>
    <w:qFormat/>
    <w:rsid w:val="00011577"/>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011577"/>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rsid w:val="00011577"/>
    <w:pPr>
      <w:keepNext/>
      <w:suppressAutoHyphens/>
      <w:ind w:left="567" w:hanging="567"/>
      <w:outlineLvl w:val="7"/>
    </w:pPr>
    <w:rPr>
      <w:i/>
      <w:lang w:val="pt-PT"/>
    </w:rPr>
  </w:style>
  <w:style w:type="paragraph" w:styleId="Heading9">
    <w:name w:val="heading 9"/>
    <w:basedOn w:val="Normal"/>
    <w:next w:val="Normal"/>
    <w:qFormat/>
    <w:rsid w:val="00011577"/>
    <w:pPr>
      <w:keepNext/>
      <w:ind w:right="-2"/>
      <w:outlineLvl w:val="8"/>
    </w:pPr>
    <w:rPr>
      <w:b/>
      <w:sz w:val="24"/>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011577"/>
    <w:rPr>
      <w:rFonts w:ascii="Cambria" w:hAnsi="Cambria" w:cs="Times New Roman"/>
      <w:b/>
      <w:bCs/>
      <w:kern w:val="32"/>
      <w:sz w:val="32"/>
      <w:szCs w:val="32"/>
    </w:rPr>
  </w:style>
  <w:style w:type="paragraph" w:styleId="EndnoteText">
    <w:name w:val="endnote text"/>
    <w:basedOn w:val="Normal"/>
    <w:link w:val="EndnoteTextChar"/>
    <w:semiHidden/>
    <w:rsid w:val="00011577"/>
    <w:pPr>
      <w:widowControl w:val="0"/>
      <w:tabs>
        <w:tab w:val="left" w:pos="567"/>
      </w:tabs>
    </w:pPr>
    <w:rPr>
      <w:lang w:val="pt-PT"/>
    </w:rPr>
  </w:style>
  <w:style w:type="paragraph" w:styleId="Footer">
    <w:name w:val="footer"/>
    <w:basedOn w:val="Normal"/>
    <w:semiHidden/>
    <w:rsid w:val="00011577"/>
    <w:pPr>
      <w:widowControl w:val="0"/>
      <w:tabs>
        <w:tab w:val="left" w:pos="567"/>
        <w:tab w:val="center" w:pos="4536"/>
        <w:tab w:val="center" w:pos="8930"/>
      </w:tabs>
    </w:pPr>
    <w:rPr>
      <w:rFonts w:ascii="Helvetica" w:hAnsi="Helvetica"/>
      <w:sz w:val="16"/>
      <w:lang w:val="pt-PT"/>
    </w:rPr>
  </w:style>
  <w:style w:type="character" w:styleId="PageNumber">
    <w:name w:val="page number"/>
    <w:semiHidden/>
    <w:rsid w:val="00011577"/>
    <w:rPr>
      <w:rFonts w:cs="Times New Roman"/>
    </w:rPr>
  </w:style>
  <w:style w:type="paragraph" w:customStyle="1" w:styleId="EmeaHeading">
    <w:name w:val="Emea Heading"/>
    <w:basedOn w:val="Normal"/>
    <w:rsid w:val="00011577"/>
    <w:pPr>
      <w:framePr w:wrap="notBeside" w:vAnchor="text" w:hAnchor="text" w:y="1"/>
      <w:widowControl w:val="0"/>
      <w:shd w:val="solid" w:color="C0C0C0" w:fill="auto"/>
    </w:pPr>
    <w:rPr>
      <w:lang w:val="en-GB"/>
    </w:rPr>
  </w:style>
  <w:style w:type="paragraph" w:styleId="BodyText2">
    <w:name w:val="Body Text 2"/>
    <w:basedOn w:val="Normal"/>
    <w:link w:val="BodyText2Char"/>
    <w:semiHidden/>
    <w:rsid w:val="00011577"/>
    <w:pPr>
      <w:suppressAutoHyphens/>
    </w:pPr>
    <w:rPr>
      <w:lang w:val="pt-PT"/>
    </w:rPr>
  </w:style>
  <w:style w:type="character" w:styleId="CommentReference">
    <w:name w:val="annotation reference"/>
    <w:semiHidden/>
    <w:rsid w:val="00011577"/>
    <w:rPr>
      <w:rFonts w:cs="Times New Roman"/>
      <w:sz w:val="16"/>
    </w:rPr>
  </w:style>
  <w:style w:type="paragraph" w:styleId="CommentText">
    <w:name w:val="annotation text"/>
    <w:basedOn w:val="Normal"/>
    <w:semiHidden/>
    <w:rsid w:val="00011577"/>
    <w:pPr>
      <w:tabs>
        <w:tab w:val="left" w:pos="567"/>
      </w:tabs>
      <w:spacing w:line="260" w:lineRule="exact"/>
    </w:pPr>
    <w:rPr>
      <w:lang w:val="en-GB"/>
    </w:rPr>
  </w:style>
  <w:style w:type="paragraph" w:styleId="BodyText3">
    <w:name w:val="Body Text 3"/>
    <w:basedOn w:val="Normal"/>
    <w:semiHidden/>
    <w:rsid w:val="00011577"/>
    <w:pPr>
      <w:shd w:val="pct25" w:color="000000" w:fill="FFFFFF"/>
      <w:suppressAutoHyphens/>
    </w:pPr>
    <w:rPr>
      <w:i/>
      <w:lang w:val="pt-PT"/>
    </w:rPr>
  </w:style>
  <w:style w:type="character" w:styleId="Strong">
    <w:name w:val="Strong"/>
    <w:qFormat/>
    <w:rsid w:val="00011577"/>
    <w:rPr>
      <w:rFonts w:cs="Times New Roman"/>
      <w:b/>
      <w:bCs/>
    </w:rPr>
  </w:style>
  <w:style w:type="paragraph" w:customStyle="1" w:styleId="Default">
    <w:name w:val="Default"/>
    <w:rsid w:val="00011577"/>
    <w:pPr>
      <w:autoSpaceDE w:val="0"/>
      <w:autoSpaceDN w:val="0"/>
      <w:adjustRightInd w:val="0"/>
    </w:pPr>
    <w:rPr>
      <w:rFonts w:ascii="Helvetica" w:hAnsi="Helvetica" w:cs="Helvetica"/>
      <w:color w:val="000000"/>
      <w:sz w:val="24"/>
      <w:szCs w:val="24"/>
      <w:lang w:val="en-US" w:eastAsia="en-US"/>
    </w:rPr>
  </w:style>
  <w:style w:type="paragraph" w:styleId="BalloonText">
    <w:name w:val="Balloon Text"/>
    <w:basedOn w:val="Normal"/>
    <w:semiHidden/>
    <w:rsid w:val="00011577"/>
    <w:rPr>
      <w:rFonts w:ascii="Tahoma" w:hAnsi="Tahoma" w:cs="Tahoma"/>
      <w:sz w:val="16"/>
      <w:szCs w:val="16"/>
    </w:rPr>
  </w:style>
  <w:style w:type="paragraph" w:styleId="CommentSubject">
    <w:name w:val="annotation subject"/>
    <w:basedOn w:val="CommentText"/>
    <w:next w:val="CommentText"/>
    <w:semiHidden/>
    <w:rsid w:val="00011577"/>
    <w:pPr>
      <w:tabs>
        <w:tab w:val="clear" w:pos="567"/>
      </w:tabs>
      <w:spacing w:line="240" w:lineRule="auto"/>
    </w:pPr>
    <w:rPr>
      <w:b/>
      <w:bCs/>
      <w:sz w:val="20"/>
      <w:lang w:val="en-US"/>
    </w:rPr>
  </w:style>
  <w:style w:type="character" w:customStyle="1" w:styleId="longtext1">
    <w:name w:val="long_text1"/>
    <w:rsid w:val="00011577"/>
    <w:rPr>
      <w:rFonts w:cs="Times New Roman"/>
      <w:sz w:val="20"/>
      <w:szCs w:val="20"/>
    </w:rPr>
  </w:style>
  <w:style w:type="character" w:customStyle="1" w:styleId="shorttext1">
    <w:name w:val="short_text1"/>
    <w:rsid w:val="00011577"/>
    <w:rPr>
      <w:rFonts w:cs="Times New Roman"/>
      <w:sz w:val="29"/>
      <w:szCs w:val="29"/>
    </w:rPr>
  </w:style>
  <w:style w:type="character" w:customStyle="1" w:styleId="Initial">
    <w:name w:val="Initial"/>
    <w:rsid w:val="00011577"/>
    <w:rPr>
      <w:rFonts w:ascii="CG Times" w:hAnsi="CG Times" w:cs="Times New Roman"/>
      <w:sz w:val="24"/>
      <w:lang w:val="en-US" w:eastAsia="x-none"/>
    </w:rPr>
  </w:style>
  <w:style w:type="paragraph" w:customStyle="1" w:styleId="CM55">
    <w:name w:val="CM55"/>
    <w:basedOn w:val="Default"/>
    <w:next w:val="Default"/>
    <w:rsid w:val="00011577"/>
    <w:pPr>
      <w:widowControl w:val="0"/>
      <w:spacing w:after="243"/>
    </w:pPr>
    <w:rPr>
      <w:rFonts w:ascii="Times New Roman" w:hAnsi="Times New Roman" w:cs="Times New Roman"/>
      <w:color w:val="auto"/>
      <w:lang w:val="en-GB" w:eastAsia="en-GB"/>
    </w:rPr>
  </w:style>
  <w:style w:type="paragraph" w:customStyle="1" w:styleId="Paragraph">
    <w:name w:val="Paragraph"/>
    <w:rsid w:val="00011577"/>
    <w:pPr>
      <w:spacing w:after="240"/>
    </w:pPr>
    <w:rPr>
      <w:sz w:val="24"/>
      <w:szCs w:val="24"/>
      <w:lang w:val="en-US" w:eastAsia="en-US"/>
    </w:rPr>
  </w:style>
  <w:style w:type="paragraph" w:customStyle="1" w:styleId="TableTextColHead">
    <w:name w:val="TableText Col Head"/>
    <w:next w:val="Normal"/>
    <w:rsid w:val="00011577"/>
    <w:pPr>
      <w:jc w:val="center"/>
    </w:pPr>
    <w:rPr>
      <w:rFonts w:ascii="Times New Roman Bold" w:hAnsi="Times New Roman Bold"/>
      <w:b/>
      <w:lang w:val="en-US" w:eastAsia="en-US"/>
    </w:rPr>
  </w:style>
  <w:style w:type="paragraph" w:customStyle="1" w:styleId="TableText">
    <w:name w:val="TableText"/>
    <w:rsid w:val="00011577"/>
    <w:rPr>
      <w:rFonts w:cs="Arial"/>
      <w:lang w:val="en-US" w:eastAsia="en-US"/>
    </w:rPr>
  </w:style>
  <w:style w:type="paragraph" w:customStyle="1" w:styleId="TableTextFootnote">
    <w:name w:val="TableText Footnote"/>
    <w:rsid w:val="00011577"/>
    <w:rPr>
      <w:lang w:val="en-US" w:eastAsia="en-US"/>
    </w:rPr>
  </w:style>
  <w:style w:type="character" w:customStyle="1" w:styleId="ParagraphChar1">
    <w:name w:val="Paragraph Char1"/>
    <w:locked/>
    <w:rsid w:val="00011577"/>
    <w:rPr>
      <w:sz w:val="24"/>
      <w:szCs w:val="24"/>
      <w:lang w:val="en-US" w:eastAsia="en-US" w:bidi="ar-SA"/>
    </w:rPr>
  </w:style>
  <w:style w:type="character" w:customStyle="1" w:styleId="longtext">
    <w:name w:val="long_text"/>
    <w:rsid w:val="00011577"/>
    <w:rPr>
      <w:rFonts w:cs="Times New Roman"/>
    </w:rPr>
  </w:style>
  <w:style w:type="character" w:customStyle="1" w:styleId="hps">
    <w:name w:val="hps"/>
    <w:basedOn w:val="DefaultParagraphFont"/>
    <w:rsid w:val="00011577"/>
  </w:style>
  <w:style w:type="paragraph" w:customStyle="1" w:styleId="CM61">
    <w:name w:val="CM61"/>
    <w:basedOn w:val="Default"/>
    <w:next w:val="Default"/>
    <w:rsid w:val="00011577"/>
    <w:pPr>
      <w:widowControl w:val="0"/>
      <w:spacing w:after="345"/>
    </w:pPr>
    <w:rPr>
      <w:rFonts w:ascii="Times New Roman" w:hAnsi="Times New Roman" w:cs="Times New Roman"/>
      <w:color w:val="auto"/>
      <w:lang w:val="en-GB" w:eastAsia="en-GB"/>
    </w:rPr>
  </w:style>
  <w:style w:type="paragraph" w:styleId="ListParagraph">
    <w:name w:val="List Paragraph"/>
    <w:basedOn w:val="Normal"/>
    <w:uiPriority w:val="34"/>
    <w:qFormat/>
    <w:rsid w:val="00011577"/>
    <w:pPr>
      <w:ind w:left="708"/>
    </w:pPr>
  </w:style>
  <w:style w:type="paragraph" w:customStyle="1" w:styleId="CM56">
    <w:name w:val="CM56"/>
    <w:basedOn w:val="Default"/>
    <w:next w:val="Default"/>
    <w:rsid w:val="00011577"/>
    <w:pPr>
      <w:widowControl w:val="0"/>
      <w:spacing w:after="505"/>
    </w:pPr>
    <w:rPr>
      <w:rFonts w:ascii="Times New Roman" w:hAnsi="Times New Roman" w:cs="Times New Roman"/>
      <w:color w:val="auto"/>
      <w:lang w:val="en-GB" w:eastAsia="en-GB"/>
    </w:rPr>
  </w:style>
  <w:style w:type="character" w:customStyle="1" w:styleId="TableTextChar">
    <w:name w:val="TableText Char"/>
    <w:rsid w:val="00011577"/>
    <w:rPr>
      <w:rFonts w:cs="Arial"/>
      <w:lang w:val="en-US" w:eastAsia="en-US" w:bidi="ar-SA"/>
    </w:rPr>
  </w:style>
  <w:style w:type="paragraph" w:customStyle="1" w:styleId="CM11">
    <w:name w:val="CM11"/>
    <w:basedOn w:val="Default"/>
    <w:next w:val="Default"/>
    <w:rsid w:val="00011577"/>
    <w:pPr>
      <w:widowControl w:val="0"/>
      <w:spacing w:line="243" w:lineRule="atLeast"/>
    </w:pPr>
    <w:rPr>
      <w:rFonts w:ascii="Times New Roman" w:hAnsi="Times New Roman" w:cs="Times New Roman"/>
      <w:color w:val="auto"/>
      <w:lang w:val="en-GB" w:eastAsia="en-GB"/>
    </w:rPr>
  </w:style>
  <w:style w:type="paragraph" w:customStyle="1" w:styleId="CM3">
    <w:name w:val="CM3"/>
    <w:basedOn w:val="Default"/>
    <w:next w:val="Default"/>
    <w:rsid w:val="00011577"/>
    <w:pPr>
      <w:widowControl w:val="0"/>
      <w:spacing w:line="243" w:lineRule="atLeast"/>
    </w:pPr>
    <w:rPr>
      <w:rFonts w:ascii="Times New Roman" w:hAnsi="Times New Roman" w:cs="Times New Roman"/>
      <w:color w:val="auto"/>
      <w:lang w:val="en-GB" w:eastAsia="en-GB"/>
    </w:rPr>
  </w:style>
  <w:style w:type="paragraph" w:customStyle="1" w:styleId="CM8">
    <w:name w:val="CM8"/>
    <w:basedOn w:val="Default"/>
    <w:next w:val="Default"/>
    <w:rsid w:val="00011577"/>
    <w:pPr>
      <w:widowControl w:val="0"/>
      <w:spacing w:line="243" w:lineRule="atLeast"/>
    </w:pPr>
    <w:rPr>
      <w:rFonts w:ascii="Times New Roman" w:hAnsi="Times New Roman" w:cs="Times New Roman"/>
      <w:color w:val="auto"/>
      <w:lang w:val="en-GB" w:eastAsia="en-GB"/>
    </w:rPr>
  </w:style>
  <w:style w:type="paragraph" w:customStyle="1" w:styleId="CM65">
    <w:name w:val="CM65"/>
    <w:basedOn w:val="Default"/>
    <w:next w:val="Default"/>
    <w:rsid w:val="00011577"/>
    <w:pPr>
      <w:widowControl w:val="0"/>
      <w:spacing w:after="98"/>
    </w:pPr>
    <w:rPr>
      <w:rFonts w:ascii="Times New Roman" w:hAnsi="Times New Roman" w:cs="Times New Roman"/>
      <w:color w:val="auto"/>
      <w:lang w:val="en-GB" w:eastAsia="en-GB"/>
    </w:rPr>
  </w:style>
  <w:style w:type="paragraph" w:customStyle="1" w:styleId="1">
    <w:name w:val="1"/>
    <w:basedOn w:val="Normal"/>
    <w:next w:val="Normal"/>
    <w:rsid w:val="00011577"/>
    <w:pPr>
      <w:spacing w:after="160"/>
      <w:jc w:val="both"/>
    </w:pPr>
    <w:rPr>
      <w:sz w:val="24"/>
      <w:szCs w:val="24"/>
      <w:lang w:val="en-GB"/>
    </w:rPr>
  </w:style>
  <w:style w:type="table" w:styleId="TableGrid">
    <w:name w:val="Table Grid"/>
    <w:basedOn w:val="TableNormal"/>
    <w:rsid w:val="00E7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72FC0"/>
    <w:pPr>
      <w:tabs>
        <w:tab w:val="center" w:pos="4513"/>
        <w:tab w:val="right" w:pos="9026"/>
      </w:tabs>
    </w:pPr>
  </w:style>
  <w:style w:type="character" w:customStyle="1" w:styleId="HeaderChar">
    <w:name w:val="Header Char"/>
    <w:link w:val="Header"/>
    <w:rsid w:val="00072FC0"/>
    <w:rPr>
      <w:sz w:val="22"/>
      <w:lang w:val="en-US" w:eastAsia="en-US"/>
    </w:rPr>
  </w:style>
  <w:style w:type="paragraph" w:styleId="Revision">
    <w:name w:val="Revision"/>
    <w:hidden/>
    <w:uiPriority w:val="99"/>
    <w:semiHidden/>
    <w:rsid w:val="006646A9"/>
    <w:rPr>
      <w:sz w:val="22"/>
      <w:lang w:val="en-US" w:eastAsia="en-US"/>
    </w:rPr>
  </w:style>
  <w:style w:type="paragraph" w:customStyle="1" w:styleId="11">
    <w:name w:val="11"/>
    <w:basedOn w:val="Normal"/>
    <w:qFormat/>
    <w:rsid w:val="00C4485D"/>
    <w:pPr>
      <w:tabs>
        <w:tab w:val="left" w:pos="567"/>
      </w:tabs>
      <w:suppressAutoHyphens/>
      <w:jc w:val="center"/>
    </w:pPr>
    <w:rPr>
      <w:b/>
      <w:szCs w:val="22"/>
      <w:lang w:val="pt-PT"/>
    </w:rPr>
  </w:style>
  <w:style w:type="paragraph" w:customStyle="1" w:styleId="12">
    <w:name w:val="12"/>
    <w:basedOn w:val="Normal"/>
    <w:qFormat/>
    <w:rsid w:val="00C4485D"/>
    <w:pPr>
      <w:keepNext/>
      <w:widowControl w:val="0"/>
      <w:autoSpaceDE w:val="0"/>
      <w:autoSpaceDN w:val="0"/>
      <w:adjustRightInd w:val="0"/>
      <w:ind w:hanging="567"/>
    </w:pPr>
    <w:rPr>
      <w:rFonts w:eastAsia="SimSun"/>
      <w:b/>
      <w:bCs/>
      <w:color w:val="000000"/>
      <w:szCs w:val="22"/>
      <w:lang w:val="pt-PT"/>
    </w:rPr>
  </w:style>
  <w:style w:type="paragraph" w:customStyle="1" w:styleId="13">
    <w:name w:val="13"/>
    <w:basedOn w:val="Normal"/>
    <w:qFormat/>
    <w:rsid w:val="00C4485D"/>
    <w:pPr>
      <w:keepNext/>
      <w:widowControl w:val="0"/>
      <w:autoSpaceDE w:val="0"/>
      <w:autoSpaceDN w:val="0"/>
      <w:adjustRightInd w:val="0"/>
      <w:ind w:left="567" w:right="120" w:hanging="567"/>
    </w:pPr>
    <w:rPr>
      <w:rFonts w:eastAsia="SimSun"/>
      <w:b/>
      <w:bCs/>
      <w:color w:val="000000"/>
      <w:szCs w:val="22"/>
      <w:lang w:val="pt-PT"/>
    </w:rPr>
  </w:style>
  <w:style w:type="paragraph" w:customStyle="1" w:styleId="14">
    <w:name w:val="14"/>
    <w:basedOn w:val="Normal"/>
    <w:qFormat/>
    <w:rsid w:val="00C4485D"/>
    <w:pPr>
      <w:widowControl w:val="0"/>
      <w:autoSpaceDE w:val="0"/>
      <w:autoSpaceDN w:val="0"/>
      <w:adjustRightInd w:val="0"/>
      <w:ind w:left="567" w:right="120" w:hanging="567"/>
    </w:pPr>
    <w:rPr>
      <w:rFonts w:eastAsia="SimSun"/>
      <w:b/>
      <w:bCs/>
      <w:color w:val="000000"/>
      <w:szCs w:val="22"/>
      <w:lang w:val="pt-PT"/>
    </w:rPr>
  </w:style>
  <w:style w:type="paragraph" w:customStyle="1" w:styleId="15">
    <w:name w:val="15"/>
    <w:basedOn w:val="Normal"/>
    <w:qFormat/>
    <w:rsid w:val="00C4485D"/>
    <w:pPr>
      <w:keepNext/>
      <w:widowControl w:val="0"/>
      <w:autoSpaceDE w:val="0"/>
      <w:autoSpaceDN w:val="0"/>
      <w:adjustRightInd w:val="0"/>
      <w:ind w:left="567" w:right="120" w:hanging="567"/>
    </w:pPr>
    <w:rPr>
      <w:rFonts w:eastAsia="SimSun"/>
      <w:b/>
      <w:bCs/>
      <w:color w:val="000000"/>
      <w:szCs w:val="22"/>
      <w:lang w:val="pt-PT"/>
    </w:rPr>
  </w:style>
  <w:style w:type="paragraph" w:customStyle="1" w:styleId="16">
    <w:name w:val="16"/>
    <w:basedOn w:val="Normal"/>
    <w:qFormat/>
    <w:rsid w:val="00C4485D"/>
    <w:pPr>
      <w:tabs>
        <w:tab w:val="left" w:pos="567"/>
      </w:tabs>
      <w:suppressAutoHyphens/>
      <w:jc w:val="center"/>
    </w:pPr>
    <w:rPr>
      <w:b/>
      <w:szCs w:val="22"/>
      <w:lang w:val="pt-PT"/>
    </w:rPr>
  </w:style>
  <w:style w:type="paragraph" w:customStyle="1" w:styleId="17">
    <w:name w:val="17"/>
    <w:basedOn w:val="Normal"/>
    <w:qFormat/>
    <w:rsid w:val="00C4485D"/>
    <w:pPr>
      <w:tabs>
        <w:tab w:val="left" w:pos="567"/>
      </w:tabs>
      <w:suppressAutoHyphens/>
      <w:jc w:val="center"/>
    </w:pPr>
    <w:rPr>
      <w:b/>
      <w:szCs w:val="22"/>
      <w:lang w:val="pt-PT"/>
    </w:rPr>
  </w:style>
  <w:style w:type="character" w:customStyle="1" w:styleId="BodyText2Char">
    <w:name w:val="Body Text 2 Char"/>
    <w:link w:val="BodyText2"/>
    <w:semiHidden/>
    <w:rsid w:val="00734D3B"/>
    <w:rPr>
      <w:sz w:val="22"/>
      <w:lang w:val="pt-PT" w:eastAsia="en-US"/>
    </w:rPr>
  </w:style>
  <w:style w:type="character" w:customStyle="1" w:styleId="Heading5Char">
    <w:name w:val="Heading 5 Char"/>
    <w:link w:val="Heading5"/>
    <w:rsid w:val="00734D3B"/>
    <w:rPr>
      <w:b/>
      <w:sz w:val="22"/>
      <w:lang w:val="pt-PT" w:eastAsia="en-US"/>
    </w:rPr>
  </w:style>
  <w:style w:type="character" w:customStyle="1" w:styleId="EndnoteTextChar">
    <w:name w:val="Endnote Text Char"/>
    <w:link w:val="EndnoteText"/>
    <w:semiHidden/>
    <w:rsid w:val="008805C8"/>
    <w:rPr>
      <w:sz w:val="22"/>
      <w:lang w:val="pt-PT" w:eastAsia="en-US"/>
    </w:rPr>
  </w:style>
  <w:style w:type="character" w:styleId="Hyperlink">
    <w:name w:val="Hyperlink"/>
    <w:unhideWhenUsed/>
    <w:rsid w:val="0017325D"/>
    <w:rPr>
      <w:rFonts w:ascii="Times New Roman" w:hAnsi="Times New Roman" w:cs="Times New Roman" w:hint="default"/>
      <w:color w:val="0000FF"/>
      <w:u w:val="single"/>
    </w:rPr>
  </w:style>
  <w:style w:type="character" w:customStyle="1" w:styleId="TableText12">
    <w:name w:val="TableText 12"/>
    <w:rsid w:val="00F246AF"/>
    <w:rPr>
      <w:rFonts w:ascii="Times New Roman" w:hAnsi="Times New Roman"/>
      <w:sz w:val="24"/>
    </w:rPr>
  </w:style>
  <w:style w:type="paragraph" w:styleId="ListBullet">
    <w:name w:val="List Bullet"/>
    <w:basedOn w:val="Normal"/>
    <w:autoRedefine/>
    <w:rsid w:val="008A2119"/>
    <w:pPr>
      <w:numPr>
        <w:numId w:val="21"/>
      </w:numPr>
      <w:tabs>
        <w:tab w:val="left" w:pos="720"/>
      </w:tabs>
      <w:autoSpaceDE w:val="0"/>
      <w:autoSpaceDN w:val="0"/>
    </w:pPr>
    <w:rPr>
      <w:sz w:val="24"/>
      <w:szCs w:val="22"/>
    </w:rPr>
  </w:style>
  <w:style w:type="paragraph" w:customStyle="1" w:styleId="PargrafodaLista1">
    <w:name w:val="Parágrafo da Lista1"/>
    <w:basedOn w:val="Normal"/>
    <w:rsid w:val="008A2119"/>
    <w:pPr>
      <w:ind w:left="708"/>
    </w:pPr>
  </w:style>
  <w:style w:type="character" w:customStyle="1" w:styleId="Instructions">
    <w:name w:val="Instructions"/>
    <w:rsid w:val="008A2119"/>
    <w:rPr>
      <w:i/>
      <w:iCs/>
      <w:color w:val="008000"/>
    </w:rPr>
  </w:style>
  <w:style w:type="paragraph" w:customStyle="1" w:styleId="PargrafodaLista2">
    <w:name w:val="Parágrafo da Lista2"/>
    <w:basedOn w:val="Normal"/>
    <w:rsid w:val="008277A1"/>
    <w:pPr>
      <w:ind w:left="708"/>
    </w:pPr>
  </w:style>
  <w:style w:type="character" w:customStyle="1" w:styleId="MenoNoResolvida1">
    <w:name w:val="Menção Não Resolvida1"/>
    <w:uiPriority w:val="99"/>
    <w:semiHidden/>
    <w:unhideWhenUsed/>
    <w:rsid w:val="00165E83"/>
    <w:rPr>
      <w:color w:val="808080"/>
      <w:shd w:val="clear" w:color="auto" w:fill="E6E6E6"/>
    </w:rPr>
  </w:style>
  <w:style w:type="character" w:styleId="UnresolvedMention">
    <w:name w:val="Unresolved Mention"/>
    <w:basedOn w:val="DefaultParagraphFont"/>
    <w:uiPriority w:val="99"/>
    <w:semiHidden/>
    <w:unhideWhenUsed/>
    <w:rsid w:val="00D43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42106">
      <w:bodyDiv w:val="1"/>
      <w:marLeft w:val="0"/>
      <w:marRight w:val="0"/>
      <w:marTop w:val="0"/>
      <w:marBottom w:val="0"/>
      <w:divBdr>
        <w:top w:val="none" w:sz="0" w:space="0" w:color="auto"/>
        <w:left w:val="none" w:sz="0" w:space="0" w:color="auto"/>
        <w:bottom w:val="none" w:sz="0" w:space="0" w:color="auto"/>
        <w:right w:val="none" w:sz="0" w:space="0" w:color="auto"/>
      </w:divBdr>
    </w:div>
    <w:div w:id="229313405">
      <w:bodyDiv w:val="1"/>
      <w:marLeft w:val="0"/>
      <w:marRight w:val="0"/>
      <w:marTop w:val="0"/>
      <w:marBottom w:val="0"/>
      <w:divBdr>
        <w:top w:val="none" w:sz="0" w:space="0" w:color="auto"/>
        <w:left w:val="none" w:sz="0" w:space="0" w:color="auto"/>
        <w:bottom w:val="none" w:sz="0" w:space="0" w:color="auto"/>
        <w:right w:val="none" w:sz="0" w:space="0" w:color="auto"/>
      </w:divBdr>
    </w:div>
    <w:div w:id="242689309">
      <w:bodyDiv w:val="1"/>
      <w:marLeft w:val="0"/>
      <w:marRight w:val="0"/>
      <w:marTop w:val="0"/>
      <w:marBottom w:val="0"/>
      <w:divBdr>
        <w:top w:val="none" w:sz="0" w:space="0" w:color="auto"/>
        <w:left w:val="none" w:sz="0" w:space="0" w:color="auto"/>
        <w:bottom w:val="none" w:sz="0" w:space="0" w:color="auto"/>
        <w:right w:val="none" w:sz="0" w:space="0" w:color="auto"/>
      </w:divBdr>
    </w:div>
    <w:div w:id="246691604">
      <w:bodyDiv w:val="1"/>
      <w:marLeft w:val="0"/>
      <w:marRight w:val="0"/>
      <w:marTop w:val="0"/>
      <w:marBottom w:val="0"/>
      <w:divBdr>
        <w:top w:val="none" w:sz="0" w:space="0" w:color="auto"/>
        <w:left w:val="none" w:sz="0" w:space="0" w:color="auto"/>
        <w:bottom w:val="none" w:sz="0" w:space="0" w:color="auto"/>
        <w:right w:val="none" w:sz="0" w:space="0" w:color="auto"/>
      </w:divBdr>
    </w:div>
    <w:div w:id="313530085">
      <w:bodyDiv w:val="1"/>
      <w:marLeft w:val="0"/>
      <w:marRight w:val="0"/>
      <w:marTop w:val="0"/>
      <w:marBottom w:val="0"/>
      <w:divBdr>
        <w:top w:val="none" w:sz="0" w:space="0" w:color="auto"/>
        <w:left w:val="none" w:sz="0" w:space="0" w:color="auto"/>
        <w:bottom w:val="none" w:sz="0" w:space="0" w:color="auto"/>
        <w:right w:val="none" w:sz="0" w:space="0" w:color="auto"/>
      </w:divBdr>
    </w:div>
    <w:div w:id="481503367">
      <w:bodyDiv w:val="1"/>
      <w:marLeft w:val="0"/>
      <w:marRight w:val="0"/>
      <w:marTop w:val="0"/>
      <w:marBottom w:val="0"/>
      <w:divBdr>
        <w:top w:val="none" w:sz="0" w:space="0" w:color="auto"/>
        <w:left w:val="none" w:sz="0" w:space="0" w:color="auto"/>
        <w:bottom w:val="none" w:sz="0" w:space="0" w:color="auto"/>
        <w:right w:val="none" w:sz="0" w:space="0" w:color="auto"/>
      </w:divBdr>
    </w:div>
    <w:div w:id="514852531">
      <w:bodyDiv w:val="1"/>
      <w:marLeft w:val="0"/>
      <w:marRight w:val="0"/>
      <w:marTop w:val="0"/>
      <w:marBottom w:val="0"/>
      <w:divBdr>
        <w:top w:val="none" w:sz="0" w:space="0" w:color="auto"/>
        <w:left w:val="none" w:sz="0" w:space="0" w:color="auto"/>
        <w:bottom w:val="none" w:sz="0" w:space="0" w:color="auto"/>
        <w:right w:val="none" w:sz="0" w:space="0" w:color="auto"/>
      </w:divBdr>
    </w:div>
    <w:div w:id="537548489">
      <w:bodyDiv w:val="1"/>
      <w:marLeft w:val="0"/>
      <w:marRight w:val="0"/>
      <w:marTop w:val="0"/>
      <w:marBottom w:val="0"/>
      <w:divBdr>
        <w:top w:val="none" w:sz="0" w:space="0" w:color="auto"/>
        <w:left w:val="none" w:sz="0" w:space="0" w:color="auto"/>
        <w:bottom w:val="none" w:sz="0" w:space="0" w:color="auto"/>
        <w:right w:val="none" w:sz="0" w:space="0" w:color="auto"/>
      </w:divBdr>
    </w:div>
    <w:div w:id="587154293">
      <w:bodyDiv w:val="1"/>
      <w:marLeft w:val="0"/>
      <w:marRight w:val="0"/>
      <w:marTop w:val="0"/>
      <w:marBottom w:val="0"/>
      <w:divBdr>
        <w:top w:val="none" w:sz="0" w:space="0" w:color="auto"/>
        <w:left w:val="none" w:sz="0" w:space="0" w:color="auto"/>
        <w:bottom w:val="none" w:sz="0" w:space="0" w:color="auto"/>
        <w:right w:val="none" w:sz="0" w:space="0" w:color="auto"/>
      </w:divBdr>
    </w:div>
    <w:div w:id="728457557">
      <w:bodyDiv w:val="1"/>
      <w:marLeft w:val="0"/>
      <w:marRight w:val="0"/>
      <w:marTop w:val="0"/>
      <w:marBottom w:val="0"/>
      <w:divBdr>
        <w:top w:val="none" w:sz="0" w:space="0" w:color="auto"/>
        <w:left w:val="none" w:sz="0" w:space="0" w:color="auto"/>
        <w:bottom w:val="none" w:sz="0" w:space="0" w:color="auto"/>
        <w:right w:val="none" w:sz="0" w:space="0" w:color="auto"/>
      </w:divBdr>
    </w:div>
    <w:div w:id="766996302">
      <w:bodyDiv w:val="1"/>
      <w:marLeft w:val="0"/>
      <w:marRight w:val="0"/>
      <w:marTop w:val="0"/>
      <w:marBottom w:val="0"/>
      <w:divBdr>
        <w:top w:val="none" w:sz="0" w:space="0" w:color="auto"/>
        <w:left w:val="none" w:sz="0" w:space="0" w:color="auto"/>
        <w:bottom w:val="none" w:sz="0" w:space="0" w:color="auto"/>
        <w:right w:val="none" w:sz="0" w:space="0" w:color="auto"/>
      </w:divBdr>
    </w:div>
    <w:div w:id="770203242">
      <w:bodyDiv w:val="1"/>
      <w:marLeft w:val="0"/>
      <w:marRight w:val="0"/>
      <w:marTop w:val="0"/>
      <w:marBottom w:val="0"/>
      <w:divBdr>
        <w:top w:val="none" w:sz="0" w:space="0" w:color="auto"/>
        <w:left w:val="none" w:sz="0" w:space="0" w:color="auto"/>
        <w:bottom w:val="none" w:sz="0" w:space="0" w:color="auto"/>
        <w:right w:val="none" w:sz="0" w:space="0" w:color="auto"/>
      </w:divBdr>
    </w:div>
    <w:div w:id="908853924">
      <w:bodyDiv w:val="1"/>
      <w:marLeft w:val="0"/>
      <w:marRight w:val="0"/>
      <w:marTop w:val="0"/>
      <w:marBottom w:val="0"/>
      <w:divBdr>
        <w:top w:val="none" w:sz="0" w:space="0" w:color="auto"/>
        <w:left w:val="none" w:sz="0" w:space="0" w:color="auto"/>
        <w:bottom w:val="none" w:sz="0" w:space="0" w:color="auto"/>
        <w:right w:val="none" w:sz="0" w:space="0" w:color="auto"/>
      </w:divBdr>
    </w:div>
    <w:div w:id="979769541">
      <w:bodyDiv w:val="1"/>
      <w:marLeft w:val="0"/>
      <w:marRight w:val="0"/>
      <w:marTop w:val="0"/>
      <w:marBottom w:val="0"/>
      <w:divBdr>
        <w:top w:val="none" w:sz="0" w:space="0" w:color="auto"/>
        <w:left w:val="none" w:sz="0" w:space="0" w:color="auto"/>
        <w:bottom w:val="none" w:sz="0" w:space="0" w:color="auto"/>
        <w:right w:val="none" w:sz="0" w:space="0" w:color="auto"/>
      </w:divBdr>
    </w:div>
    <w:div w:id="1045522946">
      <w:bodyDiv w:val="1"/>
      <w:marLeft w:val="0"/>
      <w:marRight w:val="0"/>
      <w:marTop w:val="0"/>
      <w:marBottom w:val="0"/>
      <w:divBdr>
        <w:top w:val="none" w:sz="0" w:space="0" w:color="auto"/>
        <w:left w:val="none" w:sz="0" w:space="0" w:color="auto"/>
        <w:bottom w:val="none" w:sz="0" w:space="0" w:color="auto"/>
        <w:right w:val="none" w:sz="0" w:space="0" w:color="auto"/>
      </w:divBdr>
    </w:div>
    <w:div w:id="1067387455">
      <w:bodyDiv w:val="1"/>
      <w:marLeft w:val="0"/>
      <w:marRight w:val="0"/>
      <w:marTop w:val="0"/>
      <w:marBottom w:val="0"/>
      <w:divBdr>
        <w:top w:val="none" w:sz="0" w:space="0" w:color="auto"/>
        <w:left w:val="none" w:sz="0" w:space="0" w:color="auto"/>
        <w:bottom w:val="none" w:sz="0" w:space="0" w:color="auto"/>
        <w:right w:val="none" w:sz="0" w:space="0" w:color="auto"/>
      </w:divBdr>
    </w:div>
    <w:div w:id="1067609139">
      <w:bodyDiv w:val="1"/>
      <w:marLeft w:val="0"/>
      <w:marRight w:val="0"/>
      <w:marTop w:val="0"/>
      <w:marBottom w:val="0"/>
      <w:divBdr>
        <w:top w:val="none" w:sz="0" w:space="0" w:color="auto"/>
        <w:left w:val="none" w:sz="0" w:space="0" w:color="auto"/>
        <w:bottom w:val="none" w:sz="0" w:space="0" w:color="auto"/>
        <w:right w:val="none" w:sz="0" w:space="0" w:color="auto"/>
      </w:divBdr>
    </w:div>
    <w:div w:id="1159923034">
      <w:bodyDiv w:val="1"/>
      <w:marLeft w:val="0"/>
      <w:marRight w:val="0"/>
      <w:marTop w:val="0"/>
      <w:marBottom w:val="0"/>
      <w:divBdr>
        <w:top w:val="none" w:sz="0" w:space="0" w:color="auto"/>
        <w:left w:val="none" w:sz="0" w:space="0" w:color="auto"/>
        <w:bottom w:val="none" w:sz="0" w:space="0" w:color="auto"/>
        <w:right w:val="none" w:sz="0" w:space="0" w:color="auto"/>
      </w:divBdr>
    </w:div>
    <w:div w:id="1196037101">
      <w:bodyDiv w:val="1"/>
      <w:marLeft w:val="0"/>
      <w:marRight w:val="0"/>
      <w:marTop w:val="0"/>
      <w:marBottom w:val="0"/>
      <w:divBdr>
        <w:top w:val="none" w:sz="0" w:space="0" w:color="auto"/>
        <w:left w:val="none" w:sz="0" w:space="0" w:color="auto"/>
        <w:bottom w:val="none" w:sz="0" w:space="0" w:color="auto"/>
        <w:right w:val="none" w:sz="0" w:space="0" w:color="auto"/>
      </w:divBdr>
    </w:div>
    <w:div w:id="1212039940">
      <w:bodyDiv w:val="1"/>
      <w:marLeft w:val="0"/>
      <w:marRight w:val="0"/>
      <w:marTop w:val="0"/>
      <w:marBottom w:val="0"/>
      <w:divBdr>
        <w:top w:val="none" w:sz="0" w:space="0" w:color="auto"/>
        <w:left w:val="none" w:sz="0" w:space="0" w:color="auto"/>
        <w:bottom w:val="none" w:sz="0" w:space="0" w:color="auto"/>
        <w:right w:val="none" w:sz="0" w:space="0" w:color="auto"/>
      </w:divBdr>
    </w:div>
    <w:div w:id="1384021942">
      <w:bodyDiv w:val="1"/>
      <w:marLeft w:val="0"/>
      <w:marRight w:val="0"/>
      <w:marTop w:val="0"/>
      <w:marBottom w:val="0"/>
      <w:divBdr>
        <w:top w:val="none" w:sz="0" w:space="0" w:color="auto"/>
        <w:left w:val="none" w:sz="0" w:space="0" w:color="auto"/>
        <w:bottom w:val="none" w:sz="0" w:space="0" w:color="auto"/>
        <w:right w:val="none" w:sz="0" w:space="0" w:color="auto"/>
      </w:divBdr>
    </w:div>
    <w:div w:id="1407341141">
      <w:bodyDiv w:val="1"/>
      <w:marLeft w:val="0"/>
      <w:marRight w:val="0"/>
      <w:marTop w:val="0"/>
      <w:marBottom w:val="0"/>
      <w:divBdr>
        <w:top w:val="none" w:sz="0" w:space="0" w:color="auto"/>
        <w:left w:val="none" w:sz="0" w:space="0" w:color="auto"/>
        <w:bottom w:val="none" w:sz="0" w:space="0" w:color="auto"/>
        <w:right w:val="none" w:sz="0" w:space="0" w:color="auto"/>
      </w:divBdr>
    </w:div>
    <w:div w:id="1462307604">
      <w:bodyDiv w:val="1"/>
      <w:marLeft w:val="0"/>
      <w:marRight w:val="0"/>
      <w:marTop w:val="0"/>
      <w:marBottom w:val="0"/>
      <w:divBdr>
        <w:top w:val="none" w:sz="0" w:space="0" w:color="auto"/>
        <w:left w:val="none" w:sz="0" w:space="0" w:color="auto"/>
        <w:bottom w:val="none" w:sz="0" w:space="0" w:color="auto"/>
        <w:right w:val="none" w:sz="0" w:space="0" w:color="auto"/>
      </w:divBdr>
    </w:div>
    <w:div w:id="1568879333">
      <w:bodyDiv w:val="1"/>
      <w:marLeft w:val="0"/>
      <w:marRight w:val="0"/>
      <w:marTop w:val="0"/>
      <w:marBottom w:val="0"/>
      <w:divBdr>
        <w:top w:val="none" w:sz="0" w:space="0" w:color="auto"/>
        <w:left w:val="none" w:sz="0" w:space="0" w:color="auto"/>
        <w:bottom w:val="none" w:sz="0" w:space="0" w:color="auto"/>
        <w:right w:val="none" w:sz="0" w:space="0" w:color="auto"/>
      </w:divBdr>
    </w:div>
    <w:div w:id="1630432937">
      <w:bodyDiv w:val="1"/>
      <w:marLeft w:val="0"/>
      <w:marRight w:val="0"/>
      <w:marTop w:val="0"/>
      <w:marBottom w:val="0"/>
      <w:divBdr>
        <w:top w:val="none" w:sz="0" w:space="0" w:color="auto"/>
        <w:left w:val="none" w:sz="0" w:space="0" w:color="auto"/>
        <w:bottom w:val="none" w:sz="0" w:space="0" w:color="auto"/>
        <w:right w:val="none" w:sz="0" w:space="0" w:color="auto"/>
      </w:divBdr>
    </w:div>
    <w:div w:id="1661352694">
      <w:bodyDiv w:val="1"/>
      <w:marLeft w:val="0"/>
      <w:marRight w:val="0"/>
      <w:marTop w:val="0"/>
      <w:marBottom w:val="0"/>
      <w:divBdr>
        <w:top w:val="none" w:sz="0" w:space="0" w:color="auto"/>
        <w:left w:val="none" w:sz="0" w:space="0" w:color="auto"/>
        <w:bottom w:val="none" w:sz="0" w:space="0" w:color="auto"/>
        <w:right w:val="none" w:sz="0" w:space="0" w:color="auto"/>
      </w:divBdr>
    </w:div>
    <w:div w:id="1661956317">
      <w:bodyDiv w:val="1"/>
      <w:marLeft w:val="0"/>
      <w:marRight w:val="0"/>
      <w:marTop w:val="0"/>
      <w:marBottom w:val="0"/>
      <w:divBdr>
        <w:top w:val="none" w:sz="0" w:space="0" w:color="auto"/>
        <w:left w:val="none" w:sz="0" w:space="0" w:color="auto"/>
        <w:bottom w:val="none" w:sz="0" w:space="0" w:color="auto"/>
        <w:right w:val="none" w:sz="0" w:space="0" w:color="auto"/>
      </w:divBdr>
    </w:div>
    <w:div w:id="1786729862">
      <w:bodyDiv w:val="1"/>
      <w:marLeft w:val="0"/>
      <w:marRight w:val="0"/>
      <w:marTop w:val="0"/>
      <w:marBottom w:val="0"/>
      <w:divBdr>
        <w:top w:val="none" w:sz="0" w:space="0" w:color="auto"/>
        <w:left w:val="none" w:sz="0" w:space="0" w:color="auto"/>
        <w:bottom w:val="none" w:sz="0" w:space="0" w:color="auto"/>
        <w:right w:val="none" w:sz="0" w:space="0" w:color="auto"/>
      </w:divBdr>
    </w:div>
    <w:div w:id="1807315720">
      <w:bodyDiv w:val="1"/>
      <w:marLeft w:val="0"/>
      <w:marRight w:val="0"/>
      <w:marTop w:val="0"/>
      <w:marBottom w:val="0"/>
      <w:divBdr>
        <w:top w:val="none" w:sz="0" w:space="0" w:color="auto"/>
        <w:left w:val="none" w:sz="0" w:space="0" w:color="auto"/>
        <w:bottom w:val="none" w:sz="0" w:space="0" w:color="auto"/>
        <w:right w:val="none" w:sz="0" w:space="0" w:color="auto"/>
      </w:divBdr>
    </w:div>
    <w:div w:id="1876309505">
      <w:bodyDiv w:val="1"/>
      <w:marLeft w:val="0"/>
      <w:marRight w:val="0"/>
      <w:marTop w:val="0"/>
      <w:marBottom w:val="0"/>
      <w:divBdr>
        <w:top w:val="none" w:sz="0" w:space="0" w:color="auto"/>
        <w:left w:val="none" w:sz="0" w:space="0" w:color="auto"/>
        <w:bottom w:val="none" w:sz="0" w:space="0" w:color="auto"/>
        <w:right w:val="none" w:sz="0" w:space="0" w:color="auto"/>
      </w:divBdr>
    </w:div>
    <w:div w:id="1994867651">
      <w:bodyDiv w:val="1"/>
      <w:marLeft w:val="0"/>
      <w:marRight w:val="0"/>
      <w:marTop w:val="0"/>
      <w:marBottom w:val="0"/>
      <w:divBdr>
        <w:top w:val="none" w:sz="0" w:space="0" w:color="auto"/>
        <w:left w:val="none" w:sz="0" w:space="0" w:color="auto"/>
        <w:bottom w:val="none" w:sz="0" w:space="0" w:color="auto"/>
        <w:right w:val="none" w:sz="0" w:space="0" w:color="auto"/>
      </w:divBdr>
    </w:div>
    <w:div w:id="2049184182">
      <w:bodyDiv w:val="1"/>
      <w:marLeft w:val="0"/>
      <w:marRight w:val="0"/>
      <w:marTop w:val="0"/>
      <w:marBottom w:val="0"/>
      <w:divBdr>
        <w:top w:val="none" w:sz="0" w:space="0" w:color="auto"/>
        <w:left w:val="none" w:sz="0" w:space="0" w:color="auto"/>
        <w:bottom w:val="none" w:sz="0" w:space="0" w:color="auto"/>
        <w:right w:val="none" w:sz="0" w:space="0" w:color="auto"/>
      </w:divBdr>
    </w:div>
    <w:div w:id="2053797821">
      <w:bodyDiv w:val="1"/>
      <w:marLeft w:val="0"/>
      <w:marRight w:val="0"/>
      <w:marTop w:val="0"/>
      <w:marBottom w:val="0"/>
      <w:divBdr>
        <w:top w:val="none" w:sz="0" w:space="0" w:color="auto"/>
        <w:left w:val="none" w:sz="0" w:space="0" w:color="auto"/>
        <w:bottom w:val="none" w:sz="0" w:space="0" w:color="auto"/>
        <w:right w:val="none" w:sz="0" w:space="0" w:color="auto"/>
      </w:divBdr>
    </w:div>
    <w:div w:id="2105224944">
      <w:bodyDiv w:val="1"/>
      <w:marLeft w:val="0"/>
      <w:marRight w:val="0"/>
      <w:marTop w:val="0"/>
      <w:marBottom w:val="0"/>
      <w:divBdr>
        <w:top w:val="none" w:sz="0" w:space="0" w:color="auto"/>
        <w:left w:val="none" w:sz="0" w:space="0" w:color="auto"/>
        <w:bottom w:val="none" w:sz="0" w:space="0" w:color="auto"/>
        <w:right w:val="none" w:sz="0" w:space="0" w:color="auto"/>
      </w:divBdr>
    </w:div>
    <w:div w:id="2112774619">
      <w:bodyDiv w:val="1"/>
      <w:marLeft w:val="0"/>
      <w:marRight w:val="0"/>
      <w:marTop w:val="0"/>
      <w:marBottom w:val="0"/>
      <w:divBdr>
        <w:top w:val="none" w:sz="0" w:space="0" w:color="auto"/>
        <w:left w:val="none" w:sz="0" w:space="0" w:color="auto"/>
        <w:bottom w:val="none" w:sz="0" w:space="0" w:color="auto"/>
        <w:right w:val="none" w:sz="0" w:space="0" w:color="auto"/>
      </w:divBdr>
    </w:div>
    <w:div w:id="21448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voriconazole-accord"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other/minimum-inhibitory-concentration-mic-breakpoints_en.xls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en/medicines/human/EPAR/voriconazole-accord" TargetMode="External"/><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EMADOC-1700519818-2119437</_dlc_DocId>
    <_dlc_DocIdUrl xmlns="a034c160-bfb7-45f5-8632-2eb7e0508071">
      <Url>https://euema.sharepoint.com/sites/CRM/_layouts/15/DocIdRedir.aspx?ID=EMADOC-1700519818-2119437</Url>
      <Description>EMADOC-1700519818-2119437</Description>
    </_dlc_DocIdUrl>
  </documentManagement>
</p:properties>
</file>

<file path=customXml/itemProps1.xml><?xml version="1.0" encoding="utf-8"?>
<ds:datastoreItem xmlns:ds="http://schemas.openxmlformats.org/officeDocument/2006/customXml" ds:itemID="{725B595A-B693-4909-AC10-47F96E0E986D}">
  <ds:schemaRefs>
    <ds:schemaRef ds:uri="http://schemas.openxmlformats.org/officeDocument/2006/bibliography"/>
  </ds:schemaRefs>
</ds:datastoreItem>
</file>

<file path=customXml/itemProps2.xml><?xml version="1.0" encoding="utf-8"?>
<ds:datastoreItem xmlns:ds="http://schemas.openxmlformats.org/officeDocument/2006/customXml" ds:itemID="{2C54FA35-BE02-45D0-AF52-8B71D19365CE}"/>
</file>

<file path=customXml/itemProps3.xml><?xml version="1.0" encoding="utf-8"?>
<ds:datastoreItem xmlns:ds="http://schemas.openxmlformats.org/officeDocument/2006/customXml" ds:itemID="{CB261349-15D3-48BB-AB07-B81FCCDEBEB0}"/>
</file>

<file path=customXml/itemProps4.xml><?xml version="1.0" encoding="utf-8"?>
<ds:datastoreItem xmlns:ds="http://schemas.openxmlformats.org/officeDocument/2006/customXml" ds:itemID="{EB513BED-5EA2-4163-852C-EB69AE7F3E3E}"/>
</file>

<file path=customXml/itemProps5.xml><?xml version="1.0" encoding="utf-8"?>
<ds:datastoreItem xmlns:ds="http://schemas.openxmlformats.org/officeDocument/2006/customXml" ds:itemID="{5D452601-16F2-49E8-A9AB-C139BB3DEBB3}"/>
</file>

<file path=docProps/app.xml><?xml version="1.0" encoding="utf-8"?>
<Properties xmlns="http://schemas.openxmlformats.org/officeDocument/2006/extended-properties" xmlns:vt="http://schemas.openxmlformats.org/officeDocument/2006/docPropsVTypes">
  <Template>Normal</Template>
  <TotalTime>43</TotalTime>
  <Pages>60</Pages>
  <Words>18884</Words>
  <Characters>110493</Characters>
  <Application>Microsoft Office Word</Application>
  <DocSecurity>0</DocSecurity>
  <Lines>920</Lines>
  <Paragraphs>258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Voriconazole Accord, INN-Voriconazole</vt:lpstr>
      <vt:lpstr>Voriconazole Accord, INN-Voriconazole</vt:lpstr>
    </vt:vector>
  </TitlesOfParts>
  <Company>Infarmed</Company>
  <LinksUpToDate>false</LinksUpToDate>
  <CharactersWithSpaces>129119</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Voriconazole Accord : EPAR – Product information – tracked changes</dc:title>
  <dc:subject>EPAR</dc:subject>
  <dc:creator>CHMP</dc:creator>
  <cp:keywords>Voriconazole Accord, INN-Voriconazole</cp:keywords>
  <cp:lastModifiedBy>MAH review_SC</cp:lastModifiedBy>
  <cp:revision>15</cp:revision>
  <cp:lastPrinted>2021-09-08T05:19:00Z</cp:lastPrinted>
  <dcterms:created xsi:type="dcterms:W3CDTF">2022-03-24T08:45:00Z</dcterms:created>
  <dcterms:modified xsi:type="dcterms:W3CDTF">2025-05-01T10:18:00Z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2023-05-04T11:38:33Z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de23acb2-a181-47ad-a5cf-6621db8a20ea</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98cd24f1-8a65-4431-a589-25edc09ad137</vt:lpwstr>
  </property>
</Properties>
</file>